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Borders>
              <w:top w:val="single" w:sz="8" w:color="2C2C2C"/>
            </w:tcBorders>
          </w:tcPr>
          <w:p>
            <w:pPr>
              <w:spacing w:after="0"/>
              <w:rPr>
                <w:sz w:val="4"/>
                <w:szCs w:val="4"/>
                <w:color w:val="auto"/>
              </w:rPr>
            </w:pPr>
          </w:p>
        </w:tc>
        <w:tc>
          <w:tcPr>
            <w:tcW w:w="3400" w:type="dxa"/>
            <w:vAlign w:val="bottom"/>
            <w:tcBorders>
              <w:top w:val="single" w:sz="8" w:color="2C2C2C"/>
              <w:bottom w:val="single" w:sz="8" w:color="2C2C2C"/>
            </w:tcBorders>
            <w:gridSpan w:val="7"/>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gridSpan w:val="7"/>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3400" w:type="dxa"/>
            <w:vAlign w:val="bottom"/>
            <w:gridSpan w:val="7"/>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3"/>
            <w:vMerge w:val="restart"/>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tcPr>
          <w:p>
            <w:pPr>
              <w:ind w:left="140"/>
              <w:spacing w:after="0" w:line="101" w:lineRule="exact"/>
              <w:rPr>
                <w:sz w:val="20"/>
                <w:szCs w:val="20"/>
                <w:color w:val="auto"/>
              </w:rPr>
            </w:pPr>
            <w:r>
              <w:rPr>
                <w:rFonts w:ascii="Arial" w:cs="Arial" w:eastAsia="Arial" w:hAnsi="Arial"/>
                <w:sz w:val="11"/>
                <w:szCs w:val="11"/>
                <w:color w:val="auto"/>
              </w:rPr>
              <w:t>Person</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03/26/2020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4,500</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240,304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7"/>
                <w:szCs w:val="17"/>
                <w:color w:val="0000FF"/>
              </w:rPr>
              <w:t>235,804</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shares issuable on settlement of restricted stock units granted to the Reporting Person. Each restricted stock unit represents a contingent right to receive one shares of the Issuer's common stock. The shares subject to the restricted stock unit vest in lump sum on January 15, 2021, subject to the Reporting Person's continued service through relevant vesting date.</w:t>
      </w:r>
    </w:p>
    <w:p>
      <w:pPr>
        <w:ind w:left="40" w:right="5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217,041 shares issuable on settlement of restricted stock units granted to the Reporting Person. Each restricted stock unit represents a contingent right to receive on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03/30/2020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2020-03-30T16:52:18Z</dcterms:created>
  <dcterms:modified xsi:type="dcterms:W3CDTF">2020-03-30T16:52:18Z</dcterms:modified>
</cp:coreProperties>
</file>