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Freund John Gordon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SKYLINE VENTURES</w:t>
            </w: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80"/>
              <w:spacing w:after="0"/>
              <w:rPr>
                <w:sz w:val="20"/>
                <w:szCs w:val="20"/>
                <w:color w:val="auto"/>
              </w:rPr>
            </w:pPr>
            <w:r>
              <w:rPr>
                <w:rFonts w:ascii="Arial" w:cs="Arial" w:eastAsia="Arial" w:hAnsi="Arial"/>
                <w:sz w:val="17"/>
                <w:szCs w:val="17"/>
                <w:color w:val="0000FF"/>
              </w:rPr>
              <w:t>8,797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2,819,985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-3500120</wp:posOffset>
            </wp:positionV>
            <wp:extent cx="7031355" cy="3545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452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Skyline Venture Partners V L.P. ("SVP V"). Skyline Venture Management V, LLC ("LLC") is the general partner of SVP V. Dr. Freund, a member of the Issuer's board of directors, is managing director of LLC and as such may be deemed to have voting and investment power with respect to the securities of SVP V. Dr. Freund disclaim beneficial ownership of such securities, except to the extent of their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2020-06-18T17:24:56Z</dcterms:created>
  <dcterms:modified xsi:type="dcterms:W3CDTF">2020-06-18T17:24:56Z</dcterms:modified>
</cp:coreProperties>
</file>