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Valentine Keith</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340" w:type="dxa"/>
            <w:vAlign w:val="bottom"/>
            <w:gridSpan w:val="4"/>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SI-BONE,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7"/>
                <w:szCs w:val="17"/>
                <w:color w:val="0000FF"/>
              </w:rPr>
              <w:t>06/16/2020</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4"/>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80" w:type="dxa"/>
            <w:vAlign w:val="bottom"/>
            <w:gridSpan w:val="6"/>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9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660" w:type="dxa"/>
            <w:vAlign w:val="bottom"/>
            <w:tcBorders>
              <w:bottom w:val="single" w:sz="8" w:color="9A9A9A"/>
            </w:tcBorders>
            <w:gridSpan w:val="2"/>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8"/>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Arial" w:cs="Arial" w:eastAsia="Arial" w:hAnsi="Arial"/>
                <w:sz w:val="17"/>
                <w:szCs w:val="17"/>
                <w:color w:val="0000FF"/>
              </w:rPr>
              <w:t>06/16/2020</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8,797</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4"/>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40,171</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be vesting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8,797 shares issuable on the settlement of restricted stock units granted to the Reporting Person. Each restricted stock unit represents a contingent right to receive one share of the Issuer's common stock.</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Keith C.</w:t>
      </w:r>
      <w:r>
        <w:rPr>
          <w:sz w:val="20"/>
          <w:szCs w:val="20"/>
          <w:color w:val="auto"/>
        </w:rPr>
        <w:tab/>
      </w:r>
      <w:r>
        <w:rPr>
          <w:rFonts w:ascii="Arial" w:cs="Arial" w:eastAsia="Arial" w:hAnsi="Arial"/>
          <w:sz w:val="15"/>
          <w:szCs w:val="15"/>
          <w:color w:val="0000FF"/>
        </w:rPr>
        <w:t>06/18/2020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15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89408"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2020-06-18T17:25:46Z</dcterms:created>
  <dcterms:modified xsi:type="dcterms:W3CDTF">2020-06-18T17:25:46Z</dcterms:modified>
</cp:coreProperties>
</file>