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457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DUNN JEFFREY W</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05/17/2021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85"/>
        <w:spacing w:after="0"/>
        <w:rPr>
          <w:sz w:val="20"/>
          <w:szCs w:val="20"/>
          <w:color w:val="auto"/>
        </w:rPr>
      </w:pPr>
      <w:r>
        <w:rPr>
          <w:rFonts w:ascii="Arial" w:cs="Arial" w:eastAsia="Arial" w:hAnsi="Arial"/>
          <w:sz w:val="17"/>
          <w:szCs w:val="17"/>
          <w:color w:val="0000FF"/>
        </w:rPr>
        <w:t>Chairman, President &amp; CEO</w:t>
      </w:r>
    </w:p>
    <w:p>
      <w:pPr>
        <w:spacing w:after="0" w:line="446"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80" w:type="dxa"/>
            <w:vAlign w:val="bottom"/>
            <w:tcBorders>
              <w:top w:val="single" w:sz="8" w:color="2C2C2C"/>
              <w:bottom w:val="single" w:sz="8" w:color="2C2C2C"/>
            </w:tcBorders>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bottom w:val="single" w:sz="8" w:color="2C2C2C"/>
            </w:tcBorders>
            <w:gridSpan w:val="7"/>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84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gridSpan w:val="6"/>
            <w:vMerge w:val="continue"/>
          </w:tcPr>
          <w:p>
            <w:pPr>
              <w:spacing w:after="0" w:line="20" w:lineRule="exact"/>
              <w:rPr>
                <w:sz w:val="1"/>
                <w:szCs w:val="1"/>
                <w:color w:val="auto"/>
              </w:rPr>
            </w:pPr>
          </w:p>
        </w:tc>
        <w:tc>
          <w:tcPr>
            <w:tcW w:w="3640" w:type="dxa"/>
            <w:vAlign w:val="bottom"/>
            <w:gridSpan w:val="7"/>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80" w:type="dxa"/>
            <w:vAlign w:val="bottom"/>
            <w:gridSpan w:val="6"/>
            <w:vMerge w:val="continue"/>
          </w:tcPr>
          <w:p>
            <w:pPr>
              <w:spacing w:after="0"/>
              <w:rPr>
                <w:sz w:val="12"/>
                <w:szCs w:val="12"/>
                <w:color w:val="auto"/>
              </w:rPr>
            </w:pPr>
          </w:p>
        </w:tc>
        <w:tc>
          <w:tcPr>
            <w:tcW w:w="3640" w:type="dxa"/>
            <w:vAlign w:val="bottom"/>
            <w:gridSpan w:val="7"/>
            <w:vMerge w:val="continue"/>
          </w:tcPr>
          <w:p>
            <w:pPr>
              <w:spacing w:after="0"/>
              <w:rPr>
                <w:sz w:val="12"/>
                <w:szCs w:val="12"/>
                <w:color w:val="auto"/>
              </w:rPr>
            </w:pPr>
          </w:p>
        </w:tc>
        <w:tc>
          <w:tcPr>
            <w:tcW w:w="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gridSpan w:val="3"/>
            <w:vMerge w:val="restart"/>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840" w:type="dxa"/>
            <w:vAlign w:val="bottom"/>
          </w:tcPr>
          <w:p>
            <w:pPr>
              <w:ind w:left="58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95050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line="173" w:lineRule="exact"/>
              <w:rPr>
                <w:sz w:val="20"/>
                <w:szCs w:val="20"/>
                <w:color w:val="auto"/>
              </w:rPr>
            </w:pPr>
            <w:r>
              <w:rPr>
                <w:rFonts w:ascii="Arial" w:cs="Arial" w:eastAsia="Arial" w:hAnsi="Arial"/>
                <w:sz w:val="17"/>
                <w:szCs w:val="17"/>
                <w:color w:val="0000FF"/>
              </w:rPr>
              <w:t>CLARA</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940" w:type="dxa"/>
            <w:vAlign w:val="bottom"/>
            <w:gridSpan w:val="6"/>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tcPr>
          <w:p>
            <w:pPr>
              <w:ind w:left="120"/>
              <w:spacing w:after="0" w:line="101" w:lineRule="exact"/>
              <w:rPr>
                <w:sz w:val="20"/>
                <w:szCs w:val="20"/>
                <w:color w:val="auto"/>
              </w:rPr>
            </w:pPr>
            <w:r>
              <w:rPr>
                <w:rFonts w:ascii="Arial" w:cs="Arial" w:eastAsia="Arial" w:hAnsi="Arial"/>
                <w:sz w:val="11"/>
                <w:szCs w:val="11"/>
                <w:color w:val="auto"/>
              </w:rPr>
              <w:t>Person</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2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4"/>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4"/>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ind w:left="800"/>
              <w:spacing w:after="0"/>
              <w:rPr>
                <w:sz w:val="20"/>
                <w:szCs w:val="20"/>
                <w:color w:val="auto"/>
              </w:rPr>
            </w:pPr>
            <w:r>
              <w:rPr>
                <w:rFonts w:ascii="Arial" w:cs="Arial" w:eastAsia="Arial" w:hAnsi="Arial"/>
                <w:sz w:val="17"/>
                <w:szCs w:val="17"/>
                <w:color w:val="0000FF"/>
              </w:rPr>
              <w:t>05/17/2021</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Arial" w:cs="Arial" w:eastAsia="Arial" w:hAnsi="Arial"/>
                <w:sz w:val="17"/>
                <w:szCs w:val="17"/>
                <w:color w:val="0000FF"/>
              </w:rPr>
              <w:t>3,909</w:t>
            </w: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31.4016</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197,780</w:t>
            </w:r>
          </w:p>
        </w:tc>
        <w:tc>
          <w:tcPr>
            <w:tcW w:w="920" w:type="dxa"/>
            <w:vAlign w:val="bottom"/>
            <w:tcBorders>
              <w:bottom w:val="single" w:sz="8" w:color="2C2C2C"/>
            </w:tcBorders>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ind w:left="800"/>
              <w:spacing w:after="0"/>
              <w:rPr>
                <w:sz w:val="20"/>
                <w:szCs w:val="20"/>
                <w:color w:val="auto"/>
              </w:rPr>
            </w:pPr>
            <w:r>
              <w:rPr>
                <w:rFonts w:ascii="Arial" w:cs="Arial" w:eastAsia="Arial" w:hAnsi="Arial"/>
                <w:sz w:val="17"/>
                <w:szCs w:val="17"/>
                <w:color w:val="0000FF"/>
              </w:rPr>
              <w:t>05/17/2021</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Arial" w:cs="Arial" w:eastAsia="Arial" w:hAnsi="Arial"/>
                <w:sz w:val="17"/>
                <w:szCs w:val="17"/>
                <w:color w:val="0000FF"/>
              </w:rPr>
              <w:t>4,492</w:t>
            </w: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31.4016</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184,764</w:t>
            </w:r>
            <w:r>
              <w:rPr>
                <w:rFonts w:ascii="Arial" w:cs="Arial" w:eastAsia="Arial" w:hAnsi="Arial"/>
                <w:sz w:val="22"/>
                <w:szCs w:val="22"/>
                <w:color w:val="008000"/>
                <w:w w:val="88"/>
                <w:vertAlign w:val="superscript"/>
              </w:rPr>
              <w:t>(2)</w:t>
            </w:r>
          </w:p>
        </w:tc>
        <w:tc>
          <w:tcPr>
            <w:tcW w:w="920" w:type="dxa"/>
            <w:vAlign w:val="bottom"/>
            <w:tcBorders>
              <w:bottom w:val="single" w:sz="8" w:color="2C2C2C"/>
            </w:tcBorders>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4"/>
              </w:rPr>
              <w:t>56,128</w:t>
            </w:r>
            <w:r>
              <w:rPr>
                <w:rFonts w:ascii="Arial" w:cs="Arial" w:eastAsia="Arial" w:hAnsi="Arial"/>
                <w:sz w:val="22"/>
                <w:szCs w:val="22"/>
                <w:color w:val="008000"/>
                <w:w w:val="84"/>
                <w:vertAlign w:val="superscript"/>
              </w:rPr>
              <w:t>(3)(4)</w:t>
            </w:r>
          </w:p>
        </w:tc>
        <w:tc>
          <w:tcPr>
            <w:tcW w:w="920" w:type="dxa"/>
            <w:vAlign w:val="bottom"/>
            <w:vMerge w:val="restart"/>
          </w:tcPr>
          <w:p>
            <w:pPr>
              <w:jc w:val="center"/>
              <w:ind w:right="53"/>
              <w:spacing w:after="0"/>
              <w:rPr>
                <w:sz w:val="20"/>
                <w:szCs w:val="20"/>
                <w:color w:val="auto"/>
              </w:rPr>
            </w:pPr>
            <w:r>
              <w:rPr>
                <w:rFonts w:ascii="Arial" w:cs="Arial" w:eastAsia="Arial" w:hAnsi="Arial"/>
                <w:sz w:val="17"/>
                <w:szCs w:val="17"/>
                <w:color w:val="0000FF"/>
                <w:w w:val="83"/>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92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15" w:lineRule="exact"/>
        <w:rPr>
          <w:rFonts w:ascii="Arial" w:cs="Arial" w:eastAsia="Arial" w:hAnsi="Arial"/>
          <w:sz w:val="13"/>
          <w:szCs w:val="13"/>
          <w:color w:val="008000"/>
        </w:rPr>
      </w:pPr>
    </w:p>
    <w:p>
      <w:pPr>
        <w:ind w:left="40" w:right="2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issuable on the settlement of the net restricted stock units granted and canceled to the Reporting Person. Each restricted stock unit represents a contingent right to receive one share of the Issuer's common stock.</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1,442 shares acquired under the SI-BONE, Inc. 2018 Employee Stock Purchase Plan on May 17, 2017.</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the transfer of shares from the Reporting Person to The Jeffrey W. Dunn Living Trust Dated May 17, 2012</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The Jeffrey W. Dunn Living Trust Dated May 17, 2012.</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Jeffrey</w:t>
      </w:r>
      <w:r>
        <w:rPr>
          <w:sz w:val="20"/>
          <w:szCs w:val="20"/>
          <w:color w:val="auto"/>
        </w:rPr>
        <w:tab/>
      </w:r>
      <w:r>
        <w:rPr>
          <w:rFonts w:ascii="Arial" w:cs="Arial" w:eastAsia="Arial" w:hAnsi="Arial"/>
          <w:sz w:val="15"/>
          <w:szCs w:val="15"/>
          <w:color w:val="0000FF"/>
        </w:rPr>
        <w:t>05/19/2021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W. Dunn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30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306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35986"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2021-05-19T16:14:48Z</dcterms:created>
  <dcterms:modified xsi:type="dcterms:W3CDTF">2021-05-19T16:14:48Z</dcterms:modified>
</cp:coreProperties>
</file>