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Date of report (Date of earliest event reported): June 25, 2024</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SI-BONE,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Suite 101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 95050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207-0700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Item 3.03</w:t>
      </w:r>
      <w:r>
        <w:rPr>
          <w:color w:val="000000"/>
        </w:rPr>
        <w:t xml:space="preserve"> </w:t>
      </w:r>
      <w:r>
        <w:rPr>
          <w:rFonts w:ascii="Times New Roman;sans-serif" w:hAnsi="Times New Roman;sans-serif"/>
          <w:b/>
          <w:color w:val="000000"/>
          <w:sz w:val="20"/>
          <w:shd w:fill="FFFFFF" w:val="clear"/>
        </w:rPr>
        <w:t>Material Modifications of Rights of Security Holders.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Item 5.03 below is incorporated by reference here.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5.03.    Amendments to Articles of Incorporation or Bylaws; Change in Fiscal Year.</w: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June 25, 2024, SI-BONE,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held its 2024 Annual Meeting of Stockholders (the “</w:t>
      </w:r>
      <w:r>
        <w:rPr>
          <w:rFonts w:ascii="Times New Roman;sans-serif" w:hAnsi="Times New Roman;sans-serif"/>
          <w:b/>
          <w:i/>
          <w:color w:val="000000"/>
          <w:sz w:val="20"/>
        </w:rPr>
        <w:t>Annual Meeting</w:t>
      </w:r>
      <w:r>
        <w:rPr>
          <w:color w:val="000000"/>
        </w:rPr>
        <w:t>”</w:t>
      </w:r>
      <w:r>
        <w:rPr>
          <w:rFonts w:ascii="Times New Roman;sans-serif" w:hAnsi="Times New Roman;sans-serif"/>
          <w:b w:val="false"/>
          <w:color w:val="000000"/>
          <w:sz w:val="20"/>
        </w:rPr>
        <w:t>). At the Annual Meeting, the Company’s stockholders approved an amendment to the Company’s Amended and Restated Certificate of Incorporation, which was filed on June 25, 2024, to add a new Article VIII to limit the liability of certain officers of the Company as permitted pursuant to recent amendments to the Delaware General Corporation Law. The foregoing description is qualified in its entirety by the Certificate of Amendment to the Amended and Restated Certificate of Incorporation, a copy of which is attached as Exhibit 3.1 to this Current Report on Form 8-K and is incorporated herein by reference.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5.07. Submission of Matters to a Vote of Security Holders.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36,533,535 shares of the Company’s common stock were present or represented by proxy at the Annual Meeting, which represented approximately 89% of the Company’s 41,203,980 shares of common stock that were outstanding and entitled to vote at the meeting as of the record date of April 26,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The following is a brief description of each matter voted upon at the Annual Meeting, as well as the final tally of the number of votes cast: (a) for or withheld with respect to the election of directors; (b) for or against, as well as abstentions, for the ratification of the appointment of PricewaterhouseCoopers LLP as the Company’s independent registered public accounting firm for the fiscal year ending December 31, 2024; (c) for or against, as well as abstentions, for the advisory vote to approve executive compensation; and (d) for or against, as well as abstentions, for the approval of the amendment to the Amended and Restated Certificate of Incorporation to limit the liability of certain of the Company's officers as permitted pursuant to recent amendments to the Delaware General Corporation Law. Broker non-votes are also reported. A more complete description of each matter is set forth in the Company’s definitive proxy statement filed with the Securities and Exchange Commission on April 29, 2024 (the </w:t>
      </w:r>
      <w:r>
        <w:rPr>
          <w:rFonts w:ascii="Times New Roman;sans-serif" w:hAnsi="Times New Roman;sans-serif"/>
          <w:b/>
          <w:i/>
          <w:color w:val="000000"/>
          <w:sz w:val="20"/>
        </w:rPr>
        <w:t>"Proxy Statement</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76" w:before="0" w:after="0"/>
        <w:ind w:left="0" w:right="0" w:hanging="1170"/>
        <w:jc w:val="both"/>
        <w:rPr/>
      </w:pPr>
      <w:r>
        <w:rPr>
          <w:rFonts w:ascii="Times New Roman;sans-serif" w:hAnsi="Times New Roman;sans-serif"/>
          <w:b w:val="false"/>
          <w:i/>
          <w:color w:val="000000"/>
          <w:sz w:val="20"/>
        </w:rPr>
        <w:t>Proposal 1:</w:t>
      </w:r>
      <w:r>
        <w:rPr>
          <w:color w:val="000000"/>
        </w:rPr>
        <w:t xml:space="preserve">     </w:t>
      </w:r>
      <w:r>
        <w:rPr>
          <w:rFonts w:ascii="Times New Roman;sans-serif" w:hAnsi="Times New Roman;sans-serif"/>
          <w:b w:val="false"/>
          <w:color w:val="000000"/>
          <w:sz w:val="20"/>
        </w:rPr>
        <w:t>Each of the below directors proposed by the Company for election was elected by the following votes to serve until the Company</w:t>
      </w:r>
      <w:r>
        <w:rPr>
          <w:color w:val="000000"/>
          <w:shd w:fill="FFFFFF" w:val="clear"/>
        </w:rPr>
        <w:t>’</w:t>
      </w:r>
      <w:r>
        <w:rPr>
          <w:rFonts w:ascii="Times New Roman;sans-serif" w:hAnsi="Times New Roman;sans-serif"/>
          <w:b w:val="false"/>
          <w:color w:val="000000"/>
          <w:sz w:val="20"/>
          <w:shd w:fill="FFFFFF" w:val="clear"/>
        </w:rPr>
        <w:t>s 2027 Ann</w:t>
      </w:r>
      <w:r>
        <w:rPr>
          <w:rFonts w:ascii="Times New Roman;sans-serif" w:hAnsi="Times New Roman;sans-serif"/>
          <w:b w:val="false"/>
          <w:color w:val="000000"/>
          <w:sz w:val="20"/>
        </w:rPr>
        <w:t>ual Meeting of Stockholders, or until each of their respective successors has been elected and qualified. The tabulation of votes on this matter was as follows:</w:t>
      </w:r>
    </w:p>
    <w:p>
      <w:pPr>
        <w:pStyle w:val="TextBody"/>
        <w:bidi w:val="0"/>
        <w:spacing w:before="0" w:after="0"/>
        <w:jc w:val="both"/>
        <w:rPr/>
      </w:pPr>
      <w:r>
        <w:rPr/>
      </w:r>
    </w:p>
    <w:tbl>
      <w:tblPr>
        <w:tblW w:w="6067" w:type="dxa"/>
        <w:jc w:val="center"/>
        <w:tblInd w:w="0" w:type="dxa"/>
        <w:tblLayout w:type="fixed"/>
        <w:tblCellMar>
          <w:top w:w="28" w:type="dxa"/>
          <w:left w:w="28" w:type="dxa"/>
          <w:bottom w:w="28" w:type="dxa"/>
          <w:right w:w="28" w:type="dxa"/>
        </w:tblCellMar>
      </w:tblPr>
      <w:tblGrid>
        <w:gridCol w:w="521"/>
        <w:gridCol w:w="458"/>
        <w:gridCol w:w="460"/>
        <w:gridCol w:w="109"/>
        <w:gridCol w:w="109"/>
        <w:gridCol w:w="109"/>
        <w:gridCol w:w="344"/>
        <w:gridCol w:w="344"/>
        <w:gridCol w:w="348"/>
        <w:gridCol w:w="109"/>
        <w:gridCol w:w="109"/>
        <w:gridCol w:w="109"/>
        <w:gridCol w:w="309"/>
        <w:gridCol w:w="309"/>
        <w:gridCol w:w="313"/>
        <w:gridCol w:w="109"/>
        <w:gridCol w:w="109"/>
        <w:gridCol w:w="109"/>
        <w:gridCol w:w="492"/>
        <w:gridCol w:w="492"/>
        <w:gridCol w:w="69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29,705,445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5,631,859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1,196,231</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A.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35,195,079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1,196,231</w:t>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70"/>
        <w:jc w:val="center"/>
        <w:rPr/>
      </w:pPr>
      <w:r>
        <w:rPr/>
      </w:r>
    </w:p>
    <w:p>
      <w:pPr>
        <w:pStyle w:val="TextBody"/>
        <w:bidi w:val="0"/>
        <w:spacing w:lineRule="auto" w:line="276" w:before="0" w:after="0"/>
        <w:ind w:left="0" w:right="0" w:hanging="1170"/>
        <w:jc w:val="both"/>
        <w:rPr/>
      </w:pPr>
      <w:r>
        <w:rPr>
          <w:rFonts w:ascii="Times New Roman;sans-serif" w:hAnsi="Times New Roman;sans-serif"/>
          <w:b w:val="false"/>
          <w:i/>
          <w:color w:val="000000"/>
          <w:sz w:val="20"/>
          <w:shd w:fill="FFFFFF" w:val="clear"/>
        </w:rPr>
        <w:t>Proposal 2:</w:t>
      </w:r>
      <w:r>
        <w:rPr>
          <w:color w:val="000000"/>
          <w:shd w:fill="FFFFFF" w:val="clear"/>
        </w:rPr>
        <w:t>    </w:t>
      </w:r>
      <w:r>
        <w:rPr>
          <w:rFonts w:ascii="Times New Roman;sans-serif" w:hAnsi="Times New Roman;sans-serif"/>
          <w:b w:val="false"/>
          <w:color w:val="000000"/>
          <w:sz w:val="20"/>
          <w:shd w:fill="FFFFFF" w:val="clear"/>
        </w:rPr>
        <w:t>The appointment of PricewaterhouseCoopers LLP as the Company’s independent registered public accounting firm for the fiscal year ending December 31, 2024, was ratified. The tabulation of votes on this matter was as follows:</w:t>
      </w:r>
    </w:p>
    <w:p>
      <w:pPr>
        <w:pStyle w:val="TextBody"/>
        <w:bidi w:val="0"/>
        <w:spacing w:before="0" w:after="0"/>
        <w:ind w:left="0" w:right="0" w:hanging="1170"/>
        <w:jc w:val="both"/>
        <w:rPr/>
      </w:pPr>
      <w:r>
        <w:rPr/>
      </w:r>
    </w:p>
    <w:tbl>
      <w:tblPr>
        <w:tblW w:w="4912" w:type="dxa"/>
        <w:jc w:val="center"/>
        <w:tblInd w:w="0" w:type="dxa"/>
        <w:tblLayout w:type="fixed"/>
        <w:tblCellMar>
          <w:top w:w="28" w:type="dxa"/>
          <w:left w:w="28" w:type="dxa"/>
          <w:bottom w:w="28" w:type="dxa"/>
          <w:right w:w="28" w:type="dxa"/>
        </w:tblCellMar>
      </w:tblPr>
      <w:tblGrid>
        <w:gridCol w:w="380"/>
        <w:gridCol w:w="332"/>
        <w:gridCol w:w="339"/>
        <w:gridCol w:w="109"/>
        <w:gridCol w:w="109"/>
        <w:gridCol w:w="109"/>
        <w:gridCol w:w="259"/>
        <w:gridCol w:w="259"/>
        <w:gridCol w:w="263"/>
        <w:gridCol w:w="109"/>
        <w:gridCol w:w="109"/>
        <w:gridCol w:w="109"/>
        <w:gridCol w:w="250"/>
        <w:gridCol w:w="250"/>
        <w:gridCol w:w="251"/>
        <w:gridCol w:w="109"/>
        <w:gridCol w:w="109"/>
        <w:gridCol w:w="109"/>
        <w:gridCol w:w="109"/>
        <w:gridCol w:w="109"/>
        <w:gridCol w:w="109"/>
        <w:gridCol w:w="299"/>
        <w:gridCol w:w="299"/>
        <w:gridCol w:w="423"/>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Broker</w:t>
              <w:br/>
              <w:t>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36,333,090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71,969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ind w:left="0" w:right="0" w:hanging="1170"/>
        <w:jc w:val="both"/>
        <w:rPr/>
      </w:pPr>
      <w:r>
        <w:rPr/>
      </w:r>
    </w:p>
    <w:p>
      <w:pPr>
        <w:pStyle w:val="TextBody"/>
        <w:bidi w:val="0"/>
        <w:spacing w:lineRule="auto" w:line="276" w:before="0" w:after="0"/>
        <w:ind w:left="0" w:right="0" w:hanging="1170"/>
        <w:jc w:val="both"/>
        <w:rPr/>
      </w:pPr>
      <w:r>
        <w:rPr>
          <w:rFonts w:ascii="Times New Roman;sans-serif" w:hAnsi="Times New Roman;sans-serif"/>
          <w:b w:val="false"/>
          <w:i/>
          <w:color w:val="000000"/>
          <w:sz w:val="20"/>
          <w:shd w:fill="FFFFFF" w:val="clear"/>
        </w:rPr>
        <w:t>Proposal 3:</w:t>
      </w:r>
      <w:r>
        <w:rPr>
          <w:color w:val="000000"/>
          <w:shd w:fill="FFFFFF" w:val="clear"/>
        </w:rPr>
        <w:t>    </w:t>
      </w:r>
      <w:r>
        <w:rPr>
          <w:rFonts w:ascii="Times New Roman;sans-serif" w:hAnsi="Times New Roman;sans-serif"/>
          <w:b w:val="false"/>
          <w:color w:val="000000"/>
          <w:sz w:val="20"/>
          <w:shd w:fill="FFFFFF" w:val="clear"/>
        </w:rPr>
        <w:t>The compensation of the Company’s named executive officers as disclosed in the Proxy Statement was approved on an advisory basis. The tabulation of votes on this matter was as follows:</w:t>
      </w:r>
    </w:p>
    <w:p>
      <w:pPr>
        <w:pStyle w:val="TextBody"/>
        <w:bidi w:val="0"/>
        <w:spacing w:before="0" w:after="0"/>
        <w:ind w:left="0" w:right="0" w:hanging="1170"/>
        <w:jc w:val="both"/>
        <w:rPr/>
      </w:pPr>
      <w:r>
        <w:rPr/>
      </w:r>
    </w:p>
    <w:tbl>
      <w:tblPr>
        <w:tblW w:w="4912" w:type="dxa"/>
        <w:jc w:val="center"/>
        <w:tblInd w:w="0" w:type="dxa"/>
        <w:tblLayout w:type="fixed"/>
        <w:tblCellMar>
          <w:top w:w="28" w:type="dxa"/>
          <w:left w:w="28" w:type="dxa"/>
          <w:bottom w:w="28" w:type="dxa"/>
          <w:right w:w="28" w:type="dxa"/>
        </w:tblCellMar>
      </w:tblPr>
      <w:tblGrid>
        <w:gridCol w:w="380"/>
        <w:gridCol w:w="332"/>
        <w:gridCol w:w="339"/>
        <w:gridCol w:w="109"/>
        <w:gridCol w:w="109"/>
        <w:gridCol w:w="109"/>
        <w:gridCol w:w="259"/>
        <w:gridCol w:w="259"/>
        <w:gridCol w:w="263"/>
        <w:gridCol w:w="109"/>
        <w:gridCol w:w="109"/>
        <w:gridCol w:w="109"/>
        <w:gridCol w:w="250"/>
        <w:gridCol w:w="250"/>
        <w:gridCol w:w="251"/>
        <w:gridCol w:w="109"/>
        <w:gridCol w:w="109"/>
        <w:gridCol w:w="109"/>
        <w:gridCol w:w="109"/>
        <w:gridCol w:w="109"/>
        <w:gridCol w:w="109"/>
        <w:gridCol w:w="299"/>
        <w:gridCol w:w="299"/>
        <w:gridCol w:w="423"/>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Broker</w:t>
              <w:br/>
              <w:t>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34,726,782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541,405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69,117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1,196,231</w:t>
            </w:r>
          </w:p>
        </w:tc>
      </w:tr>
    </w:tbl>
    <w:p>
      <w:pPr>
        <w:pStyle w:val="TextBody"/>
        <w:bidi w:val="0"/>
        <w:spacing w:before="0" w:after="0"/>
        <w:ind w:left="0" w:right="0" w:hanging="1170"/>
        <w:jc w:val="center"/>
        <w:rPr/>
      </w:pPr>
      <w:r>
        <w:rPr/>
      </w:r>
    </w:p>
    <w:p>
      <w:pPr>
        <w:pStyle w:val="TextBody"/>
        <w:bidi w:val="0"/>
        <w:spacing w:lineRule="auto" w:line="268" w:before="0" w:after="0"/>
        <w:ind w:left="0" w:right="0" w:hanging="1170"/>
        <w:jc w:val="both"/>
        <w:rPr/>
      </w:pPr>
      <w:r>
        <w:rPr>
          <w:rFonts w:ascii="Times New Roman;sans-serif" w:hAnsi="Times New Roman;sans-serif"/>
          <w:b w:val="false"/>
          <w:i/>
          <w:color w:val="000000"/>
          <w:sz w:val="20"/>
          <w:shd w:fill="FFFFFF" w:val="clear"/>
        </w:rPr>
        <w:t>Proposal 4:</w:t>
      </w:r>
      <w:r>
        <w:rPr>
          <w:color w:val="000000"/>
          <w:shd w:fill="FFFFFF" w:val="clear"/>
        </w:rPr>
        <w:t>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amendment to the Amended and Restated Certificate of Incorporation to limit the liability of certain officers of the Company as permitted pursuant to recent amendments to the Delaware General Corporation Law, as described in the Proxy Statement, was approved</w:t>
      </w:r>
      <w:r>
        <w:rPr>
          <w:rFonts w:ascii="Times New Roman;sans-serif" w:hAnsi="Times New Roman;sans-serif"/>
          <w:b w:val="false"/>
          <w:color w:val="000000"/>
          <w:sz w:val="20"/>
          <w:shd w:fill="FFFFFF" w:val="clear"/>
        </w:rPr>
        <w:t>. The tabulation of votes on this matter was as follows:</w:t>
      </w:r>
    </w:p>
    <w:p>
      <w:pPr>
        <w:pStyle w:val="TextBody"/>
        <w:bidi w:val="0"/>
        <w:spacing w:before="0" w:after="0"/>
        <w:ind w:left="0" w:right="0" w:hanging="11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62" w:type="dxa"/>
        <w:jc w:val="center"/>
        <w:tblInd w:w="0" w:type="dxa"/>
        <w:tblLayout w:type="fixed"/>
        <w:tblCellMar>
          <w:top w:w="28" w:type="dxa"/>
          <w:left w:w="28" w:type="dxa"/>
          <w:bottom w:w="28" w:type="dxa"/>
          <w:right w:w="28" w:type="dxa"/>
        </w:tblCellMar>
      </w:tblPr>
      <w:tblGrid>
        <w:gridCol w:w="380"/>
        <w:gridCol w:w="332"/>
        <w:gridCol w:w="339"/>
        <w:gridCol w:w="109"/>
        <w:gridCol w:w="109"/>
        <w:gridCol w:w="109"/>
        <w:gridCol w:w="309"/>
        <w:gridCol w:w="309"/>
        <w:gridCol w:w="313"/>
        <w:gridCol w:w="109"/>
        <w:gridCol w:w="109"/>
        <w:gridCol w:w="109"/>
        <w:gridCol w:w="250"/>
        <w:gridCol w:w="250"/>
        <w:gridCol w:w="251"/>
        <w:gridCol w:w="109"/>
        <w:gridCol w:w="109"/>
        <w:gridCol w:w="109"/>
        <w:gridCol w:w="109"/>
        <w:gridCol w:w="109"/>
        <w:gridCol w:w="109"/>
        <w:gridCol w:w="299"/>
        <w:gridCol w:w="299"/>
        <w:gridCol w:w="423"/>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Broker</w:t>
              <w:br/>
              <w:t>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29,540,550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5,712,296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84,458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1,196,231</w:t>
            </w:r>
          </w:p>
        </w:tc>
      </w:tr>
    </w:tbl>
    <w:p>
      <w:pPr>
        <w:pStyle w:val="TextBody"/>
        <w:bidi w:val="0"/>
        <w:spacing w:before="0" w:after="0"/>
        <w:ind w:left="0" w:right="0" w:hanging="1170"/>
        <w:jc w:val="center"/>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9403"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333"/>
        <w:gridCol w:w="2333"/>
        <w:gridCol w:w="332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tificateofamendmentofam.htm">
              <w:r>
                <w:rPr>
                  <w:rStyle w:val="InternetLink"/>
                  <w:rFonts w:ascii="Times New Roman;sans-serif" w:hAnsi="Times New Roman;sans-serif"/>
                  <w:b w:val="false"/>
                  <w:color w:val="000080"/>
                  <w:sz w:val="20"/>
                  <w:u w:val="single"/>
                </w:rPr>
                <w:t xml:space="preserve">Certificate of Amendment </w:t>
              </w:r>
            </w:hyperlink>
            <w:hyperlink w:anchor="certificateofamendmentofam.htm">
              <w:r>
                <w:rPr>
                  <w:rStyle w:val="InternetLink"/>
                  <w:rFonts w:ascii="Times New Roman;sans-serif" w:hAnsi="Times New Roman;sans-serif"/>
                  <w:b w:val="false"/>
                  <w:color w:val="000080"/>
                  <w:sz w:val="20"/>
                  <w:u w:val="single"/>
                </w:rPr>
                <w:t>to</w:t>
              </w:r>
            </w:hyperlink>
            <w:hyperlink w:anchor="certificateofamendmentofam.htm">
              <w:r>
                <w:rPr>
                  <w:rStyle w:val="InternetLink"/>
                  <w:rFonts w:ascii="Times New Roman;sans-serif" w:hAnsi="Times New Roman;sans-serif"/>
                  <w:b w:val="false"/>
                  <w:color w:val="000080"/>
                  <w:sz w:val="20"/>
                  <w:u w:val="single"/>
                </w:rPr>
                <w:t xml:space="preserve"> Amended and Restated Certificate of Incorporation of the Company</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231"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22"/>
        <w:gridCol w:w="222"/>
        <w:gridCol w:w="222"/>
        <w:gridCol w:w="1098"/>
        <w:gridCol w:w="1098"/>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623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26, 2024</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4" w:before="0" w:after="0"/>
        <w:ind w:left="0" w:right="0" w:firstLine="720"/>
        <w:jc w:val="right"/>
        <w:rPr>
          <w:rFonts w:ascii="Arial;sans-serif" w:hAnsi="Arial;sans-serif"/>
          <w:b/>
          <w:color w:val="000000"/>
          <w:sz w:val="24"/>
        </w:rPr>
      </w:pPr>
      <w:r>
        <w:rPr>
          <w:rFonts w:ascii="Arial;sans-serif" w:hAnsi="Arial;sans-serif"/>
          <w:b/>
          <w:color w:val="000000"/>
          <w:sz w:val="24"/>
        </w:rPr>
        <w:t>Exhibit 3.1</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2"/>
        </w:rPr>
        <w:t xml:space="preserve">CERTIFICATE OF AMENDMENT OF </w:t>
        <w:br/>
        <w:t xml:space="preserve">AMENDED AND RESTATED CERTIFICATE OF INCORPORATION OF </w:t>
        <w:br/>
        <w:t>SI-BONE, INC.</w:t>
      </w:r>
      <w:r>
        <w:rPr>
          <w:color w:val="000000"/>
        </w:rPr>
        <w:t> </w:t>
      </w:r>
    </w:p>
    <w:p>
      <w:pPr>
        <w:pStyle w:val="TextBody"/>
        <w:bidi w:val="0"/>
        <w:spacing w:before="0" w:after="0"/>
        <w:jc w:val="center"/>
        <w:rPr/>
      </w:pPr>
      <w:r>
        <w:rPr/>
      </w:r>
    </w:p>
    <w:p>
      <w:pPr>
        <w:pStyle w:val="TextBody"/>
        <w:bidi w:val="0"/>
        <w:spacing w:lineRule="auto" w:line="304" w:before="0" w:after="0"/>
        <w:ind w:left="0" w:right="0" w:firstLine="400"/>
        <w:jc w:val="both"/>
        <w:rPr/>
      </w:pPr>
      <w:r>
        <w:rPr>
          <w:rFonts w:ascii="Times New Roman;sans-serif" w:hAnsi="Times New Roman;sans-serif"/>
          <w:b/>
          <w:color w:val="000000"/>
          <w:sz w:val="22"/>
        </w:rPr>
        <w:t>SI-BONE, Inc.</w:t>
      </w:r>
      <w:r>
        <w:rPr>
          <w:rFonts w:ascii="Times New Roman;sans-serif" w:hAnsi="Times New Roman;sans-serif"/>
          <w:b w:val="false"/>
          <w:color w:val="000000"/>
          <w:sz w:val="22"/>
        </w:rPr>
        <w:t xml:space="preserve">, a corporation duly organized and existing under the laws of the State of Delaware (the “Corporation”) pursuant to Section 242 of the General Corporation Law of the State of Delaware (the “DGCL”), hereby certifies as follows: </w:t>
      </w:r>
    </w:p>
    <w:p>
      <w:pPr>
        <w:pStyle w:val="TextBody"/>
        <w:bidi w:val="0"/>
        <w:spacing w:before="0" w:after="0"/>
        <w:ind w:left="0" w:right="0" w:firstLine="400"/>
        <w:jc w:val="both"/>
        <w:rPr/>
      </w:pPr>
      <w:r>
        <w:rPr/>
      </w:r>
    </w:p>
    <w:p>
      <w:pPr>
        <w:pStyle w:val="TextBody"/>
        <w:bidi w:val="0"/>
        <w:spacing w:lineRule="auto" w:line="304" w:before="0" w:after="0"/>
        <w:ind w:left="0" w:right="0" w:firstLine="360"/>
        <w:jc w:val="both"/>
        <w:rPr/>
      </w:pPr>
      <w:r>
        <w:rPr>
          <w:rFonts w:ascii="Times New Roman;sans-serif" w:hAnsi="Times New Roman;sans-serif"/>
          <w:b/>
          <w:color w:val="000000"/>
          <w:sz w:val="22"/>
        </w:rPr>
        <w:t>First:</w:t>
      </w:r>
      <w:r>
        <w:rPr>
          <w:color w:val="000000"/>
        </w:rPr>
        <w:t xml:space="preserve"> </w:t>
      </w:r>
      <w:r>
        <w:rPr>
          <w:rFonts w:ascii="Times New Roman;sans-serif" w:hAnsi="Times New Roman;sans-serif"/>
          <w:b w:val="false"/>
          <w:color w:val="000000"/>
          <w:sz w:val="22"/>
        </w:rPr>
        <w:t xml:space="preserve">The name of the Corporation is </w:t>
      </w:r>
      <w:r>
        <w:rPr>
          <w:rFonts w:ascii="Times New Roman;sans-serif" w:hAnsi="Times New Roman;sans-serif"/>
          <w:b/>
          <w:color w:val="000000"/>
          <w:sz w:val="22"/>
        </w:rPr>
        <w:t>SI-BONE, Inc.</w:t>
      </w:r>
      <w:r>
        <w:rPr>
          <w:color w:val="000000"/>
        </w:rPr>
        <w:t xml:space="preserve"> </w:t>
      </w:r>
      <w:r>
        <w:rPr>
          <w:rFonts w:ascii="Times New Roman;sans-serif" w:hAnsi="Times New Roman;sans-serif"/>
          <w:b w:val="false"/>
          <w:color w:val="000000"/>
          <w:sz w:val="22"/>
        </w:rPr>
        <w:t>The Corporation was originally incorporated under the name SI-BONE Inc.</w:t>
      </w:r>
    </w:p>
    <w:p>
      <w:pPr>
        <w:pStyle w:val="TextBody"/>
        <w:bidi w:val="0"/>
        <w:spacing w:before="0" w:after="0"/>
        <w:ind w:left="0" w:right="0" w:firstLine="360"/>
        <w:jc w:val="both"/>
        <w:rPr/>
      </w:pPr>
      <w:r>
        <w:rPr/>
      </w:r>
    </w:p>
    <w:p>
      <w:pPr>
        <w:pStyle w:val="TextBody"/>
        <w:bidi w:val="0"/>
        <w:spacing w:lineRule="auto" w:line="304" w:before="0" w:after="0"/>
        <w:ind w:left="0" w:right="0" w:firstLine="360"/>
        <w:jc w:val="both"/>
        <w:rPr/>
      </w:pPr>
      <w:r>
        <w:rPr>
          <w:rFonts w:ascii="Times New Roman;sans-serif" w:hAnsi="Times New Roman;sans-serif"/>
          <w:b/>
          <w:color w:val="000000"/>
          <w:sz w:val="22"/>
        </w:rPr>
        <w:t>Second:</w:t>
      </w:r>
      <w:r>
        <w:rPr>
          <w:color w:val="000000"/>
        </w:rPr>
        <w:t xml:space="preserve"> </w:t>
      </w:r>
      <w:r>
        <w:rPr>
          <w:rFonts w:ascii="Times New Roman;sans-serif" w:hAnsi="Times New Roman;sans-serif"/>
          <w:b w:val="false"/>
          <w:color w:val="000000"/>
          <w:sz w:val="22"/>
        </w:rPr>
        <w:t>The date on which the Certificate of Incorporation of the Corporation was originally filed with the Secretary of State of the State of Delaware is March 18, 2008.</w:t>
      </w:r>
    </w:p>
    <w:p>
      <w:pPr>
        <w:pStyle w:val="TextBody"/>
        <w:bidi w:val="0"/>
        <w:spacing w:before="0" w:after="0"/>
        <w:ind w:left="0" w:right="0" w:firstLine="360"/>
        <w:jc w:val="both"/>
        <w:rPr/>
      </w:pPr>
      <w:r>
        <w:rPr/>
      </w:r>
    </w:p>
    <w:p>
      <w:pPr>
        <w:pStyle w:val="TextBody"/>
        <w:bidi w:val="0"/>
        <w:spacing w:lineRule="auto" w:line="304" w:before="0" w:after="0"/>
        <w:ind w:left="0" w:right="0" w:firstLine="360"/>
        <w:jc w:val="both"/>
        <w:rPr/>
      </w:pPr>
      <w:r>
        <w:rPr>
          <w:rFonts w:ascii="Times New Roman;sans-serif" w:hAnsi="Times New Roman;sans-serif"/>
          <w:b/>
          <w:color w:val="000000"/>
          <w:sz w:val="22"/>
        </w:rPr>
        <w:t>Third:</w:t>
      </w:r>
      <w:r>
        <w:rPr>
          <w:color w:val="000000"/>
        </w:rPr>
        <w:t xml:space="preserve"> </w:t>
      </w:r>
      <w:r>
        <w:rPr>
          <w:rFonts w:ascii="Times New Roman;sans-serif" w:hAnsi="Times New Roman;sans-serif"/>
          <w:b w:val="false"/>
          <w:color w:val="000000"/>
          <w:sz w:val="22"/>
        </w:rPr>
        <w:t xml:space="preserve">A new Article VIII of the Amended and Restated Certificate of Incorporation is added as follows: </w:t>
      </w:r>
    </w:p>
    <w:p>
      <w:pPr>
        <w:pStyle w:val="TextBody"/>
        <w:bidi w:val="0"/>
        <w:spacing w:lineRule="auto" w:line="304" w:before="0" w:after="0"/>
        <w:jc w:val="center"/>
        <w:rPr/>
      </w:pPr>
      <w:r>
        <w:rPr>
          <w:color w:val="000000"/>
        </w:rPr>
        <w:t>“</w:t>
      </w:r>
      <w:r>
        <w:rPr>
          <w:rFonts w:ascii="Times New Roman;sans-serif" w:hAnsi="Times New Roman;sans-serif"/>
          <w:b/>
          <w:color w:val="000000"/>
          <w:sz w:val="22"/>
        </w:rPr>
        <w:t>VIII.</w:t>
      </w:r>
    </w:p>
    <w:p>
      <w:pPr>
        <w:pStyle w:val="TextBody"/>
        <w:bidi w:val="0"/>
        <w:spacing w:before="0" w:after="0"/>
        <w:jc w:val="center"/>
        <w:rPr/>
      </w:pPr>
      <w:r>
        <w:rPr/>
      </w:r>
    </w:p>
    <w:p>
      <w:pPr>
        <w:pStyle w:val="TextBody"/>
        <w:bidi w:val="0"/>
        <w:spacing w:lineRule="auto" w:line="304"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VIII, or the adoption of any provision of the Amended and Restated Certificate of Incorporation inconsistent with this Article VIII, shall not adversely affect any right or protection of an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officers, then the liability of an officer of the corporation shall be eliminated or limited to the fullest extent permitted by the DGCL as so amended.” </w:t>
      </w:r>
    </w:p>
    <w:p>
      <w:pPr>
        <w:pStyle w:val="TextBody"/>
        <w:bidi w:val="0"/>
        <w:spacing w:lineRule="auto" w:line="268" w:before="0" w:after="0"/>
        <w:ind w:left="0" w:right="0" w:firstLine="360"/>
        <w:jc w:val="both"/>
        <w:rPr/>
      </w:pPr>
      <w:r>
        <w:rPr>
          <w:rFonts w:ascii="Times New Roman;sans-serif" w:hAnsi="Times New Roman;sans-serif"/>
          <w:b/>
          <w:color w:val="000000"/>
          <w:sz w:val="22"/>
        </w:rPr>
        <w:t>Fourth:</w:t>
      </w:r>
      <w:r>
        <w:rPr>
          <w:color w:val="000000"/>
        </w:rPr>
        <w:t xml:space="preserve"> </w:t>
      </w:r>
      <w:r>
        <w:rPr>
          <w:rFonts w:ascii="Times New Roman;sans-serif" w:hAnsi="Times New Roman;sans-serif"/>
          <w:b w:val="false"/>
          <w:color w:val="000000"/>
          <w:sz w:val="22"/>
        </w:rPr>
        <w:t>Pursuant to a resolution of the Board of Directors, the addition of Article VIII of the Amended and Restated Certificate of Incorporation was submitted to the stockholders of the Corporation for their approval, and was duly adopted at an Annual Meeting of Stockholders held on June 25, 2024, in accordance with the provisions of Section 242 of the DGCL.</w:t>
      </w:r>
    </w:p>
    <w:p>
      <w:pPr>
        <w:pStyle w:val="TextBody"/>
        <w:bidi w:val="0"/>
        <w:spacing w:before="0" w:after="0"/>
        <w:jc w:val="left"/>
        <w:rPr/>
      </w:pPr>
      <w:r>
        <w:rPr/>
      </w:r>
    </w:p>
    <w:p>
      <w:pPr>
        <w:pStyle w:val="TextBody"/>
        <w:bidi w:val="0"/>
        <w:spacing w:lineRule="auto" w:line="304"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70255"/>
                <wp:effectExtent l="0" t="0" r="0" b="0"/>
                <wp:wrapNone/>
                <wp:docPr id="5" name="Frame5"/>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2"/>
        </w:rPr>
        <w:t xml:space="preserve">In Witness Whereof, SI-BONE, Inc. </w:t>
      </w:r>
      <w:r>
        <w:rPr>
          <w:rFonts w:ascii="Times New Roman;sans-serif" w:hAnsi="Times New Roman;sans-serif"/>
          <w:b w:val="false"/>
          <w:color w:val="000000"/>
          <w:sz w:val="22"/>
        </w:rPr>
        <w:t>has caused this Certificate of Amendment to be signed by a duly authorized officer as of June 25,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Laura A. Francis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Laura A. Francis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Chief Executive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70255"/>
                <wp:effectExtent l="0" t="0" r="0" b="0"/>
                <wp:wrapNone/>
                <wp:docPr id="6" name="Frame6"/>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1370</Words>
  <Characters>7655</Characters>
  <CharactersWithSpaces>9113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