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8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80" w:type="dxa"/>
            <w:vAlign w:val="bottom"/>
            <w:vMerge w:val="restart"/>
          </w:tcPr>
          <w:p>
            <w:pPr>
              <w:jc w:val="center"/>
              <w:ind w:right="19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5366385</wp:posOffset>
            </wp:positionH>
            <wp:positionV relativeFrom="paragraph">
              <wp:posOffset>-609600</wp:posOffset>
            </wp:positionV>
            <wp:extent cx="8255" cy="61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-617855</wp:posOffset>
            </wp:positionV>
            <wp:extent cx="8255"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-593090</wp:posOffset>
            </wp:positionV>
            <wp:extent cx="1278255" cy="568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8255"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36830</wp:posOffset>
            </wp:positionV>
            <wp:extent cx="6967220" cy="1756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060" w:space="400"/>
            <w:col w:w="86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95050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09/14/2020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2,547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137,808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2,547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23.0183</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center"/>
              <w:ind w:right="201"/>
              <w:spacing w:after="0"/>
              <w:rPr>
                <w:sz w:val="20"/>
                <w:szCs w:val="20"/>
                <w:color w:val="auto"/>
              </w:rPr>
            </w:pPr>
            <w:r>
              <w:rPr>
                <w:rFonts w:ascii="Times New Roman" w:cs="Times New Roman" w:eastAsia="Times New Roman" w:hAnsi="Times New Roman"/>
                <w:sz w:val="17"/>
                <w:szCs w:val="17"/>
                <w:color w:val="0000FF"/>
              </w:rPr>
              <w:t>135,261</w:t>
            </w:r>
            <w:r>
              <w:rPr>
                <w:rFonts w:ascii="Times New Roman" w:cs="Times New Roman" w:eastAsia="Times New Roman" w:hAnsi="Times New Roman"/>
                <w:sz w:val="21"/>
                <w:szCs w:val="21"/>
                <w:color w:val="008000"/>
                <w:vertAlign w:val="superscript"/>
              </w:rPr>
              <w:t>(3)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09/14/2020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2,547</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05/25/2025</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2,547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122,392</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$23.00 to $23.06,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6" w:lineRule="exact"/>
        <w:rPr>
          <w:rFonts w:ascii="Times New Roman" w:cs="Times New Roman" w:eastAsia="Times New Roman" w:hAnsi="Times New Roman"/>
          <w:sz w:val="13"/>
          <w:szCs w:val="13"/>
          <w:color w:val="008000"/>
        </w:rPr>
      </w:pPr>
    </w:p>
    <w:p>
      <w:pPr>
        <w:ind w:left="40" w:right="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80,080 shares issuable on the settlement of restricted stock units granted to the Reporting Person.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014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09/16/2020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2020-09-16T15:19:45Z</dcterms:created>
  <dcterms:modified xsi:type="dcterms:W3CDTF">2020-09-16T15:19:45Z</dcterms:modified>
</cp:coreProperties>
</file>