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As filed with the U.S. Securities and Exchange Commission on February 27, 2024</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Registration No. 333-</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w:t>
      </w:r>
    </w:p>
    <w:p>
      <w:pPr>
        <w:pStyle w:val="TextBody"/>
        <w:bidi w:val="0"/>
        <w:spacing w:lineRule="auto" w:line="288" w:before="240" w:after="283"/>
        <w:jc w:val="center"/>
        <w:rPr>
          <w:rFonts w:ascii="Times New Roman;sans-serif" w:hAnsi="Times New Roman;sans-serif"/>
          <w:b/>
          <w:color w:val="000000"/>
          <w:sz w:val="30"/>
        </w:rPr>
      </w:pPr>
      <w:r>
        <w:rPr>
          <w:rFonts w:ascii="Times New Roman;sans-serif" w:hAnsi="Times New Roman;sans-serif"/>
          <w:b/>
          <w:color w:val="000000"/>
          <w:sz w:val="30"/>
        </w:rPr>
        <w:t>UNITED STATES</w:t>
      </w:r>
    </w:p>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SECURITIES AND EXCHANGE COMMISSION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w:t>
      </w:r>
    </w:p>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FORM S-8</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REGISTRATION STATEMENT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UNDER</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THE SECURITIES ACT OF 1933</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w:t>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SI-BONE, Inc.</w:t>
      </w:r>
    </w:p>
    <w:p>
      <w:pPr>
        <w:pStyle w:val="TextBody"/>
        <w:bidi w:val="0"/>
        <w:spacing w:lineRule="auto" w:line="288" w:before="0" w:after="24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7302" w:type="dxa"/>
        <w:jc w:val="center"/>
        <w:tblInd w:w="0" w:type="dxa"/>
        <w:tblLayout w:type="fixed"/>
        <w:tblCellMar>
          <w:top w:w="28" w:type="dxa"/>
          <w:left w:w="28" w:type="dxa"/>
          <w:bottom w:w="28" w:type="dxa"/>
          <w:right w:w="28" w:type="dxa"/>
        </w:tblCellMar>
      </w:tblPr>
      <w:tblGrid>
        <w:gridCol w:w="1553"/>
        <w:gridCol w:w="1370"/>
        <w:gridCol w:w="1382"/>
        <w:gridCol w:w="109"/>
        <w:gridCol w:w="109"/>
        <w:gridCol w:w="109"/>
        <w:gridCol w:w="778"/>
        <w:gridCol w:w="778"/>
        <w:gridCol w:w="1114"/>
      </w:tblGrid>
      <w:tr>
        <w:trPr/>
        <w:tc>
          <w:tcPr>
            <w:tcW w:w="1553"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26-2216351</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bl>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471 El Camino Real, Suite 101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Santa Clara, California 95050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(408) 207-0700</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(Zip code)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SI-BONE, Inc. 2018 Equity Incentive Plan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SI-BONE, Inc. 2018 Employee Stock Purchase Plan</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(Full titles of the plans)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Anshul Maheshwari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SI-BONE,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471 El Camino Real, Suite 101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Santa Clara, California 95050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(408) 207-0700</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(Name and address of agent for service) (Telephone number, including area code, of agent for service)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Copies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Matthew B. Hemington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Cooley LLP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3175 Hanover Street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Palo Alto, California 94304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(650) 843-5000</w:t>
      </w:r>
    </w:p>
    <w:p>
      <w:pPr>
        <w:pStyle w:val="TextBody"/>
        <w:bidi w:val="0"/>
        <w:spacing w:before="0" w:after="0"/>
        <w:jc w:val="center"/>
        <w:rPr/>
      </w:pPr>
      <w:r>
        <w:rPr/>
      </w:r>
    </w:p>
    <w:p>
      <w:pPr>
        <w:pStyle w:val="TextBody"/>
        <w:bidi w:val="0"/>
        <w:spacing w:lineRule="auto" w:line="288" w:before="0" w:after="128"/>
        <w:jc w:val="center"/>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tbl>
      <w:tblPr>
        <w:tblW w:w="4478" w:type="dxa"/>
        <w:jc w:val="center"/>
        <w:tblInd w:w="0" w:type="dxa"/>
        <w:tblLayout w:type="fixed"/>
        <w:tblCellMar>
          <w:top w:w="28" w:type="dxa"/>
          <w:left w:w="28" w:type="dxa"/>
          <w:bottom w:w="28" w:type="dxa"/>
          <w:right w:w="28" w:type="dxa"/>
        </w:tblCellMar>
      </w:tblPr>
      <w:tblGrid>
        <w:gridCol w:w="619"/>
        <w:gridCol w:w="544"/>
        <w:gridCol w:w="546"/>
        <w:gridCol w:w="109"/>
        <w:gridCol w:w="109"/>
        <w:gridCol w:w="109"/>
        <w:gridCol w:w="689"/>
        <w:gridCol w:w="689"/>
        <w:gridCol w:w="692"/>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16"/>
              </w:rPr>
            </w:pPr>
            <w:r>
              <w:rPr>
                <w:rFonts w:ascii="Wingdings;sans-serif" w:hAnsi="Wingdings;sans-serif"/>
                <w:b w:val="false"/>
                <w:color w:val="000000"/>
                <w:sz w:val="16"/>
              </w:rPr>
              <w:t>x</w:t>
            </w:r>
          </w:p>
          <w:p>
            <w:pPr>
              <w:pStyle w:val="TableContents"/>
              <w:bidi w:val="0"/>
              <w:spacing w:before="0" w:after="0"/>
              <w:jc w:val="left"/>
              <w:rPr/>
            </w:pPr>
            <w:r>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lineRule="auto" w:line="268" w:before="0" w:after="0"/>
        <w:ind w:left="0" w:right="0" w:firstLine="450"/>
        <w:jc w:val="both"/>
        <w:rPr/>
      </w:pPr>
      <w:r>
        <w:rPr>
          <w:rFonts w:ascii="Times New Roman;sans-serif" w:hAnsi="Times New Roman;sans-serif"/>
          <w:b w:val="false"/>
          <w:color w:val="000000"/>
          <w:sz w:val="20"/>
        </w:rPr>
        <w:t>Pursuant to General Instruction E of Form S-8, SI-BONE, Inc. (the “</w:t>
      </w:r>
      <w:r>
        <w:rPr>
          <w:rFonts w:ascii="Times New Roman;sans-serif" w:hAnsi="Times New Roman;sans-serif"/>
          <w:b/>
          <w:i/>
          <w:color w:val="000000"/>
          <w:sz w:val="20"/>
        </w:rPr>
        <w:t>Registrant</w:t>
      </w:r>
      <w:r>
        <w:rPr>
          <w:color w:val="000000"/>
        </w:rPr>
        <w:t>”</w:t>
      </w:r>
      <w:r>
        <w:rPr>
          <w:rFonts w:ascii="Times New Roman;sans-serif" w:hAnsi="Times New Roman;sans-serif"/>
          <w:b w:val="false"/>
          <w:color w:val="000000"/>
          <w:sz w:val="20"/>
        </w:rPr>
        <w:t>) is filing this Registration Statement for the purpose of registering (a) an additional 2,034,664 shares of its common stock, issuable to eligible persons under its 2018 Equity Incentive Plan (the “2018 Plan”), which common stock is in addition to the shares of common stock previously registered on the Registrant’s Form S-8 registration statements filed on October 19, 2018 (File No. 333-227907), March 22, 2019 (File No. 333-230473), March 11, 2020 (File No. 333-237091), March 10, 2021 (File No. 333-254086), March 1, 2022 (File No. 333-263189), and March 2, 2023 (File No. 333-270230) (the “</w:t>
      </w:r>
      <w:r>
        <w:rPr>
          <w:rFonts w:ascii="Times New Roman;sans-serif" w:hAnsi="Times New Roman;sans-serif"/>
          <w:b/>
          <w:i/>
          <w:color w:val="000000"/>
          <w:sz w:val="20"/>
        </w:rPr>
        <w:t>Prior Forms S-8</w:t>
      </w:r>
      <w:r>
        <w:rPr>
          <w:color w:val="000000"/>
        </w:rPr>
        <w:t>”</w:t>
      </w:r>
      <w:r>
        <w:rPr>
          <w:rFonts w:ascii="Times New Roman;sans-serif" w:hAnsi="Times New Roman;sans-serif"/>
          <w:b w:val="false"/>
          <w:color w:val="000000"/>
          <w:sz w:val="20"/>
        </w:rPr>
        <w:t xml:space="preserve">) and (b) an additional 406,932 shares of its common stock, issuable to eligible persons under its 2018 Employee Stock Purchase Plan (the “2018 ESPP”), which common stock is in addition to the shares of common stock previously registered on the Prior Forms S-8. The contents of the Prior Forms S-8 are incorporated by reference in this Registration Statement. </w:t>
      </w:r>
    </w:p>
    <w:p>
      <w:pPr>
        <w:pStyle w:val="TextBody"/>
        <w:bidi w:val="0"/>
        <w:spacing w:before="240" w:after="283"/>
        <w:ind w:left="0" w:right="0" w:firstLine="495"/>
        <w:jc w:val="both"/>
        <w:rPr/>
      </w:pPr>
      <w:r>
        <w:rPr/>
      </w:r>
    </w:p>
    <w:p>
      <w:pPr>
        <w:pStyle w:val="TextBody"/>
        <w:bidi w:val="0"/>
        <w:spacing w:lineRule="auto" w:line="324" w:before="0" w:after="200"/>
        <w:jc w:val="center"/>
        <w:rPr>
          <w:rFonts w:ascii="Times New Roman;sans-serif" w:hAnsi="Times New Roman;sans-serif"/>
          <w:b/>
          <w:color w:val="000000"/>
          <w:sz w:val="20"/>
        </w:rPr>
      </w:pPr>
      <w:r>
        <w:rPr>
          <w:rFonts w:ascii="Times New Roman;sans-serif" w:hAnsi="Times New Roman;sans-serif"/>
          <w:b/>
          <w:color w:val="000000"/>
          <w:sz w:val="20"/>
        </w:rPr>
        <w:t xml:space="preserve">PART II </w:t>
      </w:r>
    </w:p>
    <w:p>
      <w:pPr>
        <w:pStyle w:val="TextBody"/>
        <w:bidi w:val="0"/>
        <w:spacing w:lineRule="auto" w:line="324" w:before="0" w:after="200"/>
        <w:jc w:val="both"/>
        <w:rPr/>
      </w:pPr>
      <w:r>
        <w:rPr>
          <w:rFonts w:ascii="Times New Roman;sans-serif" w:hAnsi="Times New Roman;sans-serif"/>
          <w:b/>
          <w:color w:val="000000"/>
          <w:sz w:val="20"/>
        </w:rPr>
        <w:t>ITEM 3.</w:t>
      </w:r>
      <w:r>
        <w:rPr>
          <w:color w:val="000000"/>
        </w:rPr>
        <w:t>    </w:t>
      </w:r>
      <w:r>
        <w:rPr>
          <w:rFonts w:ascii="Times New Roman;sans-serif" w:hAnsi="Times New Roman;sans-serif"/>
          <w:b/>
          <w:color w:val="000000"/>
          <w:sz w:val="20"/>
        </w:rPr>
        <w:t>INCORPORATION OF CERTAIN DOCUMENTS BY REFERENCE</w:t>
      </w:r>
    </w:p>
    <w:p>
      <w:pPr>
        <w:pStyle w:val="TextBody"/>
        <w:bidi w:val="0"/>
        <w:spacing w:lineRule="auto" w:line="324" w:before="0" w:after="195"/>
        <w:ind w:left="0" w:right="0" w:firstLine="720"/>
        <w:jc w:val="both"/>
        <w:rPr/>
      </w:pPr>
      <w:r>
        <w:rPr>
          <w:rFonts w:ascii="Times New Roman;sans-serif" w:hAnsi="Times New Roman;sans-serif"/>
          <w:b w:val="false"/>
          <w:color w:val="000000"/>
          <w:sz w:val="20"/>
        </w:rPr>
        <w:t>The following documents filed by the Registrant with the Securities and Exchange Commission (the “</w:t>
      </w:r>
      <w:r>
        <w:rPr>
          <w:rFonts w:ascii="Times New Roman;sans-serif" w:hAnsi="Times New Roman;sans-serif"/>
          <w:b/>
          <w:i/>
          <w:color w:val="000000"/>
          <w:sz w:val="20"/>
        </w:rPr>
        <w:t>SEC</w:t>
      </w:r>
      <w:r>
        <w:rPr>
          <w:color w:val="000000"/>
        </w:rPr>
        <w:t>”</w:t>
      </w:r>
      <w:r>
        <w:rPr>
          <w:rFonts w:ascii="Times New Roman;sans-serif" w:hAnsi="Times New Roman;sans-serif"/>
          <w:b w:val="false"/>
          <w:color w:val="000000"/>
          <w:sz w:val="20"/>
        </w:rPr>
        <w:t>) are incorporated by reference into this Registration Statement:</w:t>
      </w:r>
    </w:p>
    <w:p>
      <w:pPr>
        <w:pStyle w:val="TextBody"/>
        <w:bidi w:val="0"/>
        <w:spacing w:lineRule="auto" w:line="324" w:before="0" w:after="0"/>
        <w:ind w:left="0" w:right="0" w:firstLine="720"/>
        <w:jc w:val="both"/>
        <w:rPr/>
      </w:pPr>
      <w:r>
        <w:rPr>
          <w:rFonts w:ascii="Times New Roman;sans-serif" w:hAnsi="Times New Roman;sans-serif"/>
          <w:b/>
          <w:color w:val="000000"/>
          <w:sz w:val="20"/>
        </w:rPr>
        <w:t>(a)</w:t>
      </w:r>
      <w:r>
        <w:rPr>
          <w:color w:val="000000"/>
        </w:rPr>
        <w:t>    </w:t>
      </w:r>
      <w:r>
        <w:rPr>
          <w:rFonts w:ascii="Times New Roman;sans-serif" w:hAnsi="Times New Roman;sans-serif"/>
          <w:b w:val="false"/>
          <w:color w:val="000000"/>
          <w:sz w:val="20"/>
        </w:rPr>
        <w:t xml:space="preserve">The contents of the earlier registration statements on Form S-8 relating to the 2018 Plan and 2018 ESPP, filed with the SEC on </w:t>
      </w:r>
      <w:hyperlink r:id="rId2">
        <w:r>
          <w:rPr>
            <w:rStyle w:val="InternetLink"/>
            <w:rFonts w:ascii="Times New Roman;sans-serif" w:hAnsi="Times New Roman;sans-serif"/>
            <w:b w:val="false"/>
            <w:color w:val="0000FF"/>
            <w:sz w:val="20"/>
            <w:u w:val="single"/>
          </w:rPr>
          <w:t>October 19, 2018</w:t>
        </w:r>
      </w:hyperlink>
      <w:r>
        <w:rPr>
          <w:color w:val="000000"/>
        </w:rPr>
        <w:t xml:space="preserve"> </w:t>
      </w:r>
      <w:r>
        <w:rPr>
          <w:rFonts w:ascii="Times New Roman;sans-serif" w:hAnsi="Times New Roman;sans-serif"/>
          <w:b w:val="false"/>
          <w:color w:val="000000"/>
          <w:sz w:val="20"/>
        </w:rPr>
        <w:t xml:space="preserve">(File No. 333-227907), </w:t>
      </w:r>
      <w:hyperlink r:id="rId3">
        <w:r>
          <w:rPr>
            <w:rStyle w:val="InternetLink"/>
            <w:rFonts w:ascii="Times New Roman;sans-serif" w:hAnsi="Times New Roman;sans-serif"/>
            <w:b w:val="false"/>
            <w:color w:val="0000FF"/>
            <w:sz w:val="20"/>
            <w:u w:val="single"/>
          </w:rPr>
          <w:t>March 22, 2019</w:t>
        </w:r>
      </w:hyperlink>
      <w:r>
        <w:rPr>
          <w:color w:val="000000"/>
        </w:rPr>
        <w:t xml:space="preserve"> </w:t>
      </w:r>
      <w:r>
        <w:rPr>
          <w:rFonts w:ascii="Times New Roman;sans-serif" w:hAnsi="Times New Roman;sans-serif"/>
          <w:b w:val="false"/>
          <w:color w:val="000000"/>
          <w:sz w:val="20"/>
        </w:rPr>
        <w:t xml:space="preserve">(File No. 333-230473), </w:t>
      </w:r>
      <w:hyperlink r:id="rId4">
        <w:r>
          <w:rPr>
            <w:rStyle w:val="InternetLink"/>
            <w:rFonts w:ascii="Times New Roman;sans-serif" w:hAnsi="Times New Roman;sans-serif"/>
            <w:b w:val="false"/>
            <w:color w:val="0000FF"/>
            <w:sz w:val="20"/>
            <w:u w:val="single"/>
          </w:rPr>
          <w:t>March 11, 2020</w:t>
        </w:r>
      </w:hyperlink>
      <w:r>
        <w:rPr>
          <w:color w:val="000000"/>
        </w:rPr>
        <w:t xml:space="preserve"> </w:t>
      </w:r>
      <w:r>
        <w:rPr>
          <w:rFonts w:ascii="Times New Roman;sans-serif" w:hAnsi="Times New Roman;sans-serif"/>
          <w:b w:val="false"/>
          <w:color w:val="000000"/>
          <w:sz w:val="20"/>
        </w:rPr>
        <w:t xml:space="preserve">(File No. 333-237091), </w:t>
      </w:r>
      <w:hyperlink r:id="rId5">
        <w:r>
          <w:rPr>
            <w:rStyle w:val="InternetLink"/>
            <w:rFonts w:ascii="Times New Roman;sans-serif" w:hAnsi="Times New Roman;sans-serif"/>
            <w:b w:val="false"/>
            <w:color w:val="0000FF"/>
            <w:sz w:val="20"/>
            <w:u w:val="single"/>
          </w:rPr>
          <w:t>March 10, 2021</w:t>
        </w:r>
      </w:hyperlink>
      <w:r>
        <w:rPr>
          <w:color w:val="000000"/>
        </w:rPr>
        <w:t xml:space="preserve"> </w:t>
      </w:r>
      <w:r>
        <w:rPr>
          <w:rFonts w:ascii="Times New Roman;sans-serif" w:hAnsi="Times New Roman;sans-serif"/>
          <w:b w:val="false"/>
          <w:color w:val="000000"/>
          <w:sz w:val="20"/>
        </w:rPr>
        <w:t xml:space="preserve">(File No. 333-254086), </w:t>
      </w:r>
      <w:hyperlink r:id="rId6">
        <w:r>
          <w:rPr>
            <w:rStyle w:val="InternetLink"/>
            <w:rFonts w:ascii="Times New Roman;sans-serif" w:hAnsi="Times New Roman;sans-serif"/>
            <w:b w:val="false"/>
            <w:color w:val="0000FF"/>
            <w:sz w:val="20"/>
            <w:u w:val="single"/>
          </w:rPr>
          <w:t>March 1, 2022</w:t>
        </w:r>
      </w:hyperlink>
      <w:r>
        <w:rPr>
          <w:color w:val="000000"/>
        </w:rPr>
        <w:t xml:space="preserve"> </w:t>
      </w:r>
      <w:r>
        <w:rPr>
          <w:rFonts w:ascii="Times New Roman;sans-serif" w:hAnsi="Times New Roman;sans-serif"/>
          <w:b w:val="false"/>
          <w:color w:val="000000"/>
          <w:sz w:val="20"/>
        </w:rPr>
        <w:t xml:space="preserve">(File No. 333-263189) and </w:t>
      </w:r>
      <w:hyperlink r:id="rId7">
        <w:r>
          <w:rPr>
            <w:rStyle w:val="InternetLink"/>
            <w:rFonts w:ascii="Times New Roman;sans-serif" w:hAnsi="Times New Roman;sans-serif"/>
            <w:b w:val="false"/>
            <w:color w:val="0000FF"/>
            <w:sz w:val="20"/>
            <w:u w:val="single"/>
          </w:rPr>
          <w:t>March 2, 2023</w:t>
        </w:r>
      </w:hyperlink>
      <w:r>
        <w:rPr>
          <w:color w:val="000000"/>
        </w:rPr>
        <w:t xml:space="preserve"> </w:t>
      </w:r>
      <w:r>
        <w:rPr>
          <w:rFonts w:ascii="Times New Roman;sans-serif" w:hAnsi="Times New Roman;sans-serif"/>
          <w:b w:val="false"/>
          <w:color w:val="000000"/>
          <w:sz w:val="20"/>
        </w:rPr>
        <w:t>(File No. 333-270230).</w:t>
      </w:r>
    </w:p>
    <w:p>
      <w:pPr>
        <w:pStyle w:val="TextBody"/>
        <w:bidi w:val="0"/>
        <w:spacing w:lineRule="auto" w:line="324" w:before="0" w:after="0"/>
        <w:jc w:val="both"/>
        <w:rPr>
          <w:color w:val="000000"/>
          <w:shd w:fill="FFFFFF" w:val="clear"/>
        </w:rPr>
      </w:pPr>
      <w:r>
        <w:rPr>
          <w:color w:val="000000"/>
          <w:shd w:fill="FFFFFF" w:val="clear"/>
        </w:rPr>
        <w:t> </w:t>
      </w:r>
    </w:p>
    <w:p>
      <w:pPr>
        <w:pStyle w:val="TextBody"/>
        <w:bidi w:val="0"/>
        <w:spacing w:lineRule="auto" w:line="324" w:before="0" w:after="0"/>
        <w:ind w:left="0" w:right="0" w:firstLine="720"/>
        <w:jc w:val="both"/>
        <w:rPr/>
      </w:pPr>
      <w:r>
        <w:rPr>
          <w:rFonts w:ascii="Times New Roman;sans-serif" w:hAnsi="Times New Roman;sans-serif"/>
          <w:b/>
          <w:color w:val="000000"/>
          <w:sz w:val="20"/>
          <w:shd w:fill="FFFFFF" w:val="clear"/>
        </w:rPr>
        <w:t>(b)</w:t>
      </w:r>
      <w:r>
        <w:rPr>
          <w:color w:val="000000"/>
          <w:shd w:fill="FFFFFF" w:val="clear"/>
        </w:rPr>
        <w:t>    </w:t>
      </w:r>
      <w:r>
        <w:rPr>
          <w:rFonts w:ascii="Times New Roman;sans-serif" w:hAnsi="Times New Roman;sans-serif"/>
          <w:b w:val="false"/>
          <w:color w:val="000000"/>
          <w:sz w:val="20"/>
          <w:shd w:fill="FFFFFF" w:val="clear"/>
        </w:rPr>
        <w:t xml:space="preserve">The Registrant’s Annual Report on Form 10-K for the year ended December 31, 2023, filed with the SEC on </w:t>
      </w:r>
      <w:hyperlink r:id="rId8">
        <w:r>
          <w:rPr>
            <w:rStyle w:val="InternetLink"/>
            <w:rFonts w:ascii="Times New Roman;sans-serif" w:hAnsi="Times New Roman;sans-serif"/>
            <w:b w:val="false"/>
            <w:color w:val="0000FF"/>
            <w:sz w:val="20"/>
            <w:u w:val="single"/>
          </w:rPr>
          <w:t>February 27, 2024</w:t>
        </w:r>
      </w:hyperlink>
      <w:r>
        <w:rPr>
          <w:rFonts w:ascii="Times New Roman;sans-serif" w:hAnsi="Times New Roman;sans-serif"/>
          <w:b w:val="false"/>
          <w:color w:val="000000"/>
          <w:sz w:val="20"/>
        </w:rPr>
        <w:t>.</w:t>
      </w:r>
    </w:p>
    <w:p>
      <w:pPr>
        <w:pStyle w:val="TextBody"/>
        <w:bidi w:val="0"/>
        <w:spacing w:lineRule="auto" w:line="324" w:before="0" w:after="0"/>
        <w:jc w:val="both"/>
        <w:rPr>
          <w:color w:val="000000"/>
        </w:rPr>
      </w:pPr>
      <w:r>
        <w:rPr>
          <w:color w:val="000000"/>
        </w:rPr>
        <w:t> </w:t>
      </w:r>
    </w:p>
    <w:p>
      <w:pPr>
        <w:pStyle w:val="TextBody"/>
        <w:bidi w:val="0"/>
        <w:spacing w:lineRule="auto" w:line="324" w:before="0" w:after="0"/>
        <w:ind w:left="0" w:right="0" w:firstLine="720"/>
        <w:jc w:val="both"/>
        <w:rPr/>
      </w:pPr>
      <w:r>
        <w:rPr>
          <w:rFonts w:ascii="Times New Roman;sans-serif" w:hAnsi="Times New Roman;sans-serif"/>
          <w:b/>
          <w:color w:val="000000"/>
          <w:sz w:val="20"/>
        </w:rPr>
        <w:t>(c)</w:t>
      </w:r>
      <w:r>
        <w:rPr>
          <w:color w:val="000000"/>
        </w:rPr>
        <w:t>    </w:t>
      </w:r>
      <w:r>
        <w:rPr>
          <w:rFonts w:ascii="Times New Roman;sans-serif" w:hAnsi="Times New Roman;sans-serif"/>
          <w:b w:val="false"/>
          <w:color w:val="000000"/>
          <w:sz w:val="20"/>
        </w:rPr>
        <w:t xml:space="preserve">The description of the Registrant’s Common Stock which is contained in a registration statement on </w:t>
      </w:r>
      <w:hyperlink r:id="rId9">
        <w:r>
          <w:rPr>
            <w:rStyle w:val="InternetLink"/>
            <w:rFonts w:ascii="Times New Roman;sans-serif" w:hAnsi="Times New Roman;sans-serif"/>
            <w:b w:val="false"/>
            <w:color w:val="0000FF"/>
            <w:sz w:val="20"/>
            <w:u w:val="single"/>
          </w:rPr>
          <w:t>Form 8-A filed on October 11, 2018</w:t>
        </w:r>
      </w:hyperlink>
      <w:r>
        <w:rPr>
          <w:color w:val="000000"/>
        </w:rPr>
        <w:t xml:space="preserve"> </w:t>
      </w:r>
      <w:r>
        <w:rPr>
          <w:rFonts w:ascii="Times New Roman;sans-serif" w:hAnsi="Times New Roman;sans-serif"/>
          <w:b w:val="false"/>
          <w:color w:val="000000"/>
          <w:sz w:val="20"/>
        </w:rPr>
        <w:t>(File No. 001-38701) under the Exchange Act of 1934, as amended (the “</w:t>
      </w:r>
      <w:r>
        <w:rPr>
          <w:rFonts w:ascii="Times New Roman;sans-serif" w:hAnsi="Times New Roman;sans-serif"/>
          <w:b/>
          <w:i/>
          <w:color w:val="000000"/>
          <w:sz w:val="20"/>
        </w:rPr>
        <w:t>Exchange Act</w:t>
      </w:r>
      <w:r>
        <w:rPr>
          <w:color w:val="000000"/>
        </w:rPr>
        <w:t>”</w:t>
      </w:r>
      <w:r>
        <w:rPr>
          <w:rFonts w:ascii="Times New Roman;sans-serif" w:hAnsi="Times New Roman;sans-serif"/>
          <w:b w:val="false"/>
          <w:color w:val="000000"/>
          <w:sz w:val="20"/>
        </w:rPr>
        <w:t>), including any amendment or report filed for the purpose of updating such description, including the Description of SI-BONE, Inc. Common stock filed as Exhibit 4.3 to the Registrant's Form 10-K filed with the SEC on May 5, 2020.</w:t>
      </w:r>
    </w:p>
    <w:p>
      <w:pPr>
        <w:pStyle w:val="TextBody"/>
        <w:bidi w:val="0"/>
        <w:spacing w:lineRule="auto" w:line="324" w:before="0" w:after="0"/>
        <w:jc w:val="both"/>
        <w:rPr>
          <w:color w:val="000000"/>
        </w:rPr>
      </w:pPr>
      <w:r>
        <w:rPr>
          <w:color w:val="000000"/>
        </w:rPr>
        <w:t> </w:t>
      </w:r>
    </w:p>
    <w:p>
      <w:pPr>
        <w:pStyle w:val="TextBody"/>
        <w:bidi w:val="0"/>
        <w:spacing w:lineRule="auto" w:line="324" w:before="0" w:after="0"/>
        <w:ind w:left="0" w:right="0" w:firstLine="720"/>
        <w:jc w:val="both"/>
        <w:rPr/>
      </w:pPr>
      <w:r>
        <w:rPr>
          <w:rFonts w:ascii="Times New Roman;sans-serif" w:hAnsi="Times New Roman;sans-serif"/>
          <w:b/>
          <w:color w:val="000000"/>
          <w:sz w:val="20"/>
        </w:rPr>
        <w:t>(d)</w:t>
      </w:r>
      <w:r>
        <w:rPr>
          <w:color w:val="000000"/>
        </w:rPr>
        <w:t>    </w:t>
      </w:r>
      <w:r>
        <w:rPr>
          <w:rFonts w:ascii="Times New Roman;sans-serif" w:hAnsi="Times New Roman;sans-serif"/>
          <w:b w:val="false"/>
          <w:color w:val="000000"/>
          <w:sz w:val="20"/>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pPr>
      <w:r>
        <w:rPr>
          <w:rFonts w:ascii="Times New Roman;sans-serif" w:hAnsi="Times New Roman;sans-serif"/>
          <w:b/>
          <w:color w:val="000000"/>
          <w:sz w:val="20"/>
        </w:rPr>
        <w:t>ITEM 8.</w:t>
      </w:r>
      <w:r>
        <w:rPr>
          <w:color w:val="000000"/>
        </w:rPr>
        <w:t>    </w:t>
      </w:r>
      <w:r>
        <w:rPr>
          <w:rFonts w:ascii="Times New Roman;sans-serif" w:hAnsi="Times New Roman;sans-serif"/>
          <w:b/>
          <w:color w:val="000000"/>
          <w:sz w:val="20"/>
        </w:rPr>
        <w:t>EXHIBITS</w:t>
      </w:r>
    </w:p>
    <w:p>
      <w:pPr>
        <w:pStyle w:val="TextBody"/>
        <w:bidi w:val="0"/>
        <w:spacing w:lineRule="auto" w:line="417"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exhibits to this Registration Statement are listed below.</w:t>
      </w:r>
    </w:p>
    <w:tbl>
      <w:tblPr>
        <w:tblW w:w="10205" w:type="dxa"/>
        <w:jc w:val="center"/>
        <w:tblInd w:w="0" w:type="dxa"/>
        <w:tblLayout w:type="fixed"/>
        <w:tblCellMar>
          <w:top w:w="28" w:type="dxa"/>
          <w:left w:w="28" w:type="dxa"/>
          <w:bottom w:w="28" w:type="dxa"/>
          <w:right w:w="28" w:type="dxa"/>
        </w:tblCellMar>
      </w:tblPr>
      <w:tblGrid>
        <w:gridCol w:w="277"/>
        <w:gridCol w:w="244"/>
        <w:gridCol w:w="245"/>
        <w:gridCol w:w="109"/>
        <w:gridCol w:w="109"/>
        <w:gridCol w:w="109"/>
        <w:gridCol w:w="1583"/>
        <w:gridCol w:w="818"/>
        <w:gridCol w:w="826"/>
        <w:gridCol w:w="109"/>
        <w:gridCol w:w="109"/>
        <w:gridCol w:w="109"/>
        <w:gridCol w:w="265"/>
        <w:gridCol w:w="265"/>
        <w:gridCol w:w="266"/>
        <w:gridCol w:w="109"/>
        <w:gridCol w:w="109"/>
        <w:gridCol w:w="109"/>
        <w:gridCol w:w="266"/>
        <w:gridCol w:w="266"/>
        <w:gridCol w:w="267"/>
        <w:gridCol w:w="109"/>
        <w:gridCol w:w="109"/>
        <w:gridCol w:w="109"/>
        <w:gridCol w:w="225"/>
        <w:gridCol w:w="225"/>
        <w:gridCol w:w="226"/>
        <w:gridCol w:w="109"/>
        <w:gridCol w:w="109"/>
        <w:gridCol w:w="109"/>
        <w:gridCol w:w="478"/>
        <w:gridCol w:w="297"/>
        <w:gridCol w:w="288"/>
        <w:gridCol w:w="109"/>
        <w:gridCol w:w="109"/>
        <w:gridCol w:w="109"/>
        <w:gridCol w:w="266"/>
        <w:gridCol w:w="266"/>
        <w:gridCol w:w="38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Schedule</w:t>
              <w:b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Filed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Filed Herewith</w:t>
            </w:r>
          </w:p>
        </w:tc>
      </w:tr>
      <w:tr>
        <w:trPr/>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Amended and Restated Certificate of Incorporation of the Registrant, as currently in effect.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19, 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Second 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Form of Registrant’s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October 5, 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51cooleyopinions-82.htm">
              <w:r>
                <w:rPr>
                  <w:rStyle w:val="InternetLink"/>
                  <w:rFonts w:ascii="Times New Roman;sans-serif" w:hAnsi="Times New Roman;sans-serif"/>
                  <w:b w:val="false"/>
                  <w:color w:val="0000FF"/>
                  <w:sz w:val="20"/>
                  <w:u w:val="single"/>
                </w:rPr>
                <w:t>Opinion of Cooley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sibn-ex231_pwcxconsentsx82.htm">
              <w:r>
                <w:rPr>
                  <w:rStyle w:val="InternetLink"/>
                  <w:rFonts w:ascii="Times New Roman;sans-serif" w:hAnsi="Times New Roman;sans-serif"/>
                  <w:b w:val="false"/>
                  <w:color w:val="0000FF"/>
                  <w:sz w:val="20"/>
                  <w:u w:val="single"/>
                </w:rPr>
                <w:t>Consent of PricewaterhouseCoopers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17263f17d134759a56a517709d048f3_4">
              <w:r>
                <w:rPr>
                  <w:rStyle w:val="InternetLink"/>
                  <w:rFonts w:ascii="Times New Roman;sans-serif" w:hAnsi="Times New Roman;sans-serif"/>
                  <w:b w:val="false"/>
                  <w:color w:val="0000FF"/>
                  <w:sz w:val="20"/>
                  <w:u w:val="single"/>
                </w:rPr>
                <w:t>Power of Attorney (included on the signature page of this Form S-8).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2018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October 5, 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Forms of Stock Option Grant Notice, Option Agreement and Notice of Exercise under the 2018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October 5, 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Forms of Restricted Stock Unit Grant Notice and Restricted Stock Unit Award Agreement under the 2018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October 5, 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2018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October 5, 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Form of Performance-Based Restricted Stock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7.htm">
              <w:r>
                <w:rPr>
                  <w:rStyle w:val="InternetLink"/>
                  <w:rFonts w:ascii="Times New Roman;sans-serif" w:hAnsi="Times New Roman;sans-serif"/>
                  <w:b w:val="false"/>
                  <w:color w:val="0000FF"/>
                  <w:sz w:val="20"/>
                  <w:u w:val="single"/>
                </w:rPr>
                <w:t>Filing Fee Table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bidi w:val="0"/>
        <w:spacing w:before="0" w:after="22"/>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Santa Clara, State of California, on this 27th day of February 2024.</w:t>
      </w:r>
    </w:p>
    <w:tbl>
      <w:tblPr>
        <w:tblW w:w="2719" w:type="dxa"/>
        <w:jc w:val="right"/>
        <w:tblInd w:w="0" w:type="dxa"/>
        <w:tblLayout w:type="fixed"/>
        <w:tblCellMar>
          <w:top w:w="28" w:type="dxa"/>
          <w:left w:w="28" w:type="dxa"/>
          <w:bottom w:w="28" w:type="dxa"/>
          <w:right w:w="28" w:type="dxa"/>
        </w:tblCellMar>
      </w:tblPr>
      <w:tblGrid>
        <w:gridCol w:w="236"/>
        <w:gridCol w:w="207"/>
        <w:gridCol w:w="207"/>
        <w:gridCol w:w="601"/>
        <w:gridCol w:w="601"/>
        <w:gridCol w:w="867"/>
      </w:tblGrid>
      <w:tr>
        <w:trPr/>
        <w:tc>
          <w:tcPr>
            <w:tcW w:w="23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27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SI-BONE, Inc.</w:t>
            </w:r>
          </w:p>
        </w:tc>
      </w:tr>
      <w:tr>
        <w:trPr/>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Laura A. Francis</w:t>
            </w:r>
          </w:p>
        </w:tc>
      </w:tr>
      <w:tr>
        <w:trPr/>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Laura A. Francis</w:t>
            </w:r>
          </w:p>
        </w:tc>
      </w:tr>
      <w:tr>
        <w:trPr/>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0" w:after="120"/>
        <w:ind w:left="0" w:right="0" w:firstLine="630"/>
        <w:jc w:val="both"/>
        <w:rPr/>
      </w:pPr>
      <w:r>
        <w:rPr>
          <w:rFonts w:ascii="Times New Roman;sans-serif" w:hAnsi="Times New Roman;sans-serif"/>
          <w:b/>
          <w:color w:val="000000"/>
          <w:sz w:val="20"/>
        </w:rPr>
        <w:t>Know All Persons By These Presents</w:t>
      </w:r>
      <w:r>
        <w:rPr>
          <w:rFonts w:ascii="Times New Roman;sans-serif" w:hAnsi="Times New Roman;sans-serif"/>
          <w:b w:val="false"/>
          <w:color w:val="000000"/>
          <w:sz w:val="20"/>
        </w:rPr>
        <w:t>, that each person whose signature appears below constitutes and appoints Laura A. Francis, and Michael A. Pisetsky, each of them, as his or her true and lawful attorneys-in-fact and agents, each with the full power of substitution, for him or her and in their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pStyle w:val="TextBody"/>
        <w:bidi w:val="0"/>
        <w:spacing w:lineRule="auto" w:line="288" w:before="0" w:after="12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this Registration Statement has been signed by the following persons in the capacities and on the dates indicated.</w:t>
      </w:r>
    </w:p>
    <w:tbl>
      <w:tblPr>
        <w:tblW w:w="9277" w:type="dxa"/>
        <w:jc w:val="center"/>
        <w:tblInd w:w="0" w:type="dxa"/>
        <w:tblLayout w:type="fixed"/>
        <w:tblCellMar>
          <w:top w:w="28" w:type="dxa"/>
          <w:left w:w="28" w:type="dxa"/>
          <w:bottom w:w="28" w:type="dxa"/>
          <w:right w:w="28" w:type="dxa"/>
        </w:tblCellMar>
      </w:tblPr>
      <w:tblGrid>
        <w:gridCol w:w="770"/>
        <w:gridCol w:w="677"/>
        <w:gridCol w:w="682"/>
        <w:gridCol w:w="109"/>
        <w:gridCol w:w="109"/>
        <w:gridCol w:w="109"/>
        <w:gridCol w:w="1613"/>
        <w:gridCol w:w="1613"/>
        <w:gridCol w:w="1633"/>
        <w:gridCol w:w="109"/>
        <w:gridCol w:w="109"/>
        <w:gridCol w:w="109"/>
        <w:gridCol w:w="477"/>
        <w:gridCol w:w="477"/>
        <w:gridCol w:w="681"/>
      </w:tblGrid>
      <w:tr>
        <w:trPr/>
        <w:tc>
          <w:tcPr>
            <w:tcW w:w="77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186"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962"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Laura A. Francis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p>
            <w:pPr>
              <w:pStyle w:val="TableContents"/>
              <w:bidi w:val="0"/>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Duly Authorized Officer and Principal Executive Officer</w:t>
            </w:r>
            <w:r>
              <w:rPr>
                <w:rFonts w:ascii="Times New Roman;sans-serif" w:hAnsi="Times New Roman;sans-serif"/>
                <w:b w:val="false"/>
                <w:color w:val="000000"/>
                <w:sz w:val="16"/>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Laura A. Francis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186"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Anshul Maheshwari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186"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Timothy E. Davis, Jr.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Timothy E. Davis,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Jeffrey W. Dunn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Jeffrey W. Dunn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John G. Freund, M.D.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G. Freund,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Jeryl L. Hilleman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Jeryl L. Hilleman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Gregory K. Hinckley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Gregory K. Hinckley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Helen Loh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Helen Loh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Mika Nishimura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Mika Nishimura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Keith C. Valentine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Keith C. Valentine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Exhibit 107</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Calculation of Filing Fee Table </w:t>
      </w:r>
    </w:p>
    <w:p>
      <w:pPr>
        <w:pStyle w:val="TextBody"/>
        <w:bidi w:val="0"/>
        <w:spacing w:lineRule="auto" w:line="26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Form S-8</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(Form Type) </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SI-BONE, Inc.</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(Exact Name of Registrant as Specified in its Charter) </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Table 1: Newly Registered </w:t>
      </w:r>
    </w:p>
    <w:tbl>
      <w:tblPr>
        <w:tblW w:w="10205" w:type="dxa"/>
        <w:jc w:val="center"/>
        <w:tblInd w:w="0" w:type="dxa"/>
        <w:tblLayout w:type="fixed"/>
        <w:tblCellMar>
          <w:top w:w="28" w:type="dxa"/>
          <w:left w:w="28" w:type="dxa"/>
          <w:bottom w:w="28" w:type="dxa"/>
          <w:right w:w="28" w:type="dxa"/>
        </w:tblCellMar>
      </w:tblPr>
      <w:tblGrid>
        <w:gridCol w:w="326"/>
        <w:gridCol w:w="287"/>
        <w:gridCol w:w="288"/>
        <w:gridCol w:w="745"/>
        <w:gridCol w:w="644"/>
        <w:gridCol w:w="646"/>
        <w:gridCol w:w="405"/>
        <w:gridCol w:w="405"/>
        <w:gridCol w:w="407"/>
        <w:gridCol w:w="401"/>
        <w:gridCol w:w="401"/>
        <w:gridCol w:w="402"/>
        <w:gridCol w:w="393"/>
        <w:gridCol w:w="393"/>
        <w:gridCol w:w="394"/>
        <w:gridCol w:w="505"/>
        <w:gridCol w:w="378"/>
        <w:gridCol w:w="379"/>
        <w:gridCol w:w="346"/>
        <w:gridCol w:w="346"/>
        <w:gridCol w:w="300"/>
        <w:gridCol w:w="409"/>
        <w:gridCol w:w="409"/>
        <w:gridCol w:w="596"/>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2035"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Security Type</w:t>
            </w:r>
          </w:p>
        </w:tc>
        <w:tc>
          <w:tcPr>
            <w:tcW w:w="2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Security Class Title</w:t>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Fee Calculation Rule</w:t>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Amount Registered(1)</w:t>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Proposed Maximum</w:t>
            </w:r>
          </w:p>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Offering Price Per Share</w:t>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Maximum Aggregate</w:t>
            </w:r>
          </w:p>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Offering Price</w:t>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Fee Rate</w:t>
            </w:r>
          </w:p>
        </w:tc>
        <w:tc>
          <w:tcPr>
            <w:tcW w:w="14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Amount of Registration Fee</w:t>
            </w:r>
          </w:p>
        </w:tc>
      </w:tr>
      <w:tr>
        <w:trPr/>
        <w:tc>
          <w:tcPr>
            <w:tcW w:w="9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2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per share, SI-BONE, Inc. 2018 Equity Incentive Plan</w:t>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Other(2)</w:t>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2,034,664</w:t>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$19.96 (2)</w:t>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$40,611,893</w:t>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$147.60 per $1.0 million</w:t>
            </w:r>
          </w:p>
        </w:tc>
        <w:tc>
          <w:tcPr>
            <w:tcW w:w="14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$5,994.32</w:t>
            </w:r>
          </w:p>
        </w:tc>
      </w:tr>
      <w:tr>
        <w:trPr/>
        <w:tc>
          <w:tcPr>
            <w:tcW w:w="9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2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per share, SI-BONE, Inc. 2018 Employee Stock Purchase Plan</w:t>
            </w:r>
          </w:p>
        </w:tc>
        <w:tc>
          <w:tcPr>
            <w:tcW w:w="12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Other(2)</w:t>
            </w:r>
          </w:p>
        </w:tc>
        <w:tc>
          <w:tcPr>
            <w:tcW w:w="12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406,932</w:t>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$16.97 (3)</w:t>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$6,905,636</w:t>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$147.60 per $1.0 million</w:t>
            </w:r>
          </w:p>
        </w:tc>
        <w:tc>
          <w:tcPr>
            <w:tcW w:w="14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$1,019.27</w:t>
            </w:r>
          </w:p>
        </w:tc>
      </w:tr>
      <w:tr>
        <w:trPr/>
        <w:tc>
          <w:tcPr>
            <w:tcW w:w="5357"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Total Offering Amounts</w:t>
            </w:r>
          </w:p>
        </w:tc>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$47,517,529</w:t>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$7,013.59</w:t>
            </w:r>
          </w:p>
        </w:tc>
      </w:tr>
      <w:tr>
        <w:trPr/>
        <w:tc>
          <w:tcPr>
            <w:tcW w:w="5357"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Total Fees Previously Paid</w:t>
            </w:r>
          </w:p>
        </w:tc>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color w:val="000000"/>
              </w:rPr>
            </w:pPr>
            <w:r>
              <w:rPr>
                <w:color w:val="000000"/>
              </w:rPr>
              <w:t>—</w:t>
            </w:r>
          </w:p>
        </w:tc>
      </w:tr>
      <w:tr>
        <w:trPr/>
        <w:tc>
          <w:tcPr>
            <w:tcW w:w="5357"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Total Fee Offsets</w:t>
            </w:r>
          </w:p>
        </w:tc>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color w:val="000000"/>
              </w:rPr>
            </w:pPr>
            <w:r>
              <w:rPr>
                <w:color w:val="000000"/>
              </w:rPr>
              <w:t>—</w:t>
            </w:r>
          </w:p>
        </w:tc>
      </w:tr>
      <w:tr>
        <w:trPr/>
        <w:tc>
          <w:tcPr>
            <w:tcW w:w="5357"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Net Fee Due</w:t>
            </w:r>
          </w:p>
        </w:tc>
        <w:tc>
          <w:tcPr>
            <w:tcW w:w="118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$7,013.59</w:t>
            </w:r>
          </w:p>
        </w:tc>
      </w:tr>
    </w:tbl>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Pursuant to Rule 416(a) of the Securities Act of 1933, as amended (the “Securities Act”), this Registration Statement also covers any additional securities that may be offered or become issuable under the SI-BONE, Inc. 2018 Equity Incentive Plan or SI-BONE, Inc. 2018 Employee Stock Purchase (the “2018 ESPP”) in connection with any stock split, stock dividend, recapitalization or any other similar transaction effected without receipt of consideration, which results in an increase in the number of the Registrant’s outstanding shares of Common Stock.</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Estimated in accordance with Rules 457(c) and 457(h) under the Securities Act, solely for the purposes of calculating the registration fee, based upon $19.96, which is the average of the high and low selling prices of the Registrant’s Common Stock as reported on The Nasdaq Global Market on February 22, 2024.</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Estimated in accordance with Rules 457(c) and (h) promulgated under the Securities Act solely for the purpose of calculating the registration fee on the basis of $16.97 per share, the average of the high and low prices of the Registrant’s Common Stock as reported on the Nasdaq Global Market on February 22, 2024, multiplied by 85%, which is the percentage of the price per share applicable to purchases under the 2018 ESPP.</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266825" cy="476250"/>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18"/>
                    <a:stretch>
                      <a:fillRect/>
                    </a:stretch>
                  </pic:blipFill>
                  <pic:spPr bwMode="auto">
                    <a:xfrm>
                      <a:off x="0" y="0"/>
                      <a:ext cx="1266825" cy="476250"/>
                    </a:xfrm>
                    <a:prstGeom prst="rect">
                      <a:avLst/>
                    </a:prstGeom>
                  </pic:spPr>
                </pic:pic>
              </a:graphicData>
            </a:graphic>
          </wp:inline>
        </w:drawing>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Matthew B. Hemington</w:t>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T: +1 650 843 5062</w:t>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hemingtonmb@cooley.com</w:t>
      </w:r>
    </w:p>
    <w:p>
      <w:pPr>
        <w:pStyle w:val="TextBody"/>
        <w:bidi w:val="0"/>
        <w:spacing w:lineRule="auto" w:line="240" w:before="360" w:after="240"/>
        <w:jc w:val="left"/>
        <w:rPr>
          <w:rFonts w:ascii="Arial;sans-serif" w:hAnsi="Arial;sans-serif"/>
          <w:b w:val="false"/>
          <w:color w:val="000000"/>
          <w:sz w:val="20"/>
        </w:rPr>
      </w:pPr>
      <w:r>
        <w:rPr>
          <w:rFonts w:ascii="Arial;sans-serif" w:hAnsi="Arial;sans-serif"/>
          <w:b w:val="false"/>
          <w:color w:val="000000"/>
          <w:sz w:val="20"/>
        </w:rPr>
        <w:t xml:space="preserve">February 27, 2024 </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SI-BONE, Inc.</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471 El Camino Real, Suite 101</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Santa Clara, CA 95050</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Re:    Registration on Form S-8</w:t>
      </w:r>
    </w:p>
    <w:p>
      <w:pPr>
        <w:pStyle w:val="TextBody"/>
        <w:bidi w:val="0"/>
        <w:spacing w:lineRule="auto" w:line="240" w:before="240" w:after="240"/>
        <w:jc w:val="left"/>
        <w:rPr>
          <w:rFonts w:ascii="Arial;sans-serif" w:hAnsi="Arial;sans-serif"/>
          <w:b w:val="false"/>
          <w:color w:val="000000"/>
          <w:sz w:val="20"/>
        </w:rPr>
      </w:pPr>
      <w:r>
        <w:rPr>
          <w:rFonts w:ascii="Arial;sans-serif" w:hAnsi="Arial;sans-serif"/>
          <w:b w:val="false"/>
          <w:color w:val="000000"/>
          <w:sz w:val="20"/>
        </w:rPr>
        <w:t>Ladies and Gentlemen:</w:t>
      </w:r>
    </w:p>
    <w:p>
      <w:pPr>
        <w:pStyle w:val="TextBody"/>
        <w:bidi w:val="0"/>
        <w:spacing w:lineRule="auto" w:line="240" w:before="0" w:after="0"/>
        <w:jc w:val="both"/>
        <w:rPr/>
      </w:pPr>
      <w:r>
        <w:rPr>
          <w:rFonts w:ascii="Arial;sans-serif" w:hAnsi="Arial;sans-serif"/>
          <w:b w:val="false"/>
          <w:color w:val="000000"/>
          <w:sz w:val="20"/>
        </w:rPr>
        <w:t>We have acted as counsel to SI-BONE, Inc., a Delaware corporation (the “</w:t>
      </w:r>
      <w:r>
        <w:rPr>
          <w:rFonts w:ascii="Arial;sans-serif" w:hAnsi="Arial;sans-serif"/>
          <w:b/>
          <w:i/>
          <w:color w:val="000000"/>
          <w:sz w:val="20"/>
        </w:rPr>
        <w:t>Company</w:t>
      </w:r>
      <w:r>
        <w:rPr>
          <w:color w:val="000000"/>
        </w:rPr>
        <w:t>”</w:t>
      </w:r>
      <w:r>
        <w:rPr>
          <w:rFonts w:ascii="Arial;sans-serif" w:hAnsi="Arial;sans-serif"/>
          <w:b w:val="false"/>
          <w:color w:val="000000"/>
          <w:sz w:val="20"/>
        </w:rPr>
        <w:t>), in connection with the filing by the Company of a Registration Statement on Form S-8 (the “</w:t>
      </w:r>
      <w:r>
        <w:rPr>
          <w:rFonts w:ascii="Arial;sans-serif" w:hAnsi="Arial;sans-serif"/>
          <w:b/>
          <w:i/>
          <w:color w:val="000000"/>
          <w:sz w:val="20"/>
        </w:rPr>
        <w:t>Registration Statement</w:t>
      </w:r>
      <w:r>
        <w:rPr>
          <w:color w:val="000000"/>
        </w:rPr>
        <w:t>”</w:t>
      </w:r>
      <w:r>
        <w:rPr>
          <w:rFonts w:ascii="Arial;sans-serif" w:hAnsi="Arial;sans-serif"/>
          <w:b w:val="false"/>
          <w:color w:val="000000"/>
          <w:sz w:val="20"/>
        </w:rPr>
        <w:t>) with the Securities and Exchange Commission (the “</w:t>
      </w:r>
      <w:r>
        <w:rPr>
          <w:rFonts w:ascii="Arial;sans-serif" w:hAnsi="Arial;sans-serif"/>
          <w:b/>
          <w:i/>
          <w:color w:val="000000"/>
          <w:sz w:val="20"/>
        </w:rPr>
        <w:t>Commission</w:t>
      </w:r>
      <w:r>
        <w:rPr>
          <w:color w:val="000000"/>
        </w:rPr>
        <w:t>”</w:t>
      </w:r>
      <w:r>
        <w:rPr>
          <w:rFonts w:ascii="Arial;sans-serif" w:hAnsi="Arial;sans-serif"/>
          <w:b w:val="false"/>
          <w:color w:val="000000"/>
          <w:sz w:val="20"/>
        </w:rPr>
        <w:t>) covering the offering of up to 2,441,596 shares (the “</w:t>
      </w:r>
      <w:r>
        <w:rPr>
          <w:rFonts w:ascii="Arial;sans-serif" w:hAnsi="Arial;sans-serif"/>
          <w:b/>
          <w:i/>
          <w:color w:val="000000"/>
          <w:sz w:val="20"/>
        </w:rPr>
        <w:t>Shares</w:t>
      </w:r>
      <w:r>
        <w:rPr>
          <w:color w:val="000000"/>
        </w:rPr>
        <w:t>”</w:t>
      </w:r>
      <w:r>
        <w:rPr>
          <w:rFonts w:ascii="Arial;sans-serif" w:hAnsi="Arial;sans-serif"/>
          <w:b w:val="false"/>
          <w:color w:val="000000"/>
          <w:sz w:val="20"/>
        </w:rPr>
        <w:t>) of the Company’s common stock, par value $0.0001 per share (“</w:t>
      </w:r>
      <w:r>
        <w:rPr>
          <w:rFonts w:ascii="Arial;sans-serif" w:hAnsi="Arial;sans-serif"/>
          <w:b/>
          <w:i/>
          <w:color w:val="000000"/>
          <w:sz w:val="20"/>
        </w:rPr>
        <w:t>Common Stock</w:t>
      </w:r>
      <w:r>
        <w:rPr>
          <w:color w:val="000000"/>
        </w:rPr>
        <w:t>”</w:t>
      </w:r>
      <w:r>
        <w:rPr>
          <w:rFonts w:ascii="Arial;sans-serif" w:hAnsi="Arial;sans-serif"/>
          <w:b w:val="false"/>
          <w:color w:val="000000"/>
          <w:sz w:val="20"/>
        </w:rPr>
        <w:t>), consisting of (a) 2,034,664 shares of Common Stock issuable pursuant to the Company’s 2018 Equity Incentive Plan (the “</w:t>
      </w:r>
      <w:r>
        <w:rPr>
          <w:rFonts w:ascii="Arial;sans-serif" w:hAnsi="Arial;sans-serif"/>
          <w:b/>
          <w:i/>
          <w:color w:val="000000"/>
          <w:sz w:val="20"/>
        </w:rPr>
        <w:t>EIP</w:t>
      </w:r>
      <w:r>
        <w:rPr>
          <w:color w:val="000000"/>
        </w:rPr>
        <w:t>”</w:t>
      </w:r>
      <w:r>
        <w:rPr>
          <w:rFonts w:ascii="Arial;sans-serif" w:hAnsi="Arial;sans-serif"/>
          <w:b w:val="false"/>
          <w:color w:val="000000"/>
          <w:sz w:val="20"/>
        </w:rPr>
        <w:t>), and (b) 406,932 shares of Common Stock issuable pursuant to the Company’s 2018 Employee Stock Purchase Plan (together with the EIP, the “</w:t>
      </w:r>
      <w:r>
        <w:rPr>
          <w:rFonts w:ascii="Arial;sans-serif" w:hAnsi="Arial;sans-serif"/>
          <w:b/>
          <w:i/>
          <w:color w:val="000000"/>
          <w:sz w:val="20"/>
        </w:rPr>
        <w:t>Plans</w:t>
      </w:r>
      <w:r>
        <w:rPr>
          <w:color w:val="000000"/>
        </w:rPr>
        <w:t>”</w:t>
      </w:r>
      <w:r>
        <w:rPr>
          <w:rFonts w:ascii="Arial;sans-serif" w:hAnsi="Arial;sans-serif"/>
          <w:b w:val="false"/>
          <w:color w:val="000000"/>
          <w:sz w:val="20"/>
        </w:rPr>
        <w:t xml:space="preserve">). </w:t>
      </w:r>
    </w:p>
    <w:p>
      <w:pPr>
        <w:pStyle w:val="TextBody"/>
        <w:bidi w:val="0"/>
        <w:spacing w:lineRule="auto" w:line="240" w:before="240" w:after="240"/>
        <w:jc w:val="both"/>
        <w:rPr>
          <w:rFonts w:ascii="Arial;sans-serif" w:hAnsi="Arial;sans-serif"/>
          <w:b w:val="false"/>
          <w:color w:val="000000"/>
          <w:sz w:val="20"/>
        </w:rPr>
      </w:pPr>
      <w:r>
        <w:rPr>
          <w:rFonts w:ascii="Arial;sans-serif" w:hAnsi="Arial;sans-serif"/>
          <w:b w:val="false"/>
          <w:color w:val="000000"/>
          <w:sz w:val="20"/>
        </w:rPr>
        <w:t xml:space="preserve">In connection with this opinion, we have examined and relied upon (a) the Registration Statement and the related prospectuses, (b) the Plans, (c) the Company’s certificate of incorporation and bylaws, each as currently in effect,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 </w:t>
      </w:r>
    </w:p>
    <w:p>
      <w:pPr>
        <w:pStyle w:val="TextBody"/>
        <w:bidi w:val="0"/>
        <w:spacing w:lineRule="auto" w:line="240" w:before="240" w:after="240"/>
        <w:jc w:val="both"/>
        <w:rPr>
          <w:rFonts w:ascii="Arial;sans-serif" w:hAnsi="Arial;sans-serif"/>
          <w:b w:val="false"/>
          <w:color w:val="000000"/>
          <w:sz w:val="20"/>
        </w:rPr>
      </w:pPr>
      <w:r>
        <w:rPr>
          <w:rFonts w:ascii="Arial;sans-serif" w:hAnsi="Arial;sans-serif"/>
          <w:b w:val="false"/>
          <w:color w:val="000000"/>
          <w:sz w:val="20"/>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lineRule="auto" w:line="240" w:before="0" w:after="240"/>
        <w:jc w:val="both"/>
        <w:rPr>
          <w:rFonts w:ascii="Arial;sans-serif" w:hAnsi="Arial;sans-serif"/>
          <w:b w:val="false"/>
          <w:color w:val="000000"/>
          <w:sz w:val="20"/>
        </w:rPr>
      </w:pPr>
      <w:r>
        <w:rPr>
          <w:rFonts w:ascii="Arial;sans-serif" w:hAnsi="Arial;sans-serif"/>
          <w:b w:val="false"/>
          <w:color w:val="000000"/>
          <w:sz w:val="20"/>
        </w:rPr>
        <w:t>On the basis of the foregoing, and in reliance thereon, we are of the opinion that the Shares, when sold and issued in accordance with the Plans, the Registration Statement and the related prospectuses, will be validly issued, fully paid, and nonassessable (except as to shares issued pursuant to deferred payment arrangements, which will be fully paid and nonassessable when such deferred payments are made in full).</w:t>
      </w:r>
    </w:p>
    <w:p>
      <w:pPr>
        <w:pStyle w:val="TextBody"/>
        <w:bidi w:val="0"/>
        <w:spacing w:lineRule="auto" w:line="240" w:before="0" w:after="240"/>
        <w:jc w:val="both"/>
        <w:rPr>
          <w:rFonts w:ascii="Arial;sans-serif" w:hAnsi="Arial;sans-serif"/>
          <w:b w:val="false"/>
          <w:color w:val="000000"/>
          <w:sz w:val="20"/>
        </w:rPr>
      </w:pPr>
      <w:r>
        <w:rPr>
          <w:rFonts w:ascii="Arial;sans-serif" w:hAnsi="Arial;sans-serif"/>
          <w:b w:val="false"/>
          <w:color w:val="000000"/>
          <w:sz w:val="20"/>
        </w:rPr>
        <w:t>This opinion is limited to the matters expressly set forth in this letter, and no opinion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094105"/>
                <wp:effectExtent l="0" t="0" r="0" b="0"/>
                <wp:wrapNone/>
                <wp:docPr id="8" name="Frame7"/>
                <a:graphic xmlns:a="http://schemas.openxmlformats.org/drawingml/2006/main">
                  <a:graphicData uri="http://schemas.microsoft.com/office/word/2010/wordprocessingShape">
                    <wps:wsp>
                      <wps:cNvSpPr txBox="1"/>
                      <wps:spPr>
                        <a:xfrm>
                          <a:off x="0" y="0"/>
                          <a:ext cx="6480175" cy="109410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xml:space="preserve">Cooley LLP 3175 Hanover Street Palo Alto, CA 94304-1130 </w:t>
                            </w:r>
                            <w:r>
                              <w:br w:type="page"/>
                            </w:r>
                          </w:p>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xml:space="preserve">t: (650) 843-5000 f: (650) 849-7400 cooley.com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xml:space="preserve">Cooley LLP 3175 Hanover Street Palo Alto, CA 94304-1130 </w:t>
                      </w:r>
                    </w:p>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xml:space="preserve">t: (650) 843-5000 f: (650) 849-7400 cooley.com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0"/>
        </w:rPr>
      </w:pPr>
      <w:r>
        <w:rPr>
          <w:rFonts w:ascii="Arial;sans-serif" w:hAnsi="Arial;sans-serif"/>
          <w:b w:val="false"/>
          <w:color w:val="000000"/>
          <w:sz w:val="20"/>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Sincerely,</w:t>
      </w:r>
    </w:p>
    <w:p>
      <w:pPr>
        <w:pStyle w:val="TextBody"/>
        <w:bidi w:val="0"/>
        <w:spacing w:lineRule="auto" w:line="240" w:before="240" w:after="340"/>
        <w:jc w:val="both"/>
        <w:rPr>
          <w:rFonts w:ascii="Arial;sans-serif" w:hAnsi="Arial;sans-serif"/>
          <w:b/>
          <w:color w:val="000000"/>
          <w:sz w:val="20"/>
        </w:rPr>
      </w:pPr>
      <w:r>
        <w:rPr>
          <w:rFonts w:ascii="Arial;sans-serif" w:hAnsi="Arial;sans-serif"/>
          <w:b/>
          <w:color w:val="000000"/>
          <w:sz w:val="20"/>
        </w:rPr>
        <w:t>Cooley LLP</w:t>
      </w:r>
    </w:p>
    <w:p>
      <w:pPr>
        <w:pStyle w:val="TextBody"/>
        <w:bidi w:val="0"/>
        <w:spacing w:before="240" w:after="340"/>
        <w:jc w:val="both"/>
        <w:rPr/>
      </w:pPr>
      <w:r>
        <w:rPr/>
      </w:r>
    </w:p>
    <w:tbl>
      <w:tblPr>
        <w:tblW w:w="2835" w:type="dxa"/>
        <w:jc w:val="left"/>
        <w:tblInd w:w="0" w:type="dxa"/>
        <w:tblLayout w:type="fixed"/>
        <w:tblCellMar>
          <w:top w:w="28" w:type="dxa"/>
          <w:left w:w="28" w:type="dxa"/>
          <w:bottom w:w="28" w:type="dxa"/>
          <w:right w:w="28" w:type="dxa"/>
        </w:tblCellMar>
      </w:tblPr>
      <w:tblGrid>
        <w:gridCol w:w="151"/>
        <w:gridCol w:w="134"/>
        <w:gridCol w:w="135"/>
        <w:gridCol w:w="706"/>
        <w:gridCol w:w="706"/>
        <w:gridCol w:w="1003"/>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Matthew B. Hemington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Matthew B. Hemington</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918845"/>
                <wp:effectExtent l="0" t="0" r="0" b="0"/>
                <wp:wrapNone/>
                <wp:docPr id="9" name="Frame8"/>
                <a:graphic xmlns:a="http://schemas.openxmlformats.org/drawingml/2006/main">
                  <a:graphicData uri="http://schemas.microsoft.com/office/word/2010/wordprocessingShape">
                    <wps:wsp>
                      <wps:cNvSpPr txBox="1"/>
                      <wps:spPr>
                        <a:xfrm>
                          <a:off x="0" y="0"/>
                          <a:ext cx="6480175" cy="91884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xml:space="preserve">Cooley LLP 3175 Hanover Street Palo Alto, CA 94304-1130 </w:t>
                            </w:r>
                          </w:p>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xml:space="preserve">t: (650) 843-5000 f: (650) 849-7400 cooley.com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xml:space="preserve">Cooley LLP 3175 Hanover Street Palo Alto, CA 94304-1130 </w:t>
                      </w:r>
                    </w:p>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xml:space="preserve">t: (650) 843-5000 f: (650) 849-7400 cooley.com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hereby consent to the incorporation by reference in this Registration Statement on Form S-8 of SI-BONE, Inc. of our report dated February 27, 2024 relating to the financial statements and the effectiveness of internal control over financial reporting, which appears in SI-BONE, Inc.'s Annual Report on Form 10-K for the year ended December 31,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San Jose, California</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59839/000119312518303158/d635537ds8.htm" TargetMode="External"/><Relationship Id="rId3" Type="http://schemas.openxmlformats.org/officeDocument/2006/relationships/hyperlink" Target="http://www.sec.gov/Archives/edgar/data/1459839/000145983919000015/s-8evergreen2019.htm" TargetMode="External"/><Relationship Id="rId4" Type="http://schemas.openxmlformats.org/officeDocument/2006/relationships/hyperlink" Target="http://www.sec.gov/Archives/edgar/data/1459839/000145983920000032/s-8evergreen2020.htm" TargetMode="External"/><Relationship Id="rId5" Type="http://schemas.openxmlformats.org/officeDocument/2006/relationships/hyperlink" Target="https://www.sec.gov/Archives/edgar/data/1459839/000145983921000015/s-8evergreenjanuary2021.htm" TargetMode="External"/><Relationship Id="rId6" Type="http://schemas.openxmlformats.org/officeDocument/2006/relationships/hyperlink" Target="https://www.sec.gov/Archives/edgar/data/1459839/000145983922000020/s-8evergreenjanuary2022.htm" TargetMode="External"/><Relationship Id="rId7" Type="http://schemas.openxmlformats.org/officeDocument/2006/relationships/hyperlink" Target="https://www.sec.gov/Archives/edgar/data/1459839/000145983923000022/s-8evergreenjanuary2023.htm" TargetMode="External"/><Relationship Id="rId8" Type="http://schemas.openxmlformats.org/officeDocument/2006/relationships/hyperlink" Target="https://www.sec.gov/Archives/edgar/data/1459839/000145983924000014/sibn-20231231.htm" TargetMode="External"/><Relationship Id="rId9" Type="http://schemas.openxmlformats.org/officeDocument/2006/relationships/hyperlink" Target="http://www.sec.gov/Archives/edgar/data/1459839/000119312518297571/d486750d8a12b.htm" TargetMode="External"/><Relationship Id="rId10" Type="http://schemas.openxmlformats.org/officeDocument/2006/relationships/hyperlink" Target="http://www.sec.gov/Archives/edgar/data/1459839/000119312518303020/d641574dex31.htm" TargetMode="External"/><Relationship Id="rId11" Type="http://schemas.openxmlformats.org/officeDocument/2006/relationships/hyperlink" Target="https://www.sec.gov/Archives/edgar/data/1459839/000145983923000095/secondamendedandrestatedby.htm" TargetMode="External"/><Relationship Id="rId12" Type="http://schemas.openxmlformats.org/officeDocument/2006/relationships/hyperlink" Target="http://www.sec.gov/Archives/edgar/data/1459839/000119312518293978/d452987dex41.htm" TargetMode="External"/><Relationship Id="rId13" Type="http://schemas.openxmlformats.org/officeDocument/2006/relationships/hyperlink" Target="http://www.sec.gov/Archives/edgar/data/1459839/000119312518293978/d452987dex103.htm" TargetMode="External"/><Relationship Id="rId14" Type="http://schemas.openxmlformats.org/officeDocument/2006/relationships/hyperlink" Target="http://www.sec.gov/Archives/edgar/data/1459839/000119312518293978/d452987dex104.htm" TargetMode="External"/><Relationship Id="rId15" Type="http://schemas.openxmlformats.org/officeDocument/2006/relationships/hyperlink" Target="http://www.sec.gov/Archives/edgar/data/1459839/000119312518293978/d452987dex105.htm" TargetMode="External"/><Relationship Id="rId16" Type="http://schemas.openxmlformats.org/officeDocument/2006/relationships/hyperlink" Target="http://www.sec.gov/Archives/edgar/data/1459839/000119312518293978/d452987dex106.htm" TargetMode="External"/><Relationship Id="rId17" Type="http://schemas.openxmlformats.org/officeDocument/2006/relationships/hyperlink" Target="https://www.sec.gov/Archives/edgar/data/1459839/000145983922000006/si-bonexformofprsugrantp.htm" TargetMode="External"/><Relationship Id="rId18" Type="http://schemas.openxmlformats.org/officeDocument/2006/relationships/image" Target="media/image1.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2464</Words>
  <Characters>13320</Characters>
  <CharactersWithSpaces>15597</CharactersWithSpaces>
  <Paragraphs>283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