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625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6255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Freund John Gordon</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gridSpan w:val="3"/>
            <w:vMerge w:val="continue"/>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87"/>
              </w:rPr>
              <w:t>X</w:t>
            </w: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2"/>
                <w:szCs w:val="2"/>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4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14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Arial" w:cs="Arial" w:eastAsia="Arial" w:hAnsi="Arial"/>
                <w:sz w:val="17"/>
                <w:szCs w:val="17"/>
                <w:color w:val="0000FF"/>
                <w:w w:val="99"/>
              </w:rPr>
              <w:t>C/O SKYLINE VENTURES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0000FF"/>
              </w:rPr>
              <w:t>05/27/2021</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7"/>
                <w:szCs w:val="17"/>
                <w:color w:val="0000FF"/>
              </w:rPr>
              <w:t>525 UNIVERSITY AVENUE, SUITE 1350</w:t>
            </w: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6"/>
            <w:vMerge w:val="continue"/>
          </w:tcPr>
          <w:p>
            <w:pPr>
              <w:spacing w:after="0"/>
              <w:rPr>
                <w:sz w:val="8"/>
                <w:szCs w:val="8"/>
                <w:color w:val="auto"/>
              </w:rPr>
            </w:pPr>
          </w:p>
        </w:tc>
        <w:tc>
          <w:tcPr>
            <w:tcW w:w="33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5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PALO ALTO</w:t>
            </w:r>
          </w:p>
        </w:tc>
        <w:tc>
          <w:tcPr>
            <w:tcW w:w="920" w:type="dxa"/>
            <w:vAlign w:val="bottom"/>
            <w:gridSpan w:val="2"/>
          </w:tcPr>
          <w:p>
            <w:pPr>
              <w:ind w:left="80"/>
              <w:spacing w:after="0"/>
              <w:rPr>
                <w:sz w:val="20"/>
                <w:szCs w:val="20"/>
                <w:color w:val="auto"/>
              </w:rPr>
            </w:pPr>
            <w:r>
              <w:rPr>
                <w:rFonts w:ascii="Arial" w:cs="Arial" w:eastAsia="Arial" w:hAnsi="Arial"/>
                <w:sz w:val="17"/>
                <w:szCs w:val="17"/>
                <w:color w:val="0000FF"/>
              </w:rPr>
              <w:t>CA</w:t>
            </w:r>
          </w:p>
        </w:tc>
        <w:tc>
          <w:tcPr>
            <w:tcW w:w="1580" w:type="dxa"/>
            <w:vAlign w:val="bottom"/>
          </w:tcPr>
          <w:p>
            <w:pPr>
              <w:ind w:left="380"/>
              <w:spacing w:after="0"/>
              <w:rPr>
                <w:sz w:val="20"/>
                <w:szCs w:val="20"/>
                <w:color w:val="auto"/>
              </w:rPr>
            </w:pPr>
            <w:r>
              <w:rPr>
                <w:rFonts w:ascii="Arial" w:cs="Arial" w:eastAsia="Arial" w:hAnsi="Arial"/>
                <w:sz w:val="17"/>
                <w:szCs w:val="17"/>
                <w:color w:val="0000FF"/>
              </w:rPr>
              <w:t>94301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ind w:left="200"/>
              <w:spacing w:after="0" w:line="134" w:lineRule="exact"/>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2820" w:type="dxa"/>
            <w:vAlign w:val="bottom"/>
            <w:tcBorders>
              <w:bottom w:val="single" w:sz="8" w:color="2C2C2C"/>
            </w:tcBorders>
            <w:gridSpan w:val="5"/>
          </w:tcPr>
          <w:p>
            <w:pPr>
              <w:spacing w:after="0"/>
              <w:rPr>
                <w:sz w:val="11"/>
                <w:szCs w:val="11"/>
                <w:color w:val="auto"/>
              </w:rPr>
            </w:pPr>
          </w:p>
        </w:tc>
        <w:tc>
          <w:tcPr>
            <w:tcW w:w="110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9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gridSpan w:val="2"/>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jc w:val="center"/>
              <w:ind w:right="2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4"/>
                <w:szCs w:val="14"/>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line="12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vMerge w:val="restart"/>
          </w:tcPr>
          <w:p>
            <w:pPr>
              <w:ind w:left="780"/>
              <w:spacing w:after="0"/>
              <w:rPr>
                <w:sz w:val="20"/>
                <w:szCs w:val="20"/>
                <w:color w:val="auto"/>
              </w:rPr>
            </w:pPr>
            <w:r>
              <w:rPr>
                <w:rFonts w:ascii="Arial" w:cs="Arial" w:eastAsia="Arial" w:hAnsi="Arial"/>
                <w:sz w:val="17"/>
                <w:szCs w:val="17"/>
                <w:color w:val="0000FF"/>
                <w:w w:val="91"/>
              </w:rPr>
              <w:t>05/27/2021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right"/>
              <w:ind w:right="109"/>
              <w:spacing w:after="0"/>
              <w:rPr>
                <w:sz w:val="20"/>
                <w:szCs w:val="20"/>
                <w:color w:val="auto"/>
              </w:rPr>
            </w:pPr>
            <w:r>
              <w:rPr>
                <w:rFonts w:ascii="Arial" w:cs="Arial" w:eastAsia="Arial" w:hAnsi="Arial"/>
                <w:sz w:val="17"/>
                <w:szCs w:val="17"/>
                <w:color w:val="0000FF"/>
              </w:rPr>
              <w:t>26,367</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30.9297</w:t>
            </w:r>
            <w:r>
              <w:rPr>
                <w:rFonts w:ascii="Arial" w:cs="Arial" w:eastAsia="Arial" w:hAnsi="Arial"/>
                <w:sz w:val="22"/>
                <w:szCs w:val="22"/>
                <w:color w:val="008000"/>
                <w:w w:val="94"/>
                <w:vertAlign w:val="superscript"/>
              </w:rPr>
              <w:t>(1)</w:t>
            </w:r>
          </w:p>
        </w:tc>
        <w:tc>
          <w:tcPr>
            <w:tcW w:w="60" w:type="dxa"/>
            <w:vAlign w:val="bottom"/>
          </w:tcPr>
          <w:p>
            <w:pPr>
              <w:spacing w:after="0"/>
              <w:rPr>
                <w:sz w:val="18"/>
                <w:szCs w:val="18"/>
                <w:color w:val="auto"/>
              </w:rPr>
            </w:pP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428,678</w:t>
            </w:r>
          </w:p>
        </w:tc>
        <w:tc>
          <w:tcPr>
            <w:tcW w:w="70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vMerge w:val="restart"/>
          </w:tcPr>
          <w:p>
            <w:pPr>
              <w:ind w:left="780"/>
              <w:spacing w:after="0"/>
              <w:rPr>
                <w:sz w:val="20"/>
                <w:szCs w:val="20"/>
                <w:color w:val="auto"/>
              </w:rPr>
            </w:pPr>
            <w:r>
              <w:rPr>
                <w:rFonts w:ascii="Arial" w:cs="Arial" w:eastAsia="Arial" w:hAnsi="Arial"/>
                <w:sz w:val="17"/>
                <w:szCs w:val="17"/>
                <w:color w:val="0000FF"/>
                <w:w w:val="91"/>
              </w:rPr>
              <w:t>05/28/2021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right"/>
              <w:ind w:right="109"/>
              <w:spacing w:after="0"/>
              <w:rPr>
                <w:sz w:val="20"/>
                <w:szCs w:val="20"/>
                <w:color w:val="auto"/>
              </w:rPr>
            </w:pPr>
            <w:r>
              <w:rPr>
                <w:rFonts w:ascii="Arial" w:cs="Arial" w:eastAsia="Arial" w:hAnsi="Arial"/>
                <w:sz w:val="17"/>
                <w:szCs w:val="17"/>
                <w:color w:val="0000FF"/>
              </w:rPr>
              <w:t>45,220</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30.0629</w:t>
            </w:r>
            <w:r>
              <w:rPr>
                <w:rFonts w:ascii="Arial" w:cs="Arial" w:eastAsia="Arial" w:hAnsi="Arial"/>
                <w:sz w:val="22"/>
                <w:szCs w:val="22"/>
                <w:color w:val="008000"/>
                <w:w w:val="94"/>
                <w:vertAlign w:val="superscript"/>
              </w:rPr>
              <w:t>(3)</w:t>
            </w:r>
          </w:p>
        </w:tc>
        <w:tc>
          <w:tcPr>
            <w:tcW w:w="60" w:type="dxa"/>
            <w:vAlign w:val="bottom"/>
          </w:tcPr>
          <w:p>
            <w:pPr>
              <w:spacing w:after="0"/>
              <w:rPr>
                <w:sz w:val="18"/>
                <w:szCs w:val="18"/>
                <w:color w:val="auto"/>
              </w:rPr>
            </w:pP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383,458</w:t>
            </w:r>
          </w:p>
        </w:tc>
        <w:tc>
          <w:tcPr>
            <w:tcW w:w="70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Freund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7"/>
                <w:szCs w:val="17"/>
                <w:color w:val="0000FF"/>
              </w:rPr>
              <w:t>100,750</w:t>
            </w:r>
          </w:p>
        </w:tc>
        <w:tc>
          <w:tcPr>
            <w:tcW w:w="700" w:type="dxa"/>
            <w:vAlign w:val="bottom"/>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w w:val="98"/>
              </w:rPr>
              <w:t>Partnership</w:t>
            </w:r>
          </w:p>
        </w:tc>
        <w:tc>
          <w:tcPr>
            <w:tcW w:w="0" w:type="dxa"/>
            <w:vAlign w:val="bottom"/>
          </w:tcPr>
          <w:p>
            <w:pPr>
              <w:spacing w:after="0"/>
              <w:rPr>
                <w:sz w:val="1"/>
                <w:szCs w:val="1"/>
                <w:color w:val="auto"/>
              </w:rPr>
            </w:pPr>
          </w:p>
        </w:tc>
      </w:tr>
      <w:tr>
        <w:trPr>
          <w:trHeight w:val="28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IV, L.P</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$30.43 to $31.76,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SVP V. Skyline Venture Management V, LLC ("LLC") is the general partner of SVP V and as such may be deemed to have voting and investment power with respect to the securities of SVP V. Reporting Person, a member of Issuer's board of directors, is a managing director of LLC and may be deemed to have voting and investment power with respect to the securities held by SVP V. Reporting Person disclaims beneficial ownership of such securities, except to the extent of his pecuniary interest therein.</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$29.67 to $30.99,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40" w:right="20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John G.</w:t>
      </w:r>
      <w:r>
        <w:rPr>
          <w:sz w:val="20"/>
          <w:szCs w:val="20"/>
          <w:color w:val="auto"/>
        </w:rPr>
        <w:tab/>
      </w: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25"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677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2021-06-01T16:35:55Z</dcterms:created>
  <dcterms:modified xsi:type="dcterms:W3CDTF">2021-06-01T16:35:55Z</dcterms:modified>
</cp:coreProperties>
</file>