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9.jpeg" ContentType="image/jpeg"/>
  <Override PartName="/word/media/image11.jpeg" ContentType="image/jpeg"/>
  <Override PartName="/word/media/image13.jpeg" ContentType="image/jpeg"/>
  <Override PartName="/word/media/image8.jpeg" ContentType="image/jpeg"/>
  <Override PartName="/word/media/image10.jpeg" ContentType="image/jpeg"/>
  <Override PartName="/word/media/image12.jpeg" ContentType="image/jpeg"/>
  <Override PartName="/word/media/image7.jpeg" ContentType="image/jpeg"/>
  <Override PartName="/word/media/image6.jpeg" ContentType="image/jpeg"/>
  <Override PartName="/word/media/image5.jpeg" ContentType="image/jpeg"/>
  <Override PartName="/word/media/image26.jpeg" ContentType="image/jpeg"/>
  <Override PartName="/word/media/image4.jpeg" ContentType="image/jpeg"/>
  <Override PartName="/word/media/image25.jpeg" ContentType="image/jpeg"/>
  <Override PartName="/word/media/image21.jpeg" ContentType="image/jpeg"/>
  <Override PartName="/word/media/image16.jpeg" ContentType="image/jpeg"/>
  <Override PartName="/word/media/image20.jpeg" ContentType="image/jpeg"/>
  <Override PartName="/word/media/image15.jpeg" ContentType="image/jpeg"/>
  <Override PartName="/word/media/image19.gif" ContentType="image/gif"/>
  <Override PartName="/word/media/image3.jpeg" ContentType="image/jpeg"/>
  <Override PartName="/word/media/image24.jpeg" ContentType="image/jpeg"/>
  <Override PartName="/word/media/image18.jpeg" ContentType="image/jpeg"/>
  <Override PartName="/word/media/image17.jpeg" ContentType="image/jpeg"/>
  <Override PartName="/word/media/image1.jpeg" ContentType="image/jpeg"/>
  <Override PartName="/word/media/image22.jpeg" ContentType="image/jpeg"/>
  <Override PartName="/word/media/image14.jpeg" ContentType="image/jpeg"/>
  <Override PartName="/word/media/image23.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180"/>
        <w:jc w:val="left"/>
        <w:rPr/>
      </w:pPr>
      <w:r>
        <w:rPr/>
      </w:r>
    </w:p>
    <w:p>
      <w:pPr>
        <w:pStyle w:val="TextBody"/>
        <w:bidi w:val="0"/>
        <w:spacing w:lineRule="auto" w:line="288" w:before="240" w:after="180"/>
        <w:jc w:val="center"/>
        <w:rPr>
          <w:rFonts w:ascii="Times New Roman;sans-serif" w:hAnsi="Times New Roman;sans-serif"/>
          <w:b/>
          <w:color w:val="000000"/>
          <w:sz w:val="24"/>
        </w:rPr>
      </w:pPr>
      <w:r>
        <w:rPr>
          <w:rFonts w:ascii="Times New Roman;sans-serif" w:hAnsi="Times New Roman;sans-serif"/>
          <w:b/>
          <w:color w:val="000000"/>
          <w:sz w:val="24"/>
        </w:rPr>
        <w:t>SCHEDULE 14A INFORMATION</w:t>
      </w:r>
    </w:p>
    <w:p>
      <w:pPr>
        <w:pStyle w:val="TextBody"/>
        <w:bidi w:val="0"/>
        <w:spacing w:lineRule="auto" w:line="26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Proxy Statement Pursuant to Section 14(a) of the Securities Exchange Act of 1934</w:t>
      </w:r>
    </w:p>
    <w:p>
      <w:pPr>
        <w:pStyle w:val="TextBody"/>
        <w:bidi w:val="0"/>
        <w:spacing w:lineRule="auto" w:line="26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(Amendment No.__)</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68" w:before="0" w:after="0"/>
        <w:jc w:val="both"/>
        <w:rPr/>
      </w:pPr>
      <w:r>
        <w:rPr>
          <w:rFonts w:ascii="Times New Roman;sans-serif" w:hAnsi="Times New Roman;sans-serif"/>
          <w:b w:val="false"/>
          <w:color w:val="000000"/>
          <w:sz w:val="20"/>
        </w:rPr>
        <w:t xml:space="preserve">Filed by the Registrant </w:t>
      </w:r>
      <w:r>
        <w:rPr>
          <w:color w:val="000000"/>
        </w:rPr>
        <w:t>☑</w:t>
      </w:r>
    </w:p>
    <w:p>
      <w:pPr>
        <w:pStyle w:val="TextBody"/>
        <w:bidi w:val="0"/>
        <w:spacing w:lineRule="auto" w:line="268" w:before="0" w:after="0"/>
        <w:jc w:val="both"/>
        <w:rPr/>
      </w:pPr>
      <w:r>
        <w:rPr>
          <w:rFonts w:ascii="Times New Roman;sans-serif" w:hAnsi="Times New Roman;sans-serif"/>
          <w:b w:val="false"/>
          <w:color w:val="000000"/>
          <w:sz w:val="20"/>
        </w:rPr>
        <w:t xml:space="preserve">Filed by a Party other than the Registrant </w:t>
      </w:r>
      <w:r>
        <w:rPr>
          <w:color w:val="000000"/>
        </w:rPr>
        <w:t>☐</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Check the appropriate box:</w:t>
      </w:r>
    </w:p>
    <w:p>
      <w:pPr>
        <w:pStyle w:val="TextBody"/>
        <w:bidi w:val="0"/>
        <w:spacing w:before="0" w:after="0"/>
        <w:jc w:val="both"/>
        <w:rPr/>
      </w:pPr>
      <w:r>
        <w:rPr/>
      </w:r>
    </w:p>
    <w:p>
      <w:pPr>
        <w:pStyle w:val="TextBody"/>
        <w:bidi w:val="0"/>
        <w:spacing w:lineRule="auto" w:line="268" w:before="0" w:after="0"/>
        <w:jc w:val="both"/>
        <w:rPr/>
      </w:pPr>
      <w:r>
        <w:rPr>
          <w:color w:val="000000"/>
        </w:rPr>
        <w:t xml:space="preserve">☐ </w:t>
      </w:r>
      <w:r>
        <w:rPr>
          <w:rFonts w:ascii="Times New Roman;sans-serif" w:hAnsi="Times New Roman;sans-serif"/>
          <w:b w:val="false"/>
          <w:color w:val="000000"/>
          <w:sz w:val="20"/>
        </w:rPr>
        <w:t>Preliminary Proxy Statement</w:t>
      </w:r>
    </w:p>
    <w:p>
      <w:pPr>
        <w:pStyle w:val="TextBody"/>
        <w:bidi w:val="0"/>
        <w:spacing w:lineRule="auto" w:line="268" w:before="0" w:after="0"/>
        <w:jc w:val="both"/>
        <w:rPr/>
      </w:pPr>
      <w:r>
        <w:rPr>
          <w:color w:val="000000"/>
        </w:rPr>
        <w:t xml:space="preserve">☐ </w:t>
      </w:r>
      <w:r>
        <w:rPr>
          <w:rFonts w:ascii="Times New Roman;sans-serif" w:hAnsi="Times New Roman;sans-serif"/>
          <w:b w:val="false"/>
          <w:color w:val="000000"/>
          <w:sz w:val="20"/>
        </w:rPr>
        <w:t>Confidential, for Use of the Commission Only (as permitted by Rule 14a-6(e)(2))</w:t>
      </w:r>
    </w:p>
    <w:p>
      <w:pPr>
        <w:pStyle w:val="TextBody"/>
        <w:bidi w:val="0"/>
        <w:spacing w:lineRule="auto" w:line="268" w:before="0" w:after="0"/>
        <w:jc w:val="both"/>
        <w:rPr/>
      </w:pPr>
      <w:r>
        <w:rPr>
          <w:color w:val="000000"/>
        </w:rPr>
        <w:t xml:space="preserve">☑ </w:t>
      </w:r>
      <w:r>
        <w:rPr>
          <w:rFonts w:ascii="Times New Roman;sans-serif" w:hAnsi="Times New Roman;sans-serif"/>
          <w:b w:val="false"/>
          <w:color w:val="000000"/>
          <w:sz w:val="20"/>
        </w:rPr>
        <w:t>Definitive Proxy Statement</w:t>
      </w:r>
    </w:p>
    <w:p>
      <w:pPr>
        <w:pStyle w:val="TextBody"/>
        <w:bidi w:val="0"/>
        <w:spacing w:lineRule="auto" w:line="268" w:before="0" w:after="0"/>
        <w:jc w:val="both"/>
        <w:rPr/>
      </w:pPr>
      <w:r>
        <w:rPr>
          <w:color w:val="000000"/>
        </w:rPr>
        <w:t xml:space="preserve">☐ </w:t>
      </w:r>
      <w:r>
        <w:rPr>
          <w:rFonts w:ascii="Times New Roman;sans-serif" w:hAnsi="Times New Roman;sans-serif"/>
          <w:b w:val="false"/>
          <w:color w:val="000000"/>
          <w:sz w:val="20"/>
        </w:rPr>
        <w:t>Definitive Additional Materials</w:t>
      </w:r>
    </w:p>
    <w:p>
      <w:pPr>
        <w:pStyle w:val="TextBody"/>
        <w:bidi w:val="0"/>
        <w:spacing w:lineRule="auto" w:line="268" w:before="0" w:after="0"/>
        <w:jc w:val="both"/>
        <w:rPr/>
      </w:pPr>
      <w:r>
        <w:rPr>
          <w:color w:val="000000"/>
        </w:rPr>
        <w:t xml:space="preserve">☐ </w:t>
      </w:r>
      <w:r>
        <w:rPr>
          <w:rFonts w:ascii="Times New Roman;sans-serif" w:hAnsi="Times New Roman;sans-serif"/>
          <w:b w:val="false"/>
          <w:color w:val="000000"/>
          <w:sz w:val="20"/>
        </w:rPr>
        <w:t>Soliciting Material Pursuant to § 240.14a-12</w:t>
      </w:r>
    </w:p>
    <w:p>
      <w:pPr>
        <w:pStyle w:val="TextBody"/>
        <w:bidi w:val="0"/>
        <w:spacing w:before="0" w:after="0"/>
        <w:jc w:val="both"/>
        <w:rPr/>
      </w:pPr>
      <w:r>
        <w:rPr/>
      </w:r>
    </w:p>
    <w:p>
      <w:pPr>
        <w:pStyle w:val="TextBody"/>
        <w:bidi w:val="0"/>
        <w:spacing w:before="0" w:after="0"/>
        <w:jc w:val="center"/>
        <w:rPr/>
      </w:pPr>
      <w:r>
        <w:rPr/>
      </w:r>
    </w:p>
    <w:p>
      <w:pPr>
        <w:pStyle w:val="TextBody"/>
        <w:bidi w:val="0"/>
        <w:spacing w:lineRule="auto" w:line="312" w:before="0" w:after="0"/>
        <w:jc w:val="center"/>
        <w:rPr>
          <w:rFonts w:ascii="Times New Roman;sans-serif" w:hAnsi="Times New Roman;sans-serif"/>
          <w:b/>
          <w:color w:val="000000"/>
          <w:sz w:val="36"/>
        </w:rPr>
      </w:pPr>
      <w:r>
        <w:rPr>
          <w:rFonts w:ascii="Times New Roman;sans-serif" w:hAnsi="Times New Roman;sans-serif"/>
          <w:b/>
          <w:color w:val="000000"/>
          <w:sz w:val="36"/>
        </w:rPr>
        <w:t>SI-BONE, INC.</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12"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(Name of Registrant as Specified In Its Charter)</w:t>
      </w:r>
    </w:p>
    <w:p>
      <w:pPr>
        <w:pStyle w:val="TextBody"/>
        <w:bidi w:val="0"/>
        <w:spacing w:lineRule="auto" w:line="312"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N/A</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12"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(Name of Person(s) Filing Proxy Statement if Other Than the Registrant)</w:t>
      </w:r>
    </w:p>
    <w:p>
      <w:pPr>
        <w:pStyle w:val="TextBody"/>
        <w:bidi w:val="0"/>
        <w:spacing w:lineRule="auto" w:line="312" w:before="0" w:after="120"/>
        <w:jc w:val="both"/>
        <w:rPr>
          <w:rFonts w:ascii="Times New Roman;sans-serif" w:hAnsi="Times New Roman;sans-serif"/>
          <w:b w:val="false"/>
          <w:color w:val="000000"/>
          <w:sz w:val="20"/>
        </w:rPr>
      </w:pPr>
      <w:r>
        <w:rPr>
          <w:rFonts w:ascii="Times New Roman;sans-serif" w:hAnsi="Times New Roman;sans-serif"/>
          <w:b w:val="false"/>
          <w:color w:val="000000"/>
          <w:sz w:val="20"/>
        </w:rPr>
        <w:t>Payment of Filing Fee (Check all boxes that apply)</w:t>
      </w:r>
    </w:p>
    <w:p>
      <w:pPr>
        <w:pStyle w:val="TextBody"/>
        <w:bidi w:val="0"/>
        <w:spacing w:lineRule="auto" w:line="268" w:before="0" w:after="0"/>
        <w:jc w:val="both"/>
        <w:rPr/>
      </w:pPr>
      <w:r>
        <w:rPr>
          <w:color w:val="000000"/>
        </w:rPr>
        <w:t xml:space="preserve">☑ </w:t>
      </w:r>
      <w:r>
        <w:rPr>
          <w:rFonts w:ascii="Times New Roman;sans-serif" w:hAnsi="Times New Roman;sans-serif"/>
          <w:b w:val="false"/>
          <w:color w:val="000000"/>
          <w:sz w:val="20"/>
        </w:rPr>
        <w:t>No fee required.</w:t>
      </w:r>
    </w:p>
    <w:p>
      <w:pPr>
        <w:pStyle w:val="TextBody"/>
        <w:bidi w:val="0"/>
        <w:spacing w:lineRule="auto" w:line="268" w:before="0" w:after="0"/>
        <w:jc w:val="both"/>
        <w:rPr/>
      </w:pPr>
      <w:r>
        <w:rPr>
          <w:color w:val="000000"/>
        </w:rPr>
        <w:t xml:space="preserve">☐ </w:t>
      </w:r>
      <w:r>
        <w:rPr>
          <w:rFonts w:ascii="Times New Roman;sans-serif" w:hAnsi="Times New Roman;sans-serif"/>
          <w:b w:val="false"/>
          <w:color w:val="000000"/>
          <w:sz w:val="20"/>
        </w:rPr>
        <w:t>Fee paid previously with preliminary materials.</w:t>
      </w:r>
    </w:p>
    <w:p>
      <w:pPr>
        <w:pStyle w:val="TextBody"/>
        <w:bidi w:val="0"/>
        <w:spacing w:lineRule="auto" w:line="268" w:before="0" w:after="0"/>
        <w:jc w:val="both"/>
        <w:rPr/>
      </w:pPr>
      <w:r>
        <w:rPr>
          <w:color w:val="000000"/>
        </w:rPr>
        <w:t xml:space="preserve">☐ </w:t>
      </w:r>
      <w:r>
        <w:rPr>
          <w:rFonts w:ascii="Times New Roman;sans-serif" w:hAnsi="Times New Roman;sans-serif"/>
          <w:b w:val="false"/>
          <w:color w:val="000000"/>
          <w:sz w:val="20"/>
        </w:rPr>
        <w:t>Fee computed on table in exhibit required by Item 25(b) per Exchange Act Rules 14a-6(i)(1) and 0-11.</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7192" w:type="dxa"/>
        <w:jc w:val="left"/>
        <w:tblInd w:w="0" w:type="dxa"/>
        <w:tblLayout w:type="fixed"/>
        <w:tblCellMar>
          <w:top w:w="28" w:type="dxa"/>
          <w:left w:w="28" w:type="dxa"/>
          <w:bottom w:w="28" w:type="dxa"/>
          <w:right w:w="28" w:type="dxa"/>
        </w:tblCellMar>
      </w:tblPr>
      <w:tblGrid>
        <w:gridCol w:w="1866"/>
        <w:gridCol w:w="1643"/>
        <w:gridCol w:w="1650"/>
        <w:gridCol w:w="109"/>
        <w:gridCol w:w="109"/>
        <w:gridCol w:w="109"/>
        <w:gridCol w:w="499"/>
        <w:gridCol w:w="499"/>
        <w:gridCol w:w="708"/>
      </w:tblGrid>
      <w:tr>
        <w:trPr/>
        <w:tc>
          <w:tcPr>
            <w:tcW w:w="1866" w:type="dxa"/>
            <w:tcBorders/>
            <w:vAlign w:val="center"/>
          </w:tcPr>
          <w:p>
            <w:pPr>
              <w:pStyle w:val="TableContents"/>
              <w:bidi w:val="0"/>
              <w:spacing w:before="0" w:after="283"/>
              <w:jc w:val="left"/>
              <w:rPr>
                <w:sz w:val="4"/>
                <w:szCs w:val="4"/>
              </w:rPr>
            </w:pPr>
            <w:r>
              <w:rPr>
                <w:sz w:val="4"/>
                <w:szCs w:val="4"/>
              </w:rPr>
            </w:r>
          </w:p>
        </w:tc>
        <w:tc>
          <w:tcPr>
            <w:tcW w:w="1643" w:type="dxa"/>
            <w:tcBorders/>
            <w:vAlign w:val="center"/>
          </w:tcPr>
          <w:p>
            <w:pPr>
              <w:pStyle w:val="TableContents"/>
              <w:bidi w:val="0"/>
              <w:spacing w:before="0" w:after="283"/>
              <w:jc w:val="left"/>
              <w:rPr>
                <w:sz w:val="4"/>
                <w:szCs w:val="4"/>
              </w:rPr>
            </w:pPr>
            <w:r>
              <w:rPr>
                <w:sz w:val="4"/>
                <w:szCs w:val="4"/>
              </w:rPr>
            </w:r>
          </w:p>
        </w:tc>
        <w:tc>
          <w:tcPr>
            <w:tcW w:w="16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708" w:type="dxa"/>
            <w:tcBorders/>
            <w:vAlign w:val="center"/>
          </w:tcPr>
          <w:p>
            <w:pPr>
              <w:pStyle w:val="TableContents"/>
              <w:bidi w:val="0"/>
              <w:spacing w:before="0" w:after="283"/>
              <w:jc w:val="left"/>
              <w:rPr>
                <w:sz w:val="4"/>
                <w:szCs w:val="4"/>
              </w:rPr>
            </w:pPr>
            <w:r>
              <w:rPr>
                <w:sz w:val="4"/>
                <w:szCs w:val="4"/>
              </w:rPr>
            </w:r>
          </w:p>
        </w:tc>
      </w:tr>
      <w:tr>
        <w:trPr/>
        <w:tc>
          <w:tcPr>
            <w:tcW w:w="5159" w:type="dxa"/>
            <w:gridSpan w:val="3"/>
            <w:tcBorders/>
            <w:tcMar>
              <w:top w:w="0" w:type="dxa"/>
              <w:left w:w="0" w:type="dxa"/>
              <w:bottom w:w="0" w:type="dxa"/>
              <w:right w:w="0" w:type="dxa"/>
            </w:tcMar>
            <w:vAlign w:val="center"/>
          </w:tcPr>
          <w:p>
            <w:pPr>
              <w:pStyle w:val="TableContents"/>
              <w:bidi w:val="0"/>
              <w:spacing w:lineRule="auto" w:line="312" w:before="0" w:after="283"/>
              <w:jc w:val="left"/>
              <w:rPr>
                <w:rFonts w:ascii="Arial;sans-serif" w:hAnsi="Arial;sans-serif"/>
                <w:b w:val="false"/>
                <w:color w:val="000000"/>
                <w:sz w:val="18"/>
              </w:rPr>
            </w:pPr>
            <w:r>
              <w:rPr>
                <w:rFonts w:ascii="Arial;sans-serif" w:hAnsi="Arial;sans-serif"/>
                <w:b w:val="false"/>
                <w:color w:val="000000"/>
                <w:sz w:val="18"/>
              </w:rPr>
              <w:t xml:space="preserve">471 El Camino Real, Suite 101 Santa Clara, California 95050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6" w:type="dxa"/>
            <w:gridSpan w:val="3"/>
            <w:tcBorders/>
            <w:tcMar>
              <w:top w:w="0" w:type="dxa"/>
              <w:left w:w="0" w:type="dxa"/>
              <w:bottom w:w="0" w:type="dxa"/>
              <w:right w:w="0" w:type="dxa"/>
            </w:tcMar>
            <w:vAlign w:val="center"/>
          </w:tcPr>
          <w:p>
            <w:pPr>
              <w:pStyle w:val="TableContents"/>
              <w:bidi w:val="0"/>
              <w:spacing w:before="0" w:after="0"/>
              <w:jc w:val="right"/>
              <w:rPr/>
            </w:pPr>
            <w:r>
              <w:rPr/>
              <w:drawing>
                <wp:inline distT="0" distB="0" distL="0" distR="0">
                  <wp:extent cx="1000125" cy="361950"/>
                  <wp:effectExtent l="0" t="0" r="0" b="0"/>
                  <wp:docPr id="2"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 descr=""/>
                          <pic:cNvPicPr>
                            <a:picLocks noChangeAspect="1" noChangeArrowheads="1"/>
                          </pic:cNvPicPr>
                        </pic:nvPicPr>
                        <pic:blipFill>
                          <a:blip r:embed="rId2"/>
                          <a:stretch>
                            <a:fillRect/>
                          </a:stretch>
                        </pic:blipFill>
                        <pic:spPr bwMode="auto">
                          <a:xfrm>
                            <a:off x="0" y="0"/>
                            <a:ext cx="1000125" cy="361950"/>
                          </a:xfrm>
                          <a:prstGeom prst="rect">
                            <a:avLst/>
                          </a:prstGeom>
                        </pic:spPr>
                      </pic:pic>
                    </a:graphicData>
                  </a:graphic>
                </wp:inline>
              </w:drawing>
            </w:r>
          </w:p>
        </w:tc>
      </w:tr>
    </w:tbl>
    <w:p>
      <w:pPr>
        <w:pStyle w:val="TextBody"/>
        <w:bidi w:val="0"/>
        <w:spacing w:lineRule="auto" w:line="288" w:before="0" w:after="0"/>
        <w:jc w:val="left"/>
        <w:rPr>
          <w:rFonts w:ascii="Arial;sans-serif" w:hAnsi="Arial;sans-serif"/>
          <w:b/>
          <w:color w:val="000000"/>
          <w:sz w:val="56"/>
        </w:rPr>
      </w:pPr>
      <w:r>
        <w:rPr>
          <w:rFonts w:ascii="Arial;sans-serif" w:hAnsi="Arial;sans-serif"/>
          <w:b/>
          <w:color w:val="000000"/>
          <w:sz w:val="56"/>
        </w:rPr>
        <w:t xml:space="preserve">Invitation to 2025 Annual Meeting </w:t>
        <w:br/>
        <w:t>of Stockholders</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12" w:before="0" w:after="60"/>
        <w:jc w:val="left"/>
        <w:rPr>
          <w:rFonts w:ascii="Arial;sans-serif" w:hAnsi="Arial;sans-serif"/>
          <w:b/>
          <w:color w:val="000000"/>
          <w:sz w:val="18"/>
        </w:rPr>
      </w:pPr>
      <w:r>
        <w:rPr>
          <w:rFonts w:ascii="Arial;sans-serif" w:hAnsi="Arial;sans-serif"/>
          <w:b/>
          <w:color w:val="000000"/>
          <w:sz w:val="18"/>
        </w:rPr>
        <w:t>DATE: Thursday, June 5, 2025</w:t>
      </w:r>
    </w:p>
    <w:p>
      <w:pPr>
        <w:pStyle w:val="TextBody"/>
        <w:bidi w:val="0"/>
        <w:spacing w:lineRule="auto" w:line="312" w:before="0" w:after="420"/>
        <w:jc w:val="left"/>
        <w:rPr>
          <w:rFonts w:ascii="Arial;sans-serif" w:hAnsi="Arial;sans-serif"/>
          <w:b/>
          <w:color w:val="000000"/>
          <w:sz w:val="18"/>
        </w:rPr>
      </w:pPr>
      <w:r>
        <w:rPr>
          <w:rFonts w:ascii="Arial;sans-serif" w:hAnsi="Arial;sans-serif"/>
          <w:b/>
          <w:color w:val="000000"/>
          <w:sz w:val="18"/>
        </w:rPr>
        <w:t>TIME: 8:00 a.m., Pacific Time</w:t>
      </w:r>
    </w:p>
    <w:p>
      <w:pPr>
        <w:pStyle w:val="TextBody"/>
        <w:bidi w:val="0"/>
        <w:spacing w:lineRule="auto" w:line="312" w:before="0" w:after="180"/>
        <w:jc w:val="left"/>
        <w:rPr>
          <w:rFonts w:ascii="Arial;sans-serif" w:hAnsi="Arial;sans-serif"/>
          <w:b w:val="false"/>
          <w:color w:val="000000"/>
          <w:sz w:val="18"/>
        </w:rPr>
      </w:pPr>
      <w:r>
        <w:rPr>
          <w:rFonts w:ascii="Arial;sans-serif" w:hAnsi="Arial;sans-serif"/>
          <w:b w:val="false"/>
          <w:color w:val="000000"/>
          <w:sz w:val="18"/>
        </w:rPr>
        <w:t xml:space="preserve">April 25, 2025 </w:t>
      </w:r>
    </w:p>
    <w:p>
      <w:pPr>
        <w:pStyle w:val="TextBody"/>
        <w:bidi w:val="0"/>
        <w:spacing w:lineRule="auto" w:line="312" w:before="0" w:after="180"/>
        <w:jc w:val="left"/>
        <w:rPr>
          <w:rFonts w:ascii="Arial;sans-serif" w:hAnsi="Arial;sans-serif"/>
          <w:b w:val="false"/>
          <w:color w:val="000000"/>
          <w:sz w:val="18"/>
        </w:rPr>
      </w:pPr>
      <w:r>
        <w:rPr>
          <w:rFonts w:ascii="Arial;sans-serif" w:hAnsi="Arial;sans-serif"/>
          <w:b w:val="false"/>
          <w:color w:val="000000"/>
          <w:sz w:val="18"/>
        </w:rPr>
        <w:t>Dear Stockholders:</w:t>
      </w:r>
    </w:p>
    <w:p>
      <w:pPr>
        <w:pStyle w:val="TextBody"/>
        <w:bidi w:val="0"/>
        <w:spacing w:lineRule="auto" w:line="312" w:before="0" w:after="180"/>
        <w:jc w:val="left"/>
        <w:rPr>
          <w:rFonts w:ascii="Arial;sans-serif" w:hAnsi="Arial;sans-serif"/>
          <w:b w:val="false"/>
          <w:color w:val="000000"/>
          <w:sz w:val="18"/>
        </w:rPr>
      </w:pPr>
      <w:r>
        <w:rPr>
          <w:rFonts w:ascii="Arial;sans-serif" w:hAnsi="Arial;sans-serif"/>
          <w:b w:val="false"/>
          <w:color w:val="000000"/>
          <w:sz w:val="18"/>
        </w:rPr>
        <w:t xml:space="preserve">It is my pleasure to invite you to attend SI-BONE's Annual Meeting of Stockholders (the "Annual Meeting") on Thursday, June 5, 2025 at 8:00 a.m., Pacific Time. The attached Notice of Annual Meeting of Stockholders and Proxy Statement will serve as your guide to the business we will conduct at the Annual Meeting. </w:t>
      </w:r>
    </w:p>
    <w:p>
      <w:pPr>
        <w:pStyle w:val="TextBody"/>
        <w:bidi w:val="0"/>
        <w:spacing w:lineRule="auto" w:line="312" w:before="0" w:after="180"/>
        <w:jc w:val="left"/>
        <w:rPr>
          <w:rFonts w:ascii="Arial;sans-serif" w:hAnsi="Arial;sans-serif"/>
          <w:b w:val="false"/>
          <w:color w:val="000000"/>
          <w:sz w:val="18"/>
        </w:rPr>
      </w:pPr>
      <w:r>
        <w:rPr>
          <w:rFonts w:ascii="Arial;sans-serif" w:hAnsi="Arial;sans-serif"/>
          <w:b w:val="false"/>
          <w:color w:val="000000"/>
          <w:sz w:val="18"/>
        </w:rPr>
        <w:t>We have made significant and measurable progress since last year’s annual meeting of stockholders, including the following:</w:t>
      </w:r>
    </w:p>
    <w:p>
      <w:pPr>
        <w:pStyle w:val="TextBody"/>
        <w:bidi w:val="0"/>
        <w:spacing w:lineRule="auto" w:line="312" w:before="0" w:after="60"/>
        <w:ind w:left="0" w:right="0" w:hanging="360"/>
        <w:jc w:val="left"/>
        <w:rPr/>
      </w:pPr>
      <w:r>
        <w:rPr>
          <w:color w:val="000000"/>
        </w:rPr>
        <w:t>•</w:t>
      </w:r>
      <w:r>
        <w:rPr>
          <w:rFonts w:ascii="Arial;sans-serif" w:hAnsi="Arial;sans-serif"/>
          <w:b w:val="false"/>
          <w:color w:val="000000"/>
          <w:sz w:val="18"/>
        </w:rPr>
        <w:t xml:space="preserve">Achieved worldwide revenue of $167.2 million for the full year 2024, representing an increase of ~20% over 2023 </w:t>
      </w:r>
    </w:p>
    <w:p>
      <w:pPr>
        <w:pStyle w:val="TextBody"/>
        <w:bidi w:val="0"/>
        <w:spacing w:lineRule="auto" w:line="312" w:before="0" w:after="60"/>
        <w:ind w:left="0" w:right="0" w:hanging="360"/>
        <w:jc w:val="left"/>
        <w:rPr/>
      </w:pPr>
      <w:r>
        <w:rPr>
          <w:color w:val="000000"/>
        </w:rPr>
        <w:t>•</w:t>
      </w:r>
      <w:r>
        <w:rPr>
          <w:rFonts w:ascii="Arial;sans-serif" w:hAnsi="Arial;sans-serif"/>
          <w:b w:val="false"/>
          <w:color w:val="000000"/>
          <w:sz w:val="18"/>
        </w:rPr>
        <w:t xml:space="preserve">Over 2,000 physicians performed an iFuse procedure in 2024, an ~25% increase over 2023 </w:t>
      </w:r>
    </w:p>
    <w:p>
      <w:pPr>
        <w:pStyle w:val="TextBody"/>
        <w:bidi w:val="0"/>
        <w:spacing w:lineRule="auto" w:line="312" w:before="0" w:after="60"/>
        <w:ind w:left="0" w:right="0" w:hanging="360"/>
        <w:jc w:val="left"/>
        <w:rPr/>
      </w:pPr>
      <w:r>
        <w:rPr>
          <w:color w:val="000000"/>
        </w:rPr>
        <w:t>•</w:t>
      </w:r>
      <w:r>
        <w:rPr>
          <w:rFonts w:ascii="Arial;sans-serif" w:hAnsi="Arial;sans-serif"/>
          <w:b w:val="false"/>
          <w:color w:val="000000"/>
          <w:sz w:val="18"/>
        </w:rPr>
        <w:t>Surpassed 115,000 procedures performed by over 4,300 physicians worldwide since inception</w:t>
      </w:r>
    </w:p>
    <w:p>
      <w:pPr>
        <w:pStyle w:val="TextBody"/>
        <w:bidi w:val="0"/>
        <w:spacing w:lineRule="auto" w:line="312" w:before="0" w:after="60"/>
        <w:ind w:left="0" w:right="0" w:hanging="360"/>
        <w:jc w:val="left"/>
        <w:rPr/>
      </w:pPr>
      <w:r>
        <w:rPr>
          <w:color w:val="000000"/>
        </w:rPr>
        <w:t>•</w:t>
      </w:r>
      <w:r>
        <w:rPr>
          <w:rFonts w:ascii="Arial;sans-serif" w:hAnsi="Arial;sans-serif"/>
          <w:b w:val="false"/>
          <w:color w:val="000000"/>
          <w:sz w:val="18"/>
        </w:rPr>
        <w:t xml:space="preserve">Achieved ~29% improvement in Net Loss and ~71% improvement in Adjusted EBITDA year-over-year; delivered positive Adjusted EBITDA in the fourth quarter </w:t>
      </w:r>
    </w:p>
    <w:p>
      <w:pPr>
        <w:pStyle w:val="TextBody"/>
        <w:bidi w:val="0"/>
        <w:spacing w:lineRule="auto" w:line="312" w:before="0" w:after="60"/>
        <w:ind w:left="0" w:right="0" w:hanging="360"/>
        <w:jc w:val="left"/>
        <w:rPr/>
      </w:pPr>
      <w:r>
        <w:rPr>
          <w:color w:val="000000"/>
        </w:rPr>
        <w:t>•</w:t>
      </w:r>
      <w:r>
        <w:rPr>
          <w:rFonts w:ascii="Arial;sans-serif" w:hAnsi="Arial;sans-serif"/>
          <w:b w:val="false"/>
          <w:color w:val="000000"/>
          <w:sz w:val="18"/>
        </w:rPr>
        <w:t>Exited 2024 with a solid balance sheet with ~$150 million in cash and equivalents</w:t>
      </w:r>
    </w:p>
    <w:p>
      <w:pPr>
        <w:pStyle w:val="TextBody"/>
        <w:bidi w:val="0"/>
        <w:spacing w:lineRule="auto" w:line="312" w:before="0" w:after="60"/>
        <w:ind w:left="0" w:right="0" w:hanging="360"/>
        <w:jc w:val="left"/>
        <w:rPr/>
      </w:pPr>
      <w:r>
        <w:rPr>
          <w:color w:val="000000"/>
        </w:rPr>
        <w:t>•</w:t>
      </w:r>
      <w:r>
        <w:rPr>
          <w:rFonts w:ascii="Arial;sans-serif" w:hAnsi="Arial;sans-serif"/>
          <w:b w:val="false"/>
          <w:color w:val="000000"/>
          <w:sz w:val="18"/>
        </w:rPr>
        <w:t>Launched iFuse INTRA, iFuse Bedrock Granite 9.5, and iFuse TORQ TNT in 2024</w:t>
      </w:r>
    </w:p>
    <w:p>
      <w:pPr>
        <w:pStyle w:val="TextBody"/>
        <w:bidi w:val="0"/>
        <w:spacing w:lineRule="auto" w:line="312" w:before="0" w:after="60"/>
        <w:ind w:left="0" w:right="0" w:hanging="360"/>
        <w:jc w:val="left"/>
        <w:rPr/>
      </w:pPr>
      <w:r>
        <w:rPr>
          <w:color w:val="000000"/>
        </w:rPr>
        <w:t>•</w:t>
      </w:r>
      <w:r>
        <w:rPr>
          <w:rFonts w:ascii="Arial;sans-serif" w:hAnsi="Arial;sans-serif"/>
          <w:b w:val="false"/>
          <w:color w:val="000000"/>
          <w:sz w:val="18"/>
        </w:rPr>
        <w:t>Granted Transitional Pass-Through payment status effective January 1, 2025 for Granite outpatient procedures</w:t>
      </w:r>
    </w:p>
    <w:p>
      <w:pPr>
        <w:pStyle w:val="TextBody"/>
        <w:bidi w:val="0"/>
        <w:spacing w:lineRule="auto" w:line="312" w:before="0" w:after="180"/>
        <w:ind w:left="0" w:right="0" w:hanging="360"/>
        <w:jc w:val="left"/>
        <w:rPr/>
      </w:pPr>
      <w:r>
        <w:rPr>
          <w:color w:val="000000"/>
        </w:rPr>
        <w:t>•</w:t>
      </w:r>
      <w:r>
        <w:rPr>
          <w:rFonts w:ascii="Arial;sans-serif" w:hAnsi="Arial;sans-serif"/>
          <w:b w:val="false"/>
          <w:color w:val="000000"/>
          <w:sz w:val="18"/>
        </w:rPr>
        <w:t>Received third Breakthrough Device Designation for a novel implant system</w:t>
      </w:r>
    </w:p>
    <w:p>
      <w:pPr>
        <w:pStyle w:val="TextBody"/>
        <w:bidi w:val="0"/>
        <w:spacing w:lineRule="auto" w:line="312" w:before="0" w:after="180"/>
        <w:jc w:val="left"/>
        <w:rPr>
          <w:rFonts w:ascii="Arial;sans-serif" w:hAnsi="Arial;sans-serif"/>
          <w:b w:val="false"/>
          <w:color w:val="000000"/>
          <w:sz w:val="18"/>
        </w:rPr>
      </w:pPr>
      <w:r>
        <w:rPr>
          <w:rFonts w:ascii="Arial;sans-serif" w:hAnsi="Arial;sans-serif"/>
          <w:b w:val="false"/>
          <w:color w:val="000000"/>
          <w:sz w:val="18"/>
        </w:rPr>
        <w:t>We will hold our Annual Meeting virtually in an effort to make it convenient for our stockholders to attend. During our Annual Meeting, we will discuss each item of business described in the Notice of Annual Meeting and Proxy Statement enclosed with this letter, which we encourage you to read carefully. We will also address any questions submitted before or during the Annual Meeting.</w:t>
      </w:r>
    </w:p>
    <w:p>
      <w:pPr>
        <w:pStyle w:val="TextBody"/>
        <w:bidi w:val="0"/>
        <w:spacing w:lineRule="auto" w:line="312" w:before="0" w:after="180"/>
        <w:jc w:val="left"/>
        <w:rPr>
          <w:rFonts w:ascii="Arial;sans-serif" w:hAnsi="Arial;sans-serif"/>
          <w:b w:val="false"/>
          <w:color w:val="000000"/>
          <w:sz w:val="18"/>
        </w:rPr>
      </w:pPr>
      <w:r>
        <w:rPr>
          <w:rFonts w:ascii="Arial;sans-serif" w:hAnsi="Arial;sans-serif"/>
          <w:b w:val="false"/>
          <w:color w:val="000000"/>
          <w:sz w:val="18"/>
        </w:rPr>
        <w:t>Your vote is very important to us, and I urge you to vote your shares as promptly as possible. You may vote by Internet or by telephone. If you received a paper copy of the proxy card by mail, you may sign, date, and return the proxy card in the enclosed envelope.</w:t>
      </w:r>
    </w:p>
    <w:p>
      <w:pPr>
        <w:pStyle w:val="TextBody"/>
        <w:bidi w:val="0"/>
        <w:spacing w:lineRule="auto" w:line="312" w:before="0" w:after="180"/>
        <w:jc w:val="left"/>
        <w:rPr>
          <w:rFonts w:ascii="Arial;sans-serif" w:hAnsi="Arial;sans-serif"/>
          <w:b w:val="false"/>
          <w:color w:val="000000"/>
          <w:sz w:val="18"/>
        </w:rPr>
      </w:pPr>
      <w:r>
        <w:rPr>
          <w:rFonts w:ascii="Arial;sans-serif" w:hAnsi="Arial;sans-serif"/>
          <w:b w:val="false"/>
          <w:color w:val="000000"/>
          <w:sz w:val="18"/>
        </w:rPr>
        <w:t>Finally, I continue to be humbled by the exceptional performance of the entire SI-BONE team, working diligently to introduce new products and continuing to train and educate physicians to grow our core business. On behalf of the Board, management team and employees, thank you for your continued confidence and support as we advance our mission to help patients rise up and reach for the stars. We look forward to your participation in this year’s Annual Meeting.</w:t>
      </w:r>
    </w:p>
    <w:p>
      <w:pPr>
        <w:pStyle w:val="TextBody"/>
        <w:bidi w:val="0"/>
        <w:spacing w:lineRule="auto" w:line="312" w:before="0" w:after="180"/>
        <w:jc w:val="left"/>
        <w:rPr>
          <w:rFonts w:ascii="Arial;sans-serif" w:hAnsi="Arial;sans-serif"/>
          <w:b w:val="false"/>
          <w:color w:val="000000"/>
          <w:sz w:val="18"/>
        </w:rPr>
      </w:pPr>
      <w:r>
        <w:rPr>
          <w:rFonts w:ascii="Arial;sans-serif" w:hAnsi="Arial;sans-serif"/>
          <w:b w:val="false"/>
          <w:color w:val="000000"/>
          <w:sz w:val="18"/>
        </w:rPr>
        <w:t>Sincerely yours,</w:t>
      </w:r>
    </w:p>
    <w:p>
      <w:pPr>
        <w:pStyle w:val="TextBody"/>
        <w:bidi w:val="0"/>
        <w:spacing w:lineRule="auto" w:line="312" w:before="0" w:after="180"/>
        <w:jc w:val="left"/>
        <w:rPr>
          <w:rFonts w:ascii="Arial;sans-serif" w:hAnsi="Arial;sans-serif"/>
          <w:b w:val="false"/>
          <w:color w:val="000000"/>
          <w:sz w:val="18"/>
        </w:rPr>
      </w:pPr>
      <w:r>
        <w:rPr>
          <w:rFonts w:ascii="Arial;sans-serif" w:hAnsi="Arial;sans-serif"/>
          <w:b w:val="false"/>
          <w:color w:val="000000"/>
          <w:sz w:val="18"/>
        </w:rPr>
        <w:t>/s/ Laura Francis</w:t>
      </w:r>
    </w:p>
    <w:p>
      <w:pPr>
        <w:pStyle w:val="TextBody"/>
        <w:bidi w:val="0"/>
        <w:spacing w:lineRule="auto" w:line="312" w:before="0" w:after="0"/>
        <w:jc w:val="left"/>
        <w:rPr>
          <w:rFonts w:ascii="Arial;sans-serif" w:hAnsi="Arial;sans-serif"/>
          <w:b/>
          <w:color w:val="000000"/>
          <w:sz w:val="18"/>
        </w:rPr>
      </w:pPr>
      <w:r>
        <w:rPr>
          <w:rFonts w:ascii="Arial;sans-serif" w:hAnsi="Arial;sans-serif"/>
          <w:b/>
          <w:color w:val="000000"/>
          <w:sz w:val="18"/>
        </w:rPr>
        <w:t>Laura Francis</w:t>
      </w:r>
    </w:p>
    <w:p>
      <w:pPr>
        <w:pStyle w:val="TextBody"/>
        <w:bidi w:val="0"/>
        <w:spacing w:lineRule="auto" w:line="312" w:before="0" w:after="180"/>
        <w:jc w:val="left"/>
        <w:rPr>
          <w:rFonts w:ascii="Arial;sans-serif" w:hAnsi="Arial;sans-serif"/>
          <w:b w:val="false"/>
          <w:color w:val="000000"/>
          <w:sz w:val="18"/>
        </w:rPr>
      </w:pPr>
      <w:r>
        <w:rPr>
          <w:rFonts w:ascii="Arial;sans-serif" w:hAnsi="Arial;sans-serif"/>
          <w:b w:val="false"/>
          <w:color w:val="000000"/>
          <w:sz w:val="18"/>
        </w:rPr>
        <w:t>Chief Executive Officer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75260"/>
                <wp:effectExtent l="0" t="0" r="0" b="0"/>
                <wp:wrapNone/>
                <wp:docPr id="3"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7192" w:type="dxa"/>
        <w:jc w:val="left"/>
        <w:tblInd w:w="0" w:type="dxa"/>
        <w:tblLayout w:type="fixed"/>
        <w:tblCellMar>
          <w:top w:w="28" w:type="dxa"/>
          <w:left w:w="28" w:type="dxa"/>
          <w:bottom w:w="28" w:type="dxa"/>
          <w:right w:w="28" w:type="dxa"/>
        </w:tblCellMar>
      </w:tblPr>
      <w:tblGrid>
        <w:gridCol w:w="1866"/>
        <w:gridCol w:w="1643"/>
        <w:gridCol w:w="1650"/>
        <w:gridCol w:w="109"/>
        <w:gridCol w:w="109"/>
        <w:gridCol w:w="109"/>
        <w:gridCol w:w="499"/>
        <w:gridCol w:w="499"/>
        <w:gridCol w:w="708"/>
      </w:tblGrid>
      <w:tr>
        <w:trPr/>
        <w:tc>
          <w:tcPr>
            <w:tcW w:w="1866" w:type="dxa"/>
            <w:tcBorders/>
            <w:vAlign w:val="center"/>
          </w:tcPr>
          <w:p>
            <w:pPr>
              <w:pStyle w:val="TableContents"/>
              <w:bidi w:val="0"/>
              <w:spacing w:before="0" w:after="283"/>
              <w:jc w:val="left"/>
              <w:rPr>
                <w:sz w:val="4"/>
                <w:szCs w:val="4"/>
              </w:rPr>
            </w:pPr>
            <w:r>
              <w:rPr>
                <w:sz w:val="4"/>
                <w:szCs w:val="4"/>
              </w:rPr>
            </w:r>
          </w:p>
        </w:tc>
        <w:tc>
          <w:tcPr>
            <w:tcW w:w="1643" w:type="dxa"/>
            <w:tcBorders/>
            <w:vAlign w:val="center"/>
          </w:tcPr>
          <w:p>
            <w:pPr>
              <w:pStyle w:val="TableContents"/>
              <w:bidi w:val="0"/>
              <w:spacing w:before="0" w:after="283"/>
              <w:jc w:val="left"/>
              <w:rPr>
                <w:sz w:val="4"/>
                <w:szCs w:val="4"/>
              </w:rPr>
            </w:pPr>
            <w:r>
              <w:rPr>
                <w:sz w:val="4"/>
                <w:szCs w:val="4"/>
              </w:rPr>
            </w:r>
          </w:p>
        </w:tc>
        <w:tc>
          <w:tcPr>
            <w:tcW w:w="16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708" w:type="dxa"/>
            <w:tcBorders/>
            <w:vAlign w:val="center"/>
          </w:tcPr>
          <w:p>
            <w:pPr>
              <w:pStyle w:val="TableContents"/>
              <w:bidi w:val="0"/>
              <w:spacing w:before="0" w:after="283"/>
              <w:jc w:val="left"/>
              <w:rPr>
                <w:sz w:val="4"/>
                <w:szCs w:val="4"/>
              </w:rPr>
            </w:pPr>
            <w:r>
              <w:rPr>
                <w:sz w:val="4"/>
                <w:szCs w:val="4"/>
              </w:rPr>
            </w:r>
          </w:p>
        </w:tc>
      </w:tr>
      <w:tr>
        <w:trPr/>
        <w:tc>
          <w:tcPr>
            <w:tcW w:w="5159" w:type="dxa"/>
            <w:gridSpan w:val="3"/>
            <w:tcBorders/>
            <w:tcMar>
              <w:top w:w="0" w:type="dxa"/>
              <w:left w:w="0" w:type="dxa"/>
              <w:bottom w:w="0" w:type="dxa"/>
              <w:right w:w="0" w:type="dxa"/>
            </w:tcMar>
            <w:vAlign w:val="center"/>
          </w:tcPr>
          <w:p>
            <w:pPr>
              <w:pStyle w:val="TableContents"/>
              <w:bidi w:val="0"/>
              <w:spacing w:lineRule="auto" w:line="312" w:before="0" w:after="283"/>
              <w:jc w:val="left"/>
              <w:rPr>
                <w:rFonts w:ascii="Arial;sans-serif" w:hAnsi="Arial;sans-serif"/>
                <w:b w:val="false"/>
                <w:color w:val="000000"/>
                <w:sz w:val="18"/>
              </w:rPr>
            </w:pPr>
            <w:r>
              <w:rPr>
                <w:rFonts w:ascii="Arial;sans-serif" w:hAnsi="Arial;sans-serif"/>
                <w:b w:val="false"/>
                <w:color w:val="000000"/>
                <w:sz w:val="18"/>
              </w:rPr>
              <w:t xml:space="preserve">471 El Camino Real, Suite 101 Santa Clara, California 95050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6" w:type="dxa"/>
            <w:gridSpan w:val="3"/>
            <w:tcBorders/>
            <w:tcMar>
              <w:top w:w="0" w:type="dxa"/>
              <w:left w:w="0" w:type="dxa"/>
              <w:bottom w:w="0" w:type="dxa"/>
              <w:right w:w="0" w:type="dxa"/>
            </w:tcMar>
            <w:vAlign w:val="center"/>
          </w:tcPr>
          <w:p>
            <w:pPr>
              <w:pStyle w:val="TableContents"/>
              <w:bidi w:val="0"/>
              <w:spacing w:before="0" w:after="0"/>
              <w:jc w:val="right"/>
              <w:rPr/>
            </w:pPr>
            <w:r>
              <w:rPr/>
              <w:drawing>
                <wp:inline distT="0" distB="0" distL="0" distR="0">
                  <wp:extent cx="1000125" cy="361950"/>
                  <wp:effectExtent l="0" t="0" r="0" b="0"/>
                  <wp:docPr id="4"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2" descr=""/>
                          <pic:cNvPicPr>
                            <a:picLocks noChangeAspect="1" noChangeArrowheads="1"/>
                          </pic:cNvPicPr>
                        </pic:nvPicPr>
                        <pic:blipFill>
                          <a:blip r:embed="rId3"/>
                          <a:stretch>
                            <a:fillRect/>
                          </a:stretch>
                        </pic:blipFill>
                        <pic:spPr bwMode="auto">
                          <a:xfrm>
                            <a:off x="0" y="0"/>
                            <a:ext cx="1000125" cy="361950"/>
                          </a:xfrm>
                          <a:prstGeom prst="rect">
                            <a:avLst/>
                          </a:prstGeom>
                        </pic:spPr>
                      </pic:pic>
                    </a:graphicData>
                  </a:graphic>
                </wp:inline>
              </w:drawing>
            </w:r>
          </w:p>
        </w:tc>
      </w:tr>
    </w:tbl>
    <w:p>
      <w:pPr>
        <w:pStyle w:val="TextBody"/>
        <w:bidi w:val="0"/>
        <w:spacing w:lineRule="auto" w:line="268" w:before="0" w:after="0"/>
        <w:jc w:val="left"/>
        <w:rPr>
          <w:rFonts w:ascii="Arial;sans-serif" w:hAnsi="Arial;sans-serif"/>
          <w:b/>
          <w:color w:val="000000"/>
          <w:sz w:val="56"/>
        </w:rPr>
      </w:pPr>
      <w:r>
        <w:rPr>
          <w:rFonts w:ascii="Arial;sans-serif" w:hAnsi="Arial;sans-serif"/>
          <w:b/>
          <w:color w:val="000000"/>
          <w:sz w:val="56"/>
        </w:rPr>
        <w:t>Notice of Annual Meeting</w:t>
        <w:br/>
        <w:t>of Stockholders</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12" w:before="0" w:after="180"/>
        <w:jc w:val="left"/>
        <w:rPr>
          <w:rFonts w:ascii="Arial;sans-serif" w:hAnsi="Arial;sans-serif"/>
          <w:b w:val="false"/>
          <w:color w:val="000000"/>
          <w:sz w:val="18"/>
        </w:rPr>
      </w:pPr>
      <w:r>
        <w:rPr>
          <w:rFonts w:ascii="Arial;sans-serif" w:hAnsi="Arial;sans-serif"/>
          <w:b w:val="false"/>
          <w:color w:val="000000"/>
          <w:sz w:val="18"/>
        </w:rPr>
        <w:t>Dear Stockholder:</w:t>
      </w:r>
    </w:p>
    <w:p>
      <w:pPr>
        <w:pStyle w:val="TextBody"/>
        <w:bidi w:val="0"/>
        <w:spacing w:lineRule="auto" w:line="312" w:before="0" w:after="180"/>
        <w:jc w:val="left"/>
        <w:rPr>
          <w:rFonts w:ascii="Arial;sans-serif" w:hAnsi="Arial;sans-serif"/>
          <w:b w:val="false"/>
          <w:color w:val="000000"/>
          <w:sz w:val="18"/>
        </w:rPr>
      </w:pPr>
      <w:r>
        <w:rPr>
          <w:rFonts w:ascii="Arial;sans-serif" w:hAnsi="Arial;sans-serif"/>
          <w:b w:val="false"/>
          <w:color w:val="000000"/>
          <w:sz w:val="18"/>
        </w:rPr>
        <w:t>You are cordially invited to attend the virtual Annual Meeting of Stockholders of SI-BONE, Inc., a Delaware corporation. The meeting will be a completely virtual meeting of stockholders and will be held on Thursday, June 5, 2025 at 8:00 a.m. Pacific Time by live webcast as described in the proxy statement accompanying this notice. The Annual Meeting is being held for the following purposes:</w:t>
      </w:r>
    </w:p>
    <w:tbl>
      <w:tblPr>
        <w:tblW w:w="10205" w:type="dxa"/>
        <w:jc w:val="left"/>
        <w:tblInd w:w="0" w:type="dxa"/>
        <w:tblLayout w:type="fixed"/>
        <w:tblCellMar>
          <w:top w:w="28" w:type="dxa"/>
          <w:left w:w="28" w:type="dxa"/>
          <w:bottom w:w="28" w:type="dxa"/>
          <w:right w:w="28" w:type="dxa"/>
        </w:tblCellMar>
      </w:tblPr>
      <w:tblGrid>
        <w:gridCol w:w="124"/>
        <w:gridCol w:w="109"/>
        <w:gridCol w:w="109"/>
        <w:gridCol w:w="3133"/>
        <w:gridCol w:w="2782"/>
        <w:gridCol w:w="394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33" w:type="dxa"/>
            <w:tcBorders/>
            <w:vAlign w:val="center"/>
          </w:tcPr>
          <w:p>
            <w:pPr>
              <w:pStyle w:val="TableContents"/>
              <w:bidi w:val="0"/>
              <w:spacing w:before="0" w:after="283"/>
              <w:jc w:val="left"/>
              <w:rPr>
                <w:sz w:val="4"/>
                <w:szCs w:val="4"/>
              </w:rPr>
            </w:pPr>
            <w:r>
              <w:rPr>
                <w:sz w:val="4"/>
                <w:szCs w:val="4"/>
              </w:rPr>
            </w:r>
          </w:p>
        </w:tc>
        <w:tc>
          <w:tcPr>
            <w:tcW w:w="2782" w:type="dxa"/>
            <w:tcBorders/>
            <w:vAlign w:val="center"/>
          </w:tcPr>
          <w:p>
            <w:pPr>
              <w:pStyle w:val="TableContents"/>
              <w:bidi w:val="0"/>
              <w:spacing w:before="0" w:after="283"/>
              <w:jc w:val="left"/>
              <w:rPr>
                <w:sz w:val="4"/>
                <w:szCs w:val="4"/>
              </w:rPr>
            </w:pPr>
            <w:r>
              <w:rPr>
                <w:sz w:val="4"/>
                <w:szCs w:val="4"/>
              </w:rPr>
            </w:r>
          </w:p>
        </w:tc>
        <w:tc>
          <w:tcPr>
            <w:tcW w:w="394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1F2F2"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74A333"/>
                <w:sz w:val="36"/>
              </w:rPr>
            </w:pPr>
            <w:r>
              <w:rPr>
                <w:rFonts w:ascii="Arial;sans-serif" w:hAnsi="Arial;sans-serif"/>
                <w:b/>
                <w:color w:val="74A333"/>
                <w:sz w:val="36"/>
              </w:rPr>
              <w:t>1</w:t>
            </w:r>
          </w:p>
        </w:tc>
        <w:tc>
          <w:tcPr>
            <w:tcW w:w="9863" w:type="dxa"/>
            <w:gridSpan w:val="3"/>
            <w:tcBorders/>
            <w:shd w:fill="F1F2F2"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To elect the Board of Director’s three nominees for director to serve until the 2028 Annual Meeting of Stockholders or until their successors are elected and qualified.</w:t>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74A333"/>
                <w:sz w:val="36"/>
              </w:rPr>
            </w:pPr>
            <w:r>
              <w:rPr>
                <w:rFonts w:ascii="Arial;sans-serif" w:hAnsi="Arial;sans-serif"/>
                <w:b/>
                <w:color w:val="74A333"/>
                <w:sz w:val="36"/>
              </w:rPr>
              <w:t>2</w:t>
            </w:r>
          </w:p>
        </w:tc>
        <w:tc>
          <w:tcPr>
            <w:tcW w:w="9863"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To ratify the selection by the Audit Committee of the Board of Directors of PricewaterhouseCoopers LLP as our independent registered public accounting firm for the fiscal year ending December 31, 2025.</w:t>
            </w:r>
          </w:p>
        </w:tc>
      </w:tr>
      <w:tr>
        <w:trPr/>
        <w:tc>
          <w:tcPr>
            <w:tcW w:w="342" w:type="dxa"/>
            <w:gridSpan w:val="3"/>
            <w:tcBorders/>
            <w:shd w:fill="F1F2F2"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74A333"/>
                <w:sz w:val="36"/>
              </w:rPr>
            </w:pPr>
            <w:r>
              <w:rPr>
                <w:rFonts w:ascii="Arial;sans-serif" w:hAnsi="Arial;sans-serif"/>
                <w:b/>
                <w:color w:val="74A333"/>
                <w:sz w:val="36"/>
              </w:rPr>
              <w:t>3</w:t>
            </w:r>
          </w:p>
        </w:tc>
        <w:tc>
          <w:tcPr>
            <w:tcW w:w="9863" w:type="dxa"/>
            <w:gridSpan w:val="3"/>
            <w:tcBorders/>
            <w:shd w:fill="F1F2F2"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To provide an advisory, non-binding vote on the compensation of our named executive officers, as disclosed in this proxy statement.</w:t>
            </w:r>
          </w:p>
        </w:tc>
      </w:tr>
      <w:tr>
        <w:trPr/>
        <w:tc>
          <w:tcPr>
            <w:tcW w:w="342" w:type="dxa"/>
            <w:gridSpan w:val="3"/>
            <w:tcBorders>
              <w:bottom w:val="single" w:sz="12" w:space="0" w:color="74A333"/>
            </w:tcBorders>
            <w:shd w:fill="FFFFFF" w:val="clear"/>
            <w:tcMar>
              <w:top w:w="0" w:type="dxa"/>
              <w:left w:w="0" w:type="dxa"/>
              <w:bottom w:w="30" w:type="dxa"/>
              <w:right w:w="0" w:type="dxa"/>
            </w:tcMar>
            <w:vAlign w:val="center"/>
          </w:tcPr>
          <w:p>
            <w:pPr>
              <w:pStyle w:val="TableContents"/>
              <w:bidi w:val="0"/>
              <w:spacing w:lineRule="auto" w:line="288" w:before="0" w:after="283"/>
              <w:jc w:val="center"/>
              <w:rPr>
                <w:rFonts w:ascii="Arial;sans-serif" w:hAnsi="Arial;sans-serif"/>
                <w:b/>
                <w:color w:val="74A333"/>
                <w:sz w:val="36"/>
              </w:rPr>
            </w:pPr>
            <w:r>
              <w:rPr>
                <w:rFonts w:ascii="Arial;sans-serif" w:hAnsi="Arial;sans-serif"/>
                <w:b/>
                <w:color w:val="74A333"/>
                <w:sz w:val="36"/>
              </w:rPr>
              <w:t>4</w:t>
            </w:r>
          </w:p>
        </w:tc>
        <w:tc>
          <w:tcPr>
            <w:tcW w:w="9863" w:type="dxa"/>
            <w:gridSpan w:val="3"/>
            <w:tcBorders>
              <w:bottom w:val="single" w:sz="12" w:space="0" w:color="74A333"/>
            </w:tcBorders>
            <w:shd w:fill="FFFFFF" w:val="clear"/>
            <w:tcMar>
              <w:top w:w="0" w:type="dxa"/>
              <w:left w:w="0" w:type="dxa"/>
              <w:bottom w:w="30" w:type="dxa"/>
              <w:right w:w="0" w:type="dxa"/>
            </w:tcMar>
            <w:vAlign w:val="center"/>
          </w:tcPr>
          <w:p>
            <w:pPr>
              <w:pStyle w:val="TableContents"/>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To conduct any other business properly brought before the meeting.</w:t>
            </w:r>
          </w:p>
        </w:tc>
      </w:tr>
    </w:tbl>
    <w:p>
      <w:pPr>
        <w:pStyle w:val="TextBody"/>
        <w:bidi w:val="0"/>
        <w:spacing w:lineRule="auto" w:line="312" w:before="0" w:after="180"/>
        <w:jc w:val="left"/>
        <w:rPr>
          <w:rFonts w:ascii="Arial;sans-serif" w:hAnsi="Arial;sans-serif"/>
          <w:b w:val="false"/>
          <w:color w:val="000000"/>
          <w:sz w:val="18"/>
        </w:rPr>
      </w:pPr>
      <w:r>
        <w:rPr>
          <w:rFonts w:ascii="Arial;sans-serif" w:hAnsi="Arial;sans-serif"/>
          <w:b w:val="false"/>
          <w:color w:val="000000"/>
          <w:sz w:val="18"/>
        </w:rPr>
        <w:t>These items of business are more fully described in the Proxy Statement accompanying this Notice.</w:t>
      </w:r>
    </w:p>
    <w:p>
      <w:pPr>
        <w:pStyle w:val="TextBody"/>
        <w:bidi w:val="0"/>
        <w:spacing w:lineRule="auto" w:line="312" w:before="0" w:after="180"/>
        <w:jc w:val="left"/>
        <w:rPr>
          <w:rFonts w:ascii="Arial;sans-serif" w:hAnsi="Arial;sans-serif"/>
          <w:b w:val="false"/>
          <w:color w:val="000000"/>
          <w:sz w:val="18"/>
        </w:rPr>
      </w:pPr>
      <w:r>
        <w:rPr>
          <w:rFonts w:ascii="Arial;sans-serif" w:hAnsi="Arial;sans-serif"/>
          <w:b w:val="false"/>
          <w:color w:val="000000"/>
          <w:sz w:val="18"/>
        </w:rPr>
        <w:t>You will be able to attend the virtual Annual Meeting and submit your questions and vote your shares online during the meeting by visiting www.virtualshareholdermeeting.com/SIBN2025 and using the 16-digit control number included in the Notice to enter the virtual Annual Meeting. If you determine to attend the Annual Meeting by webcast, you will only be able to participate by using your 16-digit control number provided on the proxy or information card to enter the Annual Meeting. Without your 16-digit control number, you will only be able to enter as a guest in listen-only mode and will not be able to vote. Therefore, it is important to retain a copy of your proxy or information card you receive to enable you to gain participation access to the virtual Annual Meeting.</w:t>
      </w:r>
    </w:p>
    <w:p>
      <w:pPr>
        <w:pStyle w:val="TextBody"/>
        <w:bidi w:val="0"/>
        <w:spacing w:lineRule="auto" w:line="312" w:before="0" w:after="180"/>
        <w:jc w:val="left"/>
        <w:rPr>
          <w:rFonts w:ascii="Arial;sans-serif" w:hAnsi="Arial;sans-serif"/>
          <w:b w:val="false"/>
          <w:color w:val="000000"/>
          <w:sz w:val="18"/>
        </w:rPr>
      </w:pPr>
      <w:r>
        <w:rPr>
          <w:rFonts w:ascii="Arial;sans-serif" w:hAnsi="Arial;sans-serif"/>
          <w:b w:val="false"/>
          <w:color w:val="000000"/>
          <w:sz w:val="18"/>
        </w:rPr>
        <w:t>The stockholder list will also be available during the Annual Meeting at www.virtualshareholdermeeting.com/SIBN2025. Instructions on how stockholders of record can view the stockholder list during the Annual Meeting are posted at www.virtualshareholdermeeting.com/SIBN2025. The record date for the Annual Meeting is April 7, 2025. Only stockholders of record at the close of business on that date may vote at the meeting or any adjournment thereof.</w:t>
      </w:r>
    </w:p>
    <w:p>
      <w:pPr>
        <w:pStyle w:val="TextBody"/>
        <w:bidi w:val="0"/>
        <w:spacing w:lineRule="auto" w:line="312" w:before="0" w:after="180"/>
        <w:jc w:val="left"/>
        <w:rPr>
          <w:rFonts w:ascii="Arial;sans-serif" w:hAnsi="Arial;sans-serif"/>
          <w:b w:val="false"/>
          <w:color w:val="000000"/>
          <w:sz w:val="18"/>
        </w:rPr>
      </w:pPr>
      <w:r>
        <w:rPr>
          <w:rFonts w:ascii="Arial;sans-serif" w:hAnsi="Arial;sans-serif"/>
          <w:b w:val="false"/>
          <w:color w:val="000000"/>
          <w:sz w:val="18"/>
        </w:rPr>
        <w:t>By Order of the Board of Directors,</w:t>
      </w:r>
    </w:p>
    <w:p>
      <w:pPr>
        <w:pStyle w:val="TextBody"/>
        <w:bidi w:val="0"/>
        <w:spacing w:lineRule="auto" w:line="312" w:before="0" w:after="180"/>
        <w:jc w:val="left"/>
        <w:rPr>
          <w:rFonts w:ascii="Arial;sans-serif" w:hAnsi="Arial;sans-serif"/>
          <w:b w:val="false"/>
          <w:color w:val="000000"/>
          <w:sz w:val="18"/>
        </w:rPr>
      </w:pPr>
      <w:r>
        <w:rPr>
          <w:rFonts w:ascii="Arial;sans-serif" w:hAnsi="Arial;sans-serif"/>
          <w:b w:val="false"/>
          <w:color w:val="000000"/>
          <w:sz w:val="18"/>
        </w:rPr>
        <w:t>/s/ Michael A. Pisetsky</w:t>
      </w:r>
    </w:p>
    <w:p>
      <w:pPr>
        <w:pStyle w:val="TextBody"/>
        <w:bidi w:val="0"/>
        <w:spacing w:lineRule="auto" w:line="312" w:before="0" w:after="0"/>
        <w:jc w:val="left"/>
        <w:rPr>
          <w:rFonts w:ascii="Arial;sans-serif" w:hAnsi="Arial;sans-serif"/>
          <w:b/>
          <w:color w:val="000000"/>
          <w:sz w:val="18"/>
        </w:rPr>
      </w:pPr>
      <w:r>
        <w:rPr>
          <w:rFonts w:ascii="Arial;sans-serif" w:hAnsi="Arial;sans-serif"/>
          <w:b/>
          <w:color w:val="000000"/>
          <w:sz w:val="18"/>
        </w:rPr>
        <w:t>Michael A. Pisetsky</w:t>
      </w:r>
    </w:p>
    <w:p>
      <w:pPr>
        <w:pStyle w:val="TextBody"/>
        <w:bidi w:val="0"/>
        <w:spacing w:lineRule="auto" w:line="288" w:before="0" w:after="120"/>
        <w:jc w:val="left"/>
        <w:rPr>
          <w:rFonts w:ascii="Arial;sans-serif" w:hAnsi="Arial;sans-serif"/>
          <w:b w:val="false"/>
          <w:color w:val="000000"/>
          <w:sz w:val="16"/>
        </w:rPr>
      </w:pPr>
      <w:r>
        <w:rPr>
          <w:rFonts w:ascii="Arial;sans-serif" w:hAnsi="Arial;sans-serif"/>
          <w:b w:val="false"/>
          <w:color w:val="000000"/>
          <w:sz w:val="16"/>
        </w:rPr>
        <w:t>Secretary and Chief Business &amp; Legal Affairs Officer</w:t>
      </w:r>
    </w:p>
    <w:p>
      <w:pPr>
        <w:pStyle w:val="TextBody"/>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Santa Clara, California</w:t>
      </w:r>
    </w:p>
    <w:p>
      <w:pPr>
        <w:pStyle w:val="TextBody"/>
        <w:bidi w:val="0"/>
        <w:spacing w:lineRule="auto" w:line="288" w:before="0" w:after="300"/>
        <w:jc w:val="left"/>
        <w:rPr>
          <w:rFonts w:ascii="Arial;sans-serif" w:hAnsi="Arial;sans-serif"/>
          <w:b w:val="false"/>
          <w:color w:val="000000"/>
          <w:sz w:val="16"/>
        </w:rPr>
      </w:pPr>
      <w:r>
        <w:rPr>
          <w:rFonts w:ascii="Arial;sans-serif" w:hAnsi="Arial;sans-serif"/>
          <w:b w:val="false"/>
          <w:color w:val="000000"/>
          <w:sz w:val="16"/>
        </w:rPr>
        <w:t>April 25, 2025</w:t>
      </w:r>
    </w:p>
    <w:tbl>
      <w:tblPr>
        <w:tblW w:w="10205" w:type="dxa"/>
        <w:jc w:val="left"/>
        <w:tblInd w:w="0" w:type="dxa"/>
        <w:tblLayout w:type="fixed"/>
        <w:tblCellMar>
          <w:top w:w="28" w:type="dxa"/>
          <w:left w:w="28" w:type="dxa"/>
          <w:bottom w:w="28" w:type="dxa"/>
          <w:right w:w="28" w:type="dxa"/>
        </w:tblCellMar>
      </w:tblPr>
      <w:tblGrid>
        <w:gridCol w:w="124"/>
        <w:gridCol w:w="109"/>
        <w:gridCol w:w="109"/>
        <w:gridCol w:w="3162"/>
        <w:gridCol w:w="3162"/>
        <w:gridCol w:w="3165"/>
        <w:gridCol w:w="109"/>
        <w:gridCol w:w="109"/>
        <w:gridCol w:w="15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62" w:type="dxa"/>
            <w:tcBorders/>
            <w:vAlign w:val="center"/>
          </w:tcPr>
          <w:p>
            <w:pPr>
              <w:pStyle w:val="TableContents"/>
              <w:bidi w:val="0"/>
              <w:spacing w:before="0" w:after="283"/>
              <w:jc w:val="left"/>
              <w:rPr>
                <w:sz w:val="4"/>
                <w:szCs w:val="4"/>
              </w:rPr>
            </w:pPr>
            <w:r>
              <w:rPr>
                <w:sz w:val="4"/>
                <w:szCs w:val="4"/>
              </w:rPr>
            </w:r>
          </w:p>
        </w:tc>
        <w:tc>
          <w:tcPr>
            <w:tcW w:w="3162" w:type="dxa"/>
            <w:tcBorders/>
            <w:vAlign w:val="center"/>
          </w:tcPr>
          <w:p>
            <w:pPr>
              <w:pStyle w:val="TableContents"/>
              <w:bidi w:val="0"/>
              <w:spacing w:before="0" w:after="283"/>
              <w:jc w:val="left"/>
              <w:rPr>
                <w:sz w:val="4"/>
                <w:szCs w:val="4"/>
              </w:rPr>
            </w:pPr>
            <w:r>
              <w:rPr>
                <w:sz w:val="4"/>
                <w:szCs w:val="4"/>
              </w:rPr>
            </w:r>
          </w:p>
        </w:tc>
        <w:tc>
          <w:tcPr>
            <w:tcW w:w="31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74A33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9" w:type="dxa"/>
            <w:gridSpan w:val="3"/>
            <w:tcBorders/>
            <w:shd w:fill="74A33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shd w:fill="74A33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74A33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9" w:type="dxa"/>
            <w:gridSpan w:val="3"/>
            <w:tcBorders/>
            <w:shd w:fill="74A333" w:val="clear"/>
            <w:tcMar>
              <w:top w:w="0" w:type="dxa"/>
              <w:left w:w="0" w:type="dxa"/>
              <w:bottom w:w="0" w:type="dxa"/>
              <w:right w:w="0" w:type="dxa"/>
            </w:tcMar>
            <w:vAlign w:val="center"/>
          </w:tcPr>
          <w:p>
            <w:pPr>
              <w:pStyle w:val="TableContents"/>
              <w:bidi w:val="0"/>
              <w:spacing w:lineRule="auto" w:line="288" w:before="0" w:after="60"/>
              <w:jc w:val="center"/>
              <w:rPr>
                <w:rFonts w:ascii="Arial;sans-serif" w:hAnsi="Arial;sans-serif"/>
                <w:b/>
                <w:color w:val="FFFFFF"/>
                <w:sz w:val="18"/>
              </w:rPr>
            </w:pPr>
            <w:r>
              <w:rPr>
                <w:rFonts w:ascii="Arial;sans-serif" w:hAnsi="Arial;sans-serif"/>
                <w:b/>
                <w:color w:val="FFFFFF"/>
                <w:sz w:val="18"/>
              </w:rPr>
              <w:t>Important Notice Regarding the Availability of Proxy Materials for the 2025 Stockholders’ Meeting to Be Held on June 5, 2025 via live webcast at www.virtualshareholdermeeting.com/SIBN2025. You will need the 16-digit control number provided on the proxy or information card in order to gain access to the Annual Meeting by live webcast.</w:t>
            </w:r>
          </w:p>
          <w:p>
            <w:pPr>
              <w:pStyle w:val="TableContents"/>
              <w:bidi w:val="0"/>
              <w:spacing w:lineRule="auto" w:line="288" w:before="0" w:after="60"/>
              <w:jc w:val="center"/>
              <w:rPr>
                <w:rFonts w:ascii="Arial;sans-serif" w:hAnsi="Arial;sans-serif"/>
                <w:b/>
                <w:color w:val="FFFFFF"/>
                <w:sz w:val="18"/>
              </w:rPr>
            </w:pPr>
            <w:r>
              <w:rPr>
                <w:rFonts w:ascii="Arial;sans-serif" w:hAnsi="Arial;sans-serif"/>
                <w:b/>
                <w:color w:val="FFFFFF"/>
                <w:sz w:val="18"/>
              </w:rPr>
              <w:t>The proxy statement and annual report to stockholders are available at www.proxyvote.com.</w:t>
            </w:r>
          </w:p>
        </w:tc>
        <w:tc>
          <w:tcPr>
            <w:tcW w:w="374" w:type="dxa"/>
            <w:gridSpan w:val="3"/>
            <w:tcBorders/>
            <w:shd w:fill="74A33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74A33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9" w:type="dxa"/>
            <w:gridSpan w:val="3"/>
            <w:tcBorders/>
            <w:shd w:fill="74A33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shd w:fill="74A33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75260"/>
                <wp:effectExtent l="0" t="0" r="0" b="0"/>
                <wp:wrapNone/>
                <wp:docPr id="5"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312" w:before="0" w:after="160"/>
                              <w:jc w:val="left"/>
                              <w:rPr>
                                <w:color w:val="FF0090"/>
                              </w:rPr>
                            </w:pPr>
                            <w:r>
                              <w:rPr>
                                <w:color w:val="FF0090"/>
                              </w:rPr>
                              <w:t>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12" w:before="0" w:after="160"/>
                        <w:jc w:val="left"/>
                        <w:rPr>
                          <w:color w:val="FF0090"/>
                        </w:rPr>
                      </w:pPr>
                      <w:r>
                        <w:rPr>
                          <w:color w:val="FF0090"/>
                        </w:rPr>
                        <w:t>    </w:t>
                      </w:r>
                    </w:p>
                  </w:txbxContent>
                </v:textbox>
                <w10:wrap type="none"/>
              </v:rect>
            </w:pict>
          </mc:Fallback>
        </mc:AlternateContent>
      </w:r>
    </w:p>
    <w:tbl>
      <w:tblPr>
        <w:tblW w:w="7192" w:type="dxa"/>
        <w:jc w:val="left"/>
        <w:tblInd w:w="0" w:type="dxa"/>
        <w:tblLayout w:type="fixed"/>
        <w:tblCellMar>
          <w:top w:w="28" w:type="dxa"/>
          <w:left w:w="28" w:type="dxa"/>
          <w:bottom w:w="28" w:type="dxa"/>
          <w:right w:w="28" w:type="dxa"/>
        </w:tblCellMar>
      </w:tblPr>
      <w:tblGrid>
        <w:gridCol w:w="1866"/>
        <w:gridCol w:w="1643"/>
        <w:gridCol w:w="1650"/>
        <w:gridCol w:w="109"/>
        <w:gridCol w:w="109"/>
        <w:gridCol w:w="109"/>
        <w:gridCol w:w="499"/>
        <w:gridCol w:w="499"/>
        <w:gridCol w:w="708"/>
      </w:tblGrid>
      <w:tr>
        <w:trPr/>
        <w:tc>
          <w:tcPr>
            <w:tcW w:w="1866" w:type="dxa"/>
            <w:tcBorders/>
            <w:vAlign w:val="center"/>
          </w:tcPr>
          <w:p>
            <w:pPr>
              <w:pStyle w:val="TableContents"/>
              <w:bidi w:val="0"/>
              <w:spacing w:before="0" w:after="283"/>
              <w:jc w:val="left"/>
              <w:rPr>
                <w:sz w:val="4"/>
                <w:szCs w:val="4"/>
              </w:rPr>
            </w:pPr>
            <w:r>
              <w:rPr>
                <w:sz w:val="4"/>
                <w:szCs w:val="4"/>
              </w:rPr>
            </w:r>
          </w:p>
        </w:tc>
        <w:tc>
          <w:tcPr>
            <w:tcW w:w="1643" w:type="dxa"/>
            <w:tcBorders/>
            <w:vAlign w:val="center"/>
          </w:tcPr>
          <w:p>
            <w:pPr>
              <w:pStyle w:val="TableContents"/>
              <w:bidi w:val="0"/>
              <w:spacing w:before="0" w:after="283"/>
              <w:jc w:val="left"/>
              <w:rPr>
                <w:sz w:val="4"/>
                <w:szCs w:val="4"/>
              </w:rPr>
            </w:pPr>
            <w:r>
              <w:rPr>
                <w:sz w:val="4"/>
                <w:szCs w:val="4"/>
              </w:rPr>
            </w:r>
          </w:p>
        </w:tc>
        <w:tc>
          <w:tcPr>
            <w:tcW w:w="16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708" w:type="dxa"/>
            <w:tcBorders/>
            <w:vAlign w:val="center"/>
          </w:tcPr>
          <w:p>
            <w:pPr>
              <w:pStyle w:val="TableContents"/>
              <w:bidi w:val="0"/>
              <w:spacing w:before="0" w:after="283"/>
              <w:jc w:val="left"/>
              <w:rPr>
                <w:sz w:val="4"/>
                <w:szCs w:val="4"/>
              </w:rPr>
            </w:pPr>
            <w:r>
              <w:rPr>
                <w:sz w:val="4"/>
                <w:szCs w:val="4"/>
              </w:rPr>
            </w:r>
          </w:p>
        </w:tc>
      </w:tr>
      <w:tr>
        <w:trPr/>
        <w:tc>
          <w:tcPr>
            <w:tcW w:w="5159" w:type="dxa"/>
            <w:gridSpan w:val="3"/>
            <w:tcBorders/>
            <w:tcMar>
              <w:top w:w="0" w:type="dxa"/>
              <w:left w:w="0" w:type="dxa"/>
              <w:bottom w:w="0" w:type="dxa"/>
              <w:right w:w="0" w:type="dxa"/>
            </w:tcMar>
            <w:vAlign w:val="center"/>
          </w:tcPr>
          <w:p>
            <w:pPr>
              <w:pStyle w:val="TableContents"/>
              <w:bidi w:val="0"/>
              <w:spacing w:lineRule="auto" w:line="312" w:before="0" w:after="283"/>
              <w:jc w:val="left"/>
              <w:rPr>
                <w:rFonts w:ascii="Arial;sans-serif" w:hAnsi="Arial;sans-serif"/>
                <w:b w:val="false"/>
                <w:color w:val="000000"/>
                <w:sz w:val="18"/>
              </w:rPr>
            </w:pPr>
            <w:r>
              <w:rPr>
                <w:rFonts w:ascii="Arial;sans-serif" w:hAnsi="Arial;sans-serif"/>
                <w:b w:val="false"/>
                <w:color w:val="000000"/>
                <w:sz w:val="18"/>
              </w:rPr>
              <w:t xml:space="preserve">471 El Camino Real, Suite 101 Santa Clara, California 95050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6" w:type="dxa"/>
            <w:gridSpan w:val="3"/>
            <w:tcBorders/>
            <w:tcMar>
              <w:top w:w="0" w:type="dxa"/>
              <w:left w:w="0" w:type="dxa"/>
              <w:bottom w:w="0" w:type="dxa"/>
              <w:right w:w="0" w:type="dxa"/>
            </w:tcMar>
            <w:vAlign w:val="center"/>
          </w:tcPr>
          <w:p>
            <w:pPr>
              <w:pStyle w:val="TableContents"/>
              <w:bidi w:val="0"/>
              <w:spacing w:before="0" w:after="0"/>
              <w:jc w:val="right"/>
              <w:rPr/>
            </w:pPr>
            <w:r>
              <w:rPr/>
              <w:drawing>
                <wp:inline distT="0" distB="0" distL="0" distR="0">
                  <wp:extent cx="1000125" cy="361950"/>
                  <wp:effectExtent l="0" t="0" r="0" b="0"/>
                  <wp:docPr id="6"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3" descr=""/>
                          <pic:cNvPicPr>
                            <a:picLocks noChangeAspect="1" noChangeArrowheads="1"/>
                          </pic:cNvPicPr>
                        </pic:nvPicPr>
                        <pic:blipFill>
                          <a:blip r:embed="rId4"/>
                          <a:stretch>
                            <a:fillRect/>
                          </a:stretch>
                        </pic:blipFill>
                        <pic:spPr bwMode="auto">
                          <a:xfrm>
                            <a:off x="0" y="0"/>
                            <a:ext cx="1000125" cy="361950"/>
                          </a:xfrm>
                          <a:prstGeom prst="rect">
                            <a:avLst/>
                          </a:prstGeom>
                        </pic:spPr>
                      </pic:pic>
                    </a:graphicData>
                  </a:graphic>
                </wp:inline>
              </w:drawing>
            </w:r>
          </w:p>
        </w:tc>
      </w:tr>
    </w:tbl>
    <w:p>
      <w:pPr>
        <w:pStyle w:val="TextBody"/>
        <w:bidi w:val="0"/>
        <w:spacing w:lineRule="auto" w:line="312" w:before="0" w:after="180"/>
        <w:jc w:val="left"/>
        <w:rPr>
          <w:rFonts w:ascii="Arial;sans-serif" w:hAnsi="Arial;sans-serif"/>
          <w:b w:val="false"/>
          <w:color w:val="000000"/>
          <w:sz w:val="18"/>
        </w:rPr>
      </w:pPr>
      <w:r>
        <w:rPr>
          <w:rFonts w:ascii="Arial;sans-serif" w:hAnsi="Arial;sans-serif"/>
          <w:b w:val="false"/>
          <w:color w:val="000000"/>
          <w:sz w:val="18"/>
        </w:rPr>
        <w:t>You are cordially invited to attend the meeting by live webcast as described in the proxy statement accompanying this notice. Whether or not you expect to attend the meeting, please vote as soon as possible in order to ensure your representation at the meeting. You may vote over the internet or by a toll-free telephone number, or you may vote by mailing a completed, signed and dated proxy card or voting instruction card in the envelope provided with the proxy card or voting instruction card. Please note that any stockholder attending the virtual Annual Meeting may vote online during the meeting, even if the stockholder has already returned a proxy card or voting instruction card. Please see the instructions in the attached proxy statement and on your proxy card or voting instruction card.</w:t>
      </w:r>
    </w:p>
    <w:p>
      <w:pPr>
        <w:pStyle w:val="TextBody"/>
        <w:bidi w:val="0"/>
        <w:spacing w:before="100" w:after="283"/>
        <w:jc w:val="center"/>
        <w:rPr/>
      </w:pPr>
      <w:r>
        <w:rPr/>
      </w:r>
    </w:p>
    <w:p>
      <w:pPr>
        <w:pStyle w:val="TextBody"/>
        <w:bidi w:val="0"/>
        <w:spacing w:lineRule="auto" w:line="268" w:before="0" w:after="0"/>
        <w:jc w:val="left"/>
        <w:rPr>
          <w:rFonts w:ascii="Arial;sans-serif" w:hAnsi="Arial;sans-serif"/>
          <w:b/>
          <w:color w:val="000000"/>
          <w:sz w:val="56"/>
        </w:rPr>
      </w:pPr>
      <w:r>
        <w:rPr>
          <w:rFonts w:ascii="Arial;sans-serif" w:hAnsi="Arial;sans-serif"/>
          <w:b/>
          <w:color w:val="000000"/>
          <w:sz w:val="56"/>
        </w:rPr>
        <w:t>Proxy Statement for the 2025 Annual Meeting of Stockholders</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12" w:before="0" w:after="180"/>
        <w:jc w:val="left"/>
        <w:rPr>
          <w:rFonts w:ascii="Arial;sans-serif" w:hAnsi="Arial;sans-serif"/>
          <w:b/>
          <w:color w:val="000000"/>
          <w:sz w:val="18"/>
        </w:rPr>
      </w:pPr>
      <w:r>
        <w:rPr>
          <w:rFonts w:ascii="Arial;sans-serif" w:hAnsi="Arial;sans-serif"/>
          <w:b/>
          <w:color w:val="000000"/>
          <w:sz w:val="18"/>
        </w:rPr>
        <w:t>TO BE HELD ON June 5, 2025</w:t>
      </w:r>
    </w:p>
    <w:p>
      <w:pPr>
        <w:pStyle w:val="TextBody"/>
        <w:bidi w:val="0"/>
        <w:spacing w:lineRule="auto" w:line="312" w:before="0" w:after="180"/>
        <w:jc w:val="left"/>
        <w:rPr>
          <w:rFonts w:ascii="Arial;sans-serif" w:hAnsi="Arial;sans-serif"/>
          <w:b/>
          <w:color w:val="000000"/>
          <w:sz w:val="18"/>
        </w:rPr>
      </w:pPr>
      <w:r>
        <w:rPr>
          <w:rFonts w:ascii="Arial;sans-serif" w:hAnsi="Arial;sans-serif"/>
          <w:b/>
          <w:color w:val="000000"/>
          <w:sz w:val="18"/>
        </w:rPr>
        <w:t>IMPORTANT NOTICE REGARDING THE INTERNET AVAILABILITY OF PROXY MATERIALS FOR THE ANNUAL MEETING OF STOCKHOLDERS TO BE HELD ON June 5, 2025</w:t>
      </w:r>
    </w:p>
    <w:p>
      <w:pPr>
        <w:pStyle w:val="TextBody"/>
        <w:bidi w:val="0"/>
        <w:spacing w:lineRule="auto" w:line="312" w:before="0" w:after="180"/>
        <w:jc w:val="left"/>
        <w:rPr>
          <w:rFonts w:ascii="Arial;sans-serif" w:hAnsi="Arial;sans-serif"/>
          <w:b w:val="false"/>
          <w:color w:val="000000"/>
          <w:sz w:val="18"/>
        </w:rPr>
      </w:pPr>
      <w:r>
        <w:rPr>
          <w:rFonts w:ascii="Arial;sans-serif" w:hAnsi="Arial;sans-serif"/>
          <w:b w:val="false"/>
          <w:color w:val="000000"/>
          <w:sz w:val="18"/>
        </w:rPr>
        <w:t>This proxy statement and our 2025 Annual Report to Stockholders, which includes our Annual Report on Form 10-K for the fiscal year ended December 31, 2024, are available on our website at https://investor.si-bone.com/financial-information/sec-filings and www.proxyvote.com.</w:t>
      </w:r>
    </w:p>
    <w:p>
      <w:pPr>
        <w:pStyle w:val="TextBody"/>
        <w:bidi w:val="0"/>
        <w:spacing w:lineRule="auto" w:line="288" w:before="240" w:after="180"/>
        <w:jc w:val="left"/>
        <w:rPr>
          <w:rFonts w:ascii="Arial;sans-serif" w:hAnsi="Arial;sans-serif"/>
          <w:b w:val="false"/>
          <w:color w:val="000000"/>
          <w:sz w:val="24"/>
        </w:rPr>
      </w:pPr>
      <w:r>
        <w:rPr>
          <w:rFonts w:ascii="Arial;sans-serif" w:hAnsi="Arial;sans-serif"/>
          <w:b w:val="false"/>
          <w:color w:val="000000"/>
          <w:sz w:val="24"/>
        </w:rPr>
        <w:t>MEETING AGENDA</w:t>
      </w:r>
    </w:p>
    <w:tbl>
      <w:tblPr>
        <w:tblW w:w="10205" w:type="dxa"/>
        <w:jc w:val="left"/>
        <w:tblInd w:w="0" w:type="dxa"/>
        <w:tblLayout w:type="fixed"/>
        <w:tblCellMar>
          <w:top w:w="28" w:type="dxa"/>
          <w:left w:w="28" w:type="dxa"/>
          <w:bottom w:w="28" w:type="dxa"/>
          <w:right w:w="28" w:type="dxa"/>
        </w:tblCellMar>
      </w:tblPr>
      <w:tblGrid>
        <w:gridCol w:w="169"/>
        <w:gridCol w:w="149"/>
        <w:gridCol w:w="149"/>
        <w:gridCol w:w="2323"/>
        <w:gridCol w:w="1686"/>
        <w:gridCol w:w="1720"/>
        <w:gridCol w:w="1252"/>
        <w:gridCol w:w="1135"/>
        <w:gridCol w:w="1139"/>
        <w:gridCol w:w="109"/>
        <w:gridCol w:w="109"/>
        <w:gridCol w:w="109"/>
        <w:gridCol w:w="156"/>
      </w:tblGrid>
      <w:tr>
        <w:trPr/>
        <w:tc>
          <w:tcPr>
            <w:tcW w:w="16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2323" w:type="dxa"/>
            <w:tcBorders/>
            <w:vAlign w:val="center"/>
          </w:tcPr>
          <w:p>
            <w:pPr>
              <w:pStyle w:val="TableContents"/>
              <w:bidi w:val="0"/>
              <w:spacing w:before="0" w:after="283"/>
              <w:jc w:val="left"/>
              <w:rPr>
                <w:sz w:val="4"/>
                <w:szCs w:val="4"/>
              </w:rPr>
            </w:pPr>
            <w:r>
              <w:rPr>
                <w:sz w:val="4"/>
                <w:szCs w:val="4"/>
              </w:rPr>
            </w:r>
          </w:p>
        </w:tc>
        <w:tc>
          <w:tcPr>
            <w:tcW w:w="1686" w:type="dxa"/>
            <w:tcBorders/>
            <w:vAlign w:val="center"/>
          </w:tcPr>
          <w:p>
            <w:pPr>
              <w:pStyle w:val="TableContents"/>
              <w:bidi w:val="0"/>
              <w:spacing w:before="0" w:after="283"/>
              <w:jc w:val="left"/>
              <w:rPr>
                <w:sz w:val="4"/>
                <w:szCs w:val="4"/>
              </w:rPr>
            </w:pPr>
            <w:r>
              <w:rPr>
                <w:sz w:val="4"/>
                <w:szCs w:val="4"/>
              </w:rPr>
            </w:r>
          </w:p>
        </w:tc>
        <w:tc>
          <w:tcPr>
            <w:tcW w:w="1720" w:type="dxa"/>
            <w:tcBorders/>
            <w:vAlign w:val="center"/>
          </w:tcPr>
          <w:p>
            <w:pPr>
              <w:pStyle w:val="TableContents"/>
              <w:bidi w:val="0"/>
              <w:spacing w:before="0" w:after="283"/>
              <w:jc w:val="left"/>
              <w:rPr>
                <w:sz w:val="4"/>
                <w:szCs w:val="4"/>
              </w:rPr>
            </w:pPr>
            <w:r>
              <w:rPr>
                <w:sz w:val="4"/>
                <w:szCs w:val="4"/>
              </w:rPr>
            </w:r>
          </w:p>
        </w:tc>
        <w:tc>
          <w:tcPr>
            <w:tcW w:w="1252" w:type="dxa"/>
            <w:tcBorders/>
            <w:vAlign w:val="center"/>
          </w:tcPr>
          <w:p>
            <w:pPr>
              <w:pStyle w:val="TableContents"/>
              <w:bidi w:val="0"/>
              <w:spacing w:before="0" w:after="283"/>
              <w:jc w:val="left"/>
              <w:rPr>
                <w:sz w:val="4"/>
                <w:szCs w:val="4"/>
              </w:rPr>
            </w:pPr>
            <w:r>
              <w:rPr>
                <w:sz w:val="4"/>
                <w:szCs w:val="4"/>
              </w:rPr>
            </w:r>
          </w:p>
        </w:tc>
        <w:tc>
          <w:tcPr>
            <w:tcW w:w="1135" w:type="dxa"/>
            <w:tcBorders/>
            <w:vAlign w:val="center"/>
          </w:tcPr>
          <w:p>
            <w:pPr>
              <w:pStyle w:val="TableContents"/>
              <w:bidi w:val="0"/>
              <w:spacing w:before="0" w:after="283"/>
              <w:jc w:val="left"/>
              <w:rPr>
                <w:sz w:val="4"/>
                <w:szCs w:val="4"/>
              </w:rPr>
            </w:pPr>
            <w:r>
              <w:rPr>
                <w:sz w:val="4"/>
                <w:szCs w:val="4"/>
              </w:rPr>
            </w:r>
          </w:p>
        </w:tc>
        <w:tc>
          <w:tcPr>
            <w:tcW w:w="11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196" w:type="dxa"/>
            <w:gridSpan w:val="6"/>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6"/>
              </w:rPr>
            </w:pPr>
            <w:r>
              <w:rPr>
                <w:rFonts w:ascii="Arial;sans-serif" w:hAnsi="Arial;sans-serif"/>
                <w:b/>
                <w:color w:val="000000"/>
                <w:sz w:val="16"/>
              </w:rPr>
              <w:t>Proposals</w:t>
            </w:r>
          </w:p>
        </w:tc>
        <w:tc>
          <w:tcPr>
            <w:tcW w:w="352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6"/>
              </w:rPr>
            </w:pPr>
            <w:r>
              <w:rPr>
                <w:rFonts w:ascii="Arial;sans-serif" w:hAnsi="Arial;sans-serif"/>
                <w:b/>
                <w:color w:val="000000"/>
                <w:sz w:val="16"/>
              </w:rPr>
              <w:t>Vote Required for Approval</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67" w:type="dxa"/>
            <w:gridSpan w:val="3"/>
            <w:tcBorders/>
            <w:shd w:fill="EDEDEE"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74A333"/>
                <w:sz w:val="36"/>
              </w:rPr>
            </w:pPr>
            <w:r>
              <w:rPr>
                <w:rFonts w:ascii="Arial;sans-serif" w:hAnsi="Arial;sans-serif"/>
                <w:b/>
                <w:color w:val="74A333"/>
                <w:sz w:val="36"/>
              </w:rPr>
              <w:t>1</w:t>
            </w:r>
          </w:p>
        </w:tc>
        <w:tc>
          <w:tcPr>
            <w:tcW w:w="5729" w:type="dxa"/>
            <w:gridSpan w:val="3"/>
            <w:tcBorders/>
            <w:shd w:fill="EDEDEE"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 xml:space="preserve">To elect the Board of Directors' three nominees for director to serve until the 2028 Annual Meeting of Stockholders or until their successors are elected and qualified. </w:t>
            </w:r>
          </w:p>
        </w:tc>
        <w:tc>
          <w:tcPr>
            <w:tcW w:w="3526" w:type="dxa"/>
            <w:gridSpan w:val="3"/>
            <w:tcBorders/>
            <w:shd w:fill="EDEDEE"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The three nominees receiving the most "For" votes will be elected; withheld votes will have no effect.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6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74A333"/>
                <w:sz w:val="36"/>
              </w:rPr>
            </w:pPr>
            <w:r>
              <w:rPr>
                <w:rFonts w:ascii="Arial;sans-serif" w:hAnsi="Arial;sans-serif"/>
                <w:b/>
                <w:color w:val="74A333"/>
                <w:sz w:val="36"/>
              </w:rPr>
              <w:t>2</w:t>
            </w:r>
          </w:p>
        </w:tc>
        <w:tc>
          <w:tcPr>
            <w:tcW w:w="572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To ratify the selection by the Audit Committee of the Board of Directors of PricewaterhouseCoopers LLP as our independent registered public accounting firm for the fiscal year ending December 31, 2025.</w:t>
            </w:r>
          </w:p>
        </w:tc>
        <w:tc>
          <w:tcPr>
            <w:tcW w:w="352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"For" votes from the holders of a majority of shares present, via webcast or represented by proxy and entitled to vote on the matter.</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67" w:type="dxa"/>
            <w:gridSpan w:val="3"/>
            <w:tcBorders>
              <w:bottom w:val="single" w:sz="12" w:space="0" w:color="74A333"/>
            </w:tcBorders>
            <w:shd w:fill="EDEDEE" w:val="clear"/>
            <w:tcMar>
              <w:top w:w="0" w:type="dxa"/>
              <w:left w:w="0" w:type="dxa"/>
              <w:bottom w:w="30" w:type="dxa"/>
              <w:right w:w="0" w:type="dxa"/>
            </w:tcMar>
            <w:vAlign w:val="center"/>
          </w:tcPr>
          <w:p>
            <w:pPr>
              <w:pStyle w:val="TableContents"/>
              <w:bidi w:val="0"/>
              <w:spacing w:lineRule="auto" w:line="288" w:before="0" w:after="283"/>
              <w:jc w:val="center"/>
              <w:rPr>
                <w:rFonts w:ascii="Arial;sans-serif" w:hAnsi="Arial;sans-serif"/>
                <w:b/>
                <w:color w:val="74A333"/>
                <w:sz w:val="36"/>
              </w:rPr>
            </w:pPr>
            <w:r>
              <w:rPr>
                <w:rFonts w:ascii="Arial;sans-serif" w:hAnsi="Arial;sans-serif"/>
                <w:b/>
                <w:color w:val="74A333"/>
                <w:sz w:val="36"/>
              </w:rPr>
              <w:t>3</w:t>
            </w:r>
          </w:p>
        </w:tc>
        <w:tc>
          <w:tcPr>
            <w:tcW w:w="5729" w:type="dxa"/>
            <w:gridSpan w:val="3"/>
            <w:tcBorders>
              <w:bottom w:val="single" w:sz="12" w:space="0" w:color="74A333"/>
            </w:tcBorders>
            <w:shd w:fill="EDEDEE" w:val="clear"/>
            <w:tcMar>
              <w:top w:w="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To provide an advisory non-binding vote on the compensation of our named executive officers, as disclosed in this proxy statement.</w:t>
            </w:r>
          </w:p>
        </w:tc>
        <w:tc>
          <w:tcPr>
            <w:tcW w:w="3526" w:type="dxa"/>
            <w:gridSpan w:val="3"/>
            <w:tcBorders>
              <w:bottom w:val="single" w:sz="12" w:space="0" w:color="74A333"/>
            </w:tcBorders>
            <w:shd w:fill="EDEDEE" w:val="clear"/>
            <w:tcMar>
              <w:top w:w="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"For" votes from the holders of a majority of shares present via webcast or represented by proxy and entitled to vote on the matter.</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75260"/>
                <wp:effectExtent l="0" t="0" r="0" b="0"/>
                <wp:wrapNone/>
                <wp:docPr id="7"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312" w:before="0" w:after="160"/>
                              <w:jc w:val="left"/>
                              <w:rPr>
                                <w:color w:val="FF0090"/>
                              </w:rPr>
                            </w:pPr>
                            <w:r>
                              <w:rPr>
                                <w:color w:val="FF0090"/>
                              </w:rPr>
                              <w:t>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12" w:before="0" w:after="160"/>
                        <w:jc w:val="left"/>
                        <w:rPr>
                          <w:color w:val="FF0090"/>
                        </w:rPr>
                      </w:pPr>
                      <w:r>
                        <w:rPr>
                          <w:color w:val="FF0090"/>
                        </w:rPr>
                        <w:t>    </w:t>
                      </w:r>
                    </w:p>
                  </w:txbxContent>
                </v:textbox>
                <w10:wrap type="none"/>
              </v:rect>
            </w:pict>
          </mc:Fallback>
        </mc:AlternateContent>
      </w:r>
    </w:p>
    <w:p>
      <w:pPr>
        <w:pStyle w:val="TextBody"/>
        <w:bidi w:val="0"/>
        <w:spacing w:lineRule="auto" w:line="288" w:before="0" w:after="0"/>
        <w:jc w:val="right"/>
        <w:rPr>
          <w:rFonts w:ascii="Arial;sans-serif" w:hAnsi="Arial;sans-serif"/>
          <w:b w:val="false"/>
          <w:color w:val="000000"/>
          <w:sz w:val="16"/>
        </w:rPr>
      </w:pPr>
      <w:r>
        <w:rPr>
          <w:rFonts w:ascii="Arial;sans-serif" w:hAnsi="Arial;sans-serif"/>
          <w:b w:val="false"/>
          <w:color w:val="000000"/>
          <w:sz w:val="16"/>
        </w:rPr>
        <w:t>Table of Contents</w:t>
      </w:r>
    </w:p>
    <w:p>
      <w:pPr>
        <w:pStyle w:val="TextBody"/>
        <w:bidi w:val="0"/>
        <w:spacing w:lineRule="auto" w:line="288" w:before="0" w:after="0"/>
        <w:jc w:val="left"/>
        <w:rPr>
          <w:rFonts w:ascii="Arial;sans-serif" w:hAnsi="Arial;sans-serif"/>
          <w:b/>
          <w:color w:val="000000"/>
          <w:sz w:val="56"/>
        </w:rPr>
      </w:pPr>
      <w:r>
        <w:rPr>
          <w:rFonts w:ascii="Arial;sans-serif" w:hAnsi="Arial;sans-serif"/>
          <w:b/>
          <w:color w:val="000000"/>
          <w:sz w:val="56"/>
        </w:rPr>
        <w:t>Table of Contents</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8401" w:type="dxa"/>
        <w:jc w:val="left"/>
        <w:tblInd w:w="0" w:type="dxa"/>
        <w:tblLayout w:type="fixed"/>
        <w:tblCellMar>
          <w:top w:w="28" w:type="dxa"/>
          <w:left w:w="28" w:type="dxa"/>
          <w:bottom w:w="28" w:type="dxa"/>
          <w:right w:w="28" w:type="dxa"/>
        </w:tblCellMar>
      </w:tblPr>
      <w:tblGrid>
        <w:gridCol w:w="2831"/>
        <w:gridCol w:w="2484"/>
        <w:gridCol w:w="2500"/>
        <w:gridCol w:w="171"/>
        <w:gridCol w:w="171"/>
        <w:gridCol w:w="244"/>
      </w:tblGrid>
      <w:tr>
        <w:trPr/>
        <w:tc>
          <w:tcPr>
            <w:tcW w:w="2831" w:type="dxa"/>
            <w:tcBorders/>
            <w:vAlign w:val="center"/>
          </w:tcPr>
          <w:p>
            <w:pPr>
              <w:pStyle w:val="TableContents"/>
              <w:bidi w:val="0"/>
              <w:spacing w:before="0" w:after="283"/>
              <w:jc w:val="left"/>
              <w:rPr>
                <w:sz w:val="4"/>
                <w:szCs w:val="4"/>
              </w:rPr>
            </w:pPr>
            <w:r>
              <w:rPr>
                <w:sz w:val="4"/>
                <w:szCs w:val="4"/>
              </w:rPr>
            </w:r>
          </w:p>
        </w:tc>
        <w:tc>
          <w:tcPr>
            <w:tcW w:w="2484" w:type="dxa"/>
            <w:tcBorders/>
            <w:vAlign w:val="center"/>
          </w:tcPr>
          <w:p>
            <w:pPr>
              <w:pStyle w:val="TableContents"/>
              <w:bidi w:val="0"/>
              <w:spacing w:before="0" w:after="283"/>
              <w:jc w:val="left"/>
              <w:rPr>
                <w:sz w:val="4"/>
                <w:szCs w:val="4"/>
              </w:rPr>
            </w:pPr>
            <w:r>
              <w:rPr>
                <w:sz w:val="4"/>
                <w:szCs w:val="4"/>
              </w:rPr>
            </w:r>
          </w:p>
        </w:tc>
        <w:tc>
          <w:tcPr>
            <w:tcW w:w="2500"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r>
      <w:tr>
        <w:trPr/>
        <w:tc>
          <w:tcPr>
            <w:tcW w:w="78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lineRule="auto" w:line="312" w:before="0" w:after="283"/>
              <w:jc w:val="right"/>
              <w:rPr>
                <w:rFonts w:ascii="Arial;sans-serif" w:hAnsi="Arial;sans-serif"/>
                <w:b/>
                <w:color w:val="000000"/>
                <w:sz w:val="18"/>
              </w:rPr>
            </w:pPr>
            <w:r>
              <w:rPr>
                <w:rFonts w:ascii="Arial;sans-serif" w:hAnsi="Arial;sans-serif"/>
                <w:b/>
                <w:color w:val="000000"/>
                <w:sz w:val="18"/>
              </w:rPr>
              <w:t>Page</w:t>
            </w:r>
          </w:p>
        </w:tc>
      </w:tr>
      <w:tr>
        <w:trPr/>
        <w:tc>
          <w:tcPr>
            <w:tcW w:w="7815" w:type="dxa"/>
            <w:gridSpan w:val="3"/>
            <w:tcBorders/>
            <w:shd w:fill="EDEDEE" w:val="clear"/>
            <w:tcMar>
              <w:top w:w="0" w:type="dxa"/>
              <w:left w:w="0" w:type="dxa"/>
              <w:bottom w:w="0" w:type="dxa"/>
              <w:right w:w="0" w:type="dxa"/>
            </w:tcMar>
            <w:vAlign w:val="center"/>
          </w:tcPr>
          <w:p>
            <w:pPr>
              <w:pStyle w:val="TableContents"/>
              <w:bidi w:val="0"/>
              <w:spacing w:lineRule="auto" w:line="288" w:before="0" w:after="0"/>
              <w:jc w:val="left"/>
              <w:rPr/>
            </w:pPr>
            <w:hyperlink w:anchor="i9fea421bf893404c88d800601ac1c9cb_16">
              <w:r>
                <w:rPr>
                  <w:rStyle w:val="InternetLink"/>
                  <w:rFonts w:ascii="Arial;sans-serif" w:hAnsi="Arial;sans-serif"/>
                  <w:b/>
                  <w:strike w:val="false"/>
                  <w:dstrike w:val="false"/>
                  <w:color w:val="74A333"/>
                  <w:sz w:val="18"/>
                  <w:u w:val="none"/>
                  <w:effect w:val="none"/>
                </w:rPr>
                <w:t>Questions And Answers About These Proxy Materials And Voting</w:t>
              </w:r>
            </w:hyperlink>
          </w:p>
        </w:tc>
        <w:tc>
          <w:tcPr>
            <w:tcW w:w="586" w:type="dxa"/>
            <w:gridSpan w:val="3"/>
            <w:tcBorders/>
            <w:shd w:fill="EDEDEE" w:val="clear"/>
            <w:tcMar>
              <w:top w:w="0" w:type="dxa"/>
              <w:left w:w="0" w:type="dxa"/>
              <w:bottom w:w="0" w:type="dxa"/>
              <w:right w:w="0" w:type="dxa"/>
            </w:tcMar>
            <w:vAlign w:val="center"/>
          </w:tcPr>
          <w:p>
            <w:pPr>
              <w:pStyle w:val="TableContents"/>
              <w:bidi w:val="0"/>
              <w:spacing w:lineRule="auto" w:line="288" w:before="0" w:after="0"/>
              <w:jc w:val="right"/>
              <w:rPr/>
            </w:pPr>
            <w:hyperlink w:anchor="i9fea421bf893404c88d800601ac1c9cb_16">
              <w:r>
                <w:rPr>
                  <w:rStyle w:val="InternetLink"/>
                  <w:rFonts w:ascii="Arial;sans-serif" w:hAnsi="Arial;sans-serif"/>
                  <w:b/>
                  <w:strike w:val="false"/>
                  <w:dstrike w:val="false"/>
                  <w:color w:val="74A333"/>
                  <w:sz w:val="18"/>
                  <w:u w:val="none"/>
                  <w:effect w:val="none"/>
                </w:rPr>
                <w:t>1</w:t>
              </w:r>
            </w:hyperlink>
          </w:p>
        </w:tc>
      </w:tr>
      <w:tr>
        <w:trPr/>
        <w:tc>
          <w:tcPr>
            <w:tcW w:w="781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9fea421bf893404c88d800601ac1c9cb_19">
              <w:r>
                <w:rPr>
                  <w:rStyle w:val="InternetLink"/>
                  <w:rFonts w:ascii="Arial;sans-serif" w:hAnsi="Arial;sans-serif"/>
                  <w:b/>
                  <w:strike w:val="false"/>
                  <w:dstrike w:val="false"/>
                  <w:color w:val="000080"/>
                  <w:sz w:val="18"/>
                  <w:u w:val="single"/>
                  <w:effect w:val="none"/>
                </w:rPr>
                <w:t xml:space="preserve">Proposal No. 1 </w:t>
              </w:r>
            </w:hyperlink>
            <w:hyperlink w:anchor="i9fea421bf893404c88d800601ac1c9cb_19">
              <w:r>
                <w:rPr>
                  <w:rStyle w:val="InternetLink"/>
                  <w:rFonts w:ascii="Arial;sans-serif" w:hAnsi="Arial;sans-serif"/>
                  <w:b/>
                  <w:strike w:val="false"/>
                  <w:dstrike w:val="false"/>
                  <w:color w:val="000080"/>
                  <w:sz w:val="18"/>
                  <w:u w:val="single"/>
                  <w:effect w:val="none"/>
                </w:rPr>
                <w:t>Election Of Directors</w:t>
              </w:r>
            </w:hyperlink>
          </w:p>
        </w:tc>
        <w:tc>
          <w:tcPr>
            <w:tcW w:w="58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rPr/>
            </w:pPr>
            <w:hyperlink w:anchor="i9fea421bf893404c88d800601ac1c9cb_19">
              <w:r>
                <w:rPr>
                  <w:rStyle w:val="InternetLink"/>
                  <w:rFonts w:ascii="Arial;sans-serif" w:hAnsi="Arial;sans-serif"/>
                  <w:b/>
                  <w:strike w:val="false"/>
                  <w:dstrike w:val="false"/>
                  <w:color w:val="74A333"/>
                  <w:sz w:val="18"/>
                  <w:u w:val="none"/>
                  <w:effect w:val="none"/>
                </w:rPr>
                <w:t>7</w:t>
              </w:r>
            </w:hyperlink>
          </w:p>
        </w:tc>
      </w:tr>
      <w:tr>
        <w:trPr/>
        <w:tc>
          <w:tcPr>
            <w:tcW w:w="7815" w:type="dxa"/>
            <w:gridSpan w:val="3"/>
            <w:tcBorders/>
            <w:shd w:fill="EDEDEE" w:val="clear"/>
            <w:tcMar>
              <w:top w:w="0" w:type="dxa"/>
              <w:left w:w="0" w:type="dxa"/>
              <w:bottom w:w="0" w:type="dxa"/>
              <w:right w:w="0" w:type="dxa"/>
            </w:tcMar>
            <w:vAlign w:val="center"/>
          </w:tcPr>
          <w:p>
            <w:pPr>
              <w:pStyle w:val="TableContents"/>
              <w:bidi w:val="0"/>
              <w:spacing w:lineRule="auto" w:line="288" w:before="0" w:after="0"/>
              <w:jc w:val="left"/>
              <w:rPr/>
            </w:pPr>
            <w:hyperlink w:anchor="i9fea421bf893404c88d800601ac1c9cb_28">
              <w:r>
                <w:rPr>
                  <w:rStyle w:val="InternetLink"/>
                  <w:rFonts w:ascii="Arial;sans-serif" w:hAnsi="Arial;sans-serif"/>
                  <w:b/>
                  <w:strike w:val="false"/>
                  <w:dstrike w:val="false"/>
                  <w:color w:val="74A333"/>
                  <w:sz w:val="18"/>
                  <w:u w:val="none"/>
                  <w:effect w:val="none"/>
                </w:rPr>
                <w:t>Information Regarding The Board Of Directors And Corporate Governance</w:t>
              </w:r>
            </w:hyperlink>
          </w:p>
        </w:tc>
        <w:tc>
          <w:tcPr>
            <w:tcW w:w="586" w:type="dxa"/>
            <w:gridSpan w:val="3"/>
            <w:tcBorders/>
            <w:shd w:fill="EDEDEE" w:val="clear"/>
            <w:tcMar>
              <w:top w:w="0" w:type="dxa"/>
              <w:left w:w="0" w:type="dxa"/>
              <w:bottom w:w="0" w:type="dxa"/>
              <w:right w:w="0" w:type="dxa"/>
            </w:tcMar>
            <w:vAlign w:val="center"/>
          </w:tcPr>
          <w:p>
            <w:pPr>
              <w:pStyle w:val="TableContents"/>
              <w:bidi w:val="0"/>
              <w:spacing w:lineRule="auto" w:line="288" w:before="0" w:after="0"/>
              <w:jc w:val="right"/>
              <w:rPr/>
            </w:pPr>
            <w:hyperlink w:anchor="i9fea421bf893404c88d800601ac1c9cb_28">
              <w:r>
                <w:rPr>
                  <w:rStyle w:val="InternetLink"/>
                  <w:rFonts w:ascii="Arial;sans-serif" w:hAnsi="Arial;sans-serif"/>
                  <w:b/>
                  <w:strike w:val="false"/>
                  <w:dstrike w:val="false"/>
                  <w:color w:val="74A333"/>
                  <w:sz w:val="18"/>
                  <w:u w:val="none"/>
                  <w:effect w:val="none"/>
                </w:rPr>
                <w:t>10</w:t>
              </w:r>
            </w:hyperlink>
          </w:p>
        </w:tc>
      </w:tr>
      <w:tr>
        <w:trPr/>
        <w:tc>
          <w:tcPr>
            <w:tcW w:w="7815"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r>
      <w:tr>
        <w:trPr/>
        <w:tc>
          <w:tcPr>
            <w:tcW w:w="7815"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r>
      <w:tr>
        <w:trPr/>
        <w:tc>
          <w:tcPr>
            <w:tcW w:w="7815"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r>
      <w:tr>
        <w:trPr/>
        <w:tc>
          <w:tcPr>
            <w:tcW w:w="7815"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r>
      <w:tr>
        <w:trPr/>
        <w:tc>
          <w:tcPr>
            <w:tcW w:w="7815"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r>
      <w:tr>
        <w:trPr/>
        <w:tc>
          <w:tcPr>
            <w:tcW w:w="7815"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r>
      <w:tr>
        <w:trPr/>
        <w:tc>
          <w:tcPr>
            <w:tcW w:w="7815"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r>
      <w:tr>
        <w:trPr/>
        <w:tc>
          <w:tcPr>
            <w:tcW w:w="7815"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r>
      <w:tr>
        <w:trPr/>
        <w:tc>
          <w:tcPr>
            <w:tcW w:w="7815"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r>
      <w:tr>
        <w:trPr/>
        <w:tc>
          <w:tcPr>
            <w:tcW w:w="7815"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r>
      <w:tr>
        <w:trPr/>
        <w:tc>
          <w:tcPr>
            <w:tcW w:w="7815"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r>
      <w:tr>
        <w:trPr/>
        <w:tc>
          <w:tcPr>
            <w:tcW w:w="7815"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r>
      <w:tr>
        <w:trPr/>
        <w:tc>
          <w:tcPr>
            <w:tcW w:w="7815"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r>
      <w:tr>
        <w:trPr/>
        <w:tc>
          <w:tcPr>
            <w:tcW w:w="7815"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r>
      <w:tr>
        <w:trPr/>
        <w:tc>
          <w:tcPr>
            <w:tcW w:w="7815"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r>
      <w:tr>
        <w:trPr/>
        <w:tc>
          <w:tcPr>
            <w:tcW w:w="7815"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r>
      <w:tr>
        <w:trPr/>
        <w:tc>
          <w:tcPr>
            <w:tcW w:w="7815"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r>
      <w:tr>
        <w:trPr/>
        <w:tc>
          <w:tcPr>
            <w:tcW w:w="7815"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r>
      <w:tr>
        <w:trPr/>
        <w:tc>
          <w:tcPr>
            <w:tcW w:w="7815"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r>
      <w:tr>
        <w:trPr/>
        <w:tc>
          <w:tcPr>
            <w:tcW w:w="781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9fea421bf893404c88d800601ac1c9cb_88">
              <w:r>
                <w:rPr>
                  <w:rStyle w:val="InternetLink"/>
                  <w:rFonts w:ascii="Arial;sans-serif" w:hAnsi="Arial;sans-serif"/>
                  <w:b/>
                  <w:strike w:val="false"/>
                  <w:dstrike w:val="false"/>
                  <w:color w:val="000080"/>
                  <w:sz w:val="18"/>
                  <w:u w:val="single"/>
                  <w:effect w:val="none"/>
                </w:rPr>
                <w:t xml:space="preserve">Proposal No. 2 </w:t>
              </w:r>
            </w:hyperlink>
            <w:hyperlink w:anchor="i9fea421bf893404c88d800601ac1c9cb_88">
              <w:r>
                <w:rPr>
                  <w:rStyle w:val="InternetLink"/>
                  <w:rFonts w:ascii="Arial;sans-serif" w:hAnsi="Arial;sans-serif"/>
                  <w:b/>
                  <w:strike w:val="false"/>
                  <w:dstrike w:val="false"/>
                  <w:color w:val="000080"/>
                  <w:sz w:val="18"/>
                  <w:u w:val="single"/>
                  <w:effect w:val="none"/>
                </w:rPr>
                <w:t>Ratification Of Selection Of Independent Registered Public Accounting Firm</w:t>
              </w:r>
            </w:hyperlink>
          </w:p>
        </w:tc>
        <w:tc>
          <w:tcPr>
            <w:tcW w:w="58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rPr/>
            </w:pPr>
            <w:hyperlink w:anchor="i9fea421bf893404c88d800601ac1c9cb_88">
              <w:r>
                <w:rPr>
                  <w:rStyle w:val="InternetLink"/>
                  <w:rFonts w:ascii="Arial;sans-serif" w:hAnsi="Arial;sans-serif"/>
                  <w:b/>
                  <w:strike w:val="false"/>
                  <w:dstrike w:val="false"/>
                  <w:color w:val="74A333"/>
                  <w:sz w:val="18"/>
                  <w:u w:val="none"/>
                  <w:effect w:val="none"/>
                </w:rPr>
                <w:t>17</w:t>
              </w:r>
            </w:hyperlink>
          </w:p>
        </w:tc>
      </w:tr>
      <w:tr>
        <w:trPr/>
        <w:tc>
          <w:tcPr>
            <w:tcW w:w="7815"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r>
      <w:tr>
        <w:trPr/>
        <w:tc>
          <w:tcPr>
            <w:tcW w:w="7815"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r>
      <w:tr>
        <w:trPr/>
        <w:tc>
          <w:tcPr>
            <w:tcW w:w="7815" w:type="dxa"/>
            <w:gridSpan w:val="3"/>
            <w:tcBorders/>
            <w:shd w:fill="EDEDEE" w:val="clear"/>
            <w:tcMar>
              <w:top w:w="0" w:type="dxa"/>
              <w:left w:w="0" w:type="dxa"/>
              <w:bottom w:w="0" w:type="dxa"/>
              <w:right w:w="0" w:type="dxa"/>
            </w:tcMar>
            <w:vAlign w:val="center"/>
          </w:tcPr>
          <w:p>
            <w:pPr>
              <w:pStyle w:val="TableContents"/>
              <w:bidi w:val="0"/>
              <w:spacing w:lineRule="auto" w:line="288" w:before="0" w:after="0"/>
              <w:jc w:val="left"/>
              <w:rPr/>
            </w:pPr>
            <w:hyperlink w:anchor="i9fea421bf893404c88d800601ac1c9cb_61">
              <w:r>
                <w:rPr>
                  <w:rStyle w:val="InternetLink"/>
                  <w:rFonts w:ascii="Arial;sans-serif" w:hAnsi="Arial;sans-serif"/>
                  <w:b/>
                  <w:strike w:val="false"/>
                  <w:dstrike w:val="false"/>
                  <w:color w:val="74A333"/>
                  <w:sz w:val="18"/>
                  <w:u w:val="none"/>
                  <w:effect w:val="none"/>
                </w:rPr>
                <w:t xml:space="preserve">Report of the Audit Committee of the Board of Directors </w:t>
              </w:r>
            </w:hyperlink>
          </w:p>
        </w:tc>
        <w:tc>
          <w:tcPr>
            <w:tcW w:w="586" w:type="dxa"/>
            <w:gridSpan w:val="3"/>
            <w:tcBorders/>
            <w:shd w:fill="EDEDEE" w:val="clear"/>
            <w:tcMar>
              <w:top w:w="0" w:type="dxa"/>
              <w:left w:w="0" w:type="dxa"/>
              <w:bottom w:w="0" w:type="dxa"/>
              <w:right w:w="0" w:type="dxa"/>
            </w:tcMar>
            <w:vAlign w:val="center"/>
          </w:tcPr>
          <w:p>
            <w:pPr>
              <w:pStyle w:val="TableContents"/>
              <w:bidi w:val="0"/>
              <w:spacing w:lineRule="auto" w:line="288" w:before="0" w:after="0"/>
              <w:jc w:val="right"/>
              <w:rPr/>
            </w:pPr>
            <w:hyperlink w:anchor="i9fea421bf893404c88d800601ac1c9cb_61">
              <w:r>
                <w:rPr>
                  <w:rStyle w:val="InternetLink"/>
                  <w:rFonts w:ascii="Arial;sans-serif" w:hAnsi="Arial;sans-serif"/>
                  <w:b/>
                  <w:strike w:val="false"/>
                  <w:dstrike w:val="false"/>
                  <w:color w:val="74A333"/>
                  <w:sz w:val="18"/>
                  <w:u w:val="none"/>
                  <w:effect w:val="none"/>
                </w:rPr>
                <w:t>19</w:t>
              </w:r>
            </w:hyperlink>
          </w:p>
        </w:tc>
      </w:tr>
      <w:tr>
        <w:trPr/>
        <w:tc>
          <w:tcPr>
            <w:tcW w:w="781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9fea421bf893404c88d800601ac1c9cb_97">
              <w:r>
                <w:rPr>
                  <w:rStyle w:val="InternetLink"/>
                  <w:rFonts w:ascii="Arial;sans-serif" w:hAnsi="Arial;sans-serif"/>
                  <w:b/>
                  <w:strike w:val="false"/>
                  <w:dstrike w:val="false"/>
                  <w:color w:val="000080"/>
                  <w:sz w:val="18"/>
                  <w:u w:val="single"/>
                  <w:effect w:val="none"/>
                </w:rPr>
                <w:t>Proposal No. 3</w:t>
              </w:r>
            </w:hyperlink>
            <w:hyperlink w:anchor="i9fea421bf893404c88d800601ac1c9cb_97">
              <w:r>
                <w:rPr>
                  <w:rStyle w:val="InternetLink"/>
                  <w:rFonts w:ascii="Arial;sans-serif" w:hAnsi="Arial;sans-serif"/>
                  <w:b/>
                  <w:strike w:val="false"/>
                  <w:dstrike w:val="false"/>
                  <w:color w:val="000080"/>
                  <w:sz w:val="18"/>
                  <w:u w:val="single"/>
                  <w:effect w:val="none"/>
                </w:rPr>
                <w:t xml:space="preserve"> Advisory Vote On Executive Compensation </w:t>
              </w:r>
            </w:hyperlink>
          </w:p>
        </w:tc>
        <w:tc>
          <w:tcPr>
            <w:tcW w:w="58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rPr/>
            </w:pPr>
            <w:hyperlink w:anchor="i9fea421bf893404c88d800601ac1c9cb_97">
              <w:r>
                <w:rPr>
                  <w:rStyle w:val="InternetLink"/>
                  <w:rFonts w:ascii="Arial;sans-serif" w:hAnsi="Arial;sans-serif"/>
                  <w:b/>
                  <w:strike w:val="false"/>
                  <w:dstrike w:val="false"/>
                  <w:color w:val="74A333"/>
                  <w:sz w:val="18"/>
                  <w:u w:val="none"/>
                  <w:effect w:val="none"/>
                </w:rPr>
                <w:t>20</w:t>
              </w:r>
            </w:hyperlink>
          </w:p>
        </w:tc>
      </w:tr>
      <w:tr>
        <w:trPr/>
        <w:tc>
          <w:tcPr>
            <w:tcW w:w="7815" w:type="dxa"/>
            <w:gridSpan w:val="3"/>
            <w:tcBorders/>
            <w:shd w:fill="EDEDEE" w:val="clear"/>
            <w:tcMar>
              <w:top w:w="0" w:type="dxa"/>
              <w:left w:w="0" w:type="dxa"/>
              <w:bottom w:w="0" w:type="dxa"/>
              <w:right w:w="0" w:type="dxa"/>
            </w:tcMar>
            <w:vAlign w:val="center"/>
          </w:tcPr>
          <w:p>
            <w:pPr>
              <w:pStyle w:val="TableContents"/>
              <w:bidi w:val="0"/>
              <w:spacing w:lineRule="auto" w:line="288" w:before="0" w:after="0"/>
              <w:jc w:val="left"/>
              <w:rPr/>
            </w:pPr>
            <w:hyperlink w:anchor="i9fea421bf893404c88d800601ac1c9cb_103">
              <w:r>
                <w:rPr>
                  <w:rStyle w:val="InternetLink"/>
                  <w:rFonts w:ascii="Arial;sans-serif" w:hAnsi="Arial;sans-serif"/>
                  <w:b/>
                  <w:strike w:val="false"/>
                  <w:dstrike w:val="false"/>
                  <w:color w:val="74A333"/>
                  <w:sz w:val="18"/>
                  <w:u w:val="none"/>
                  <w:effect w:val="none"/>
                </w:rPr>
                <w:t>Security Ownership Of Certain Beneficial Owners And Management</w:t>
              </w:r>
            </w:hyperlink>
          </w:p>
        </w:tc>
        <w:tc>
          <w:tcPr>
            <w:tcW w:w="586" w:type="dxa"/>
            <w:gridSpan w:val="3"/>
            <w:tcBorders/>
            <w:shd w:fill="EDEDEE" w:val="clear"/>
            <w:tcMar>
              <w:top w:w="0" w:type="dxa"/>
              <w:left w:w="0" w:type="dxa"/>
              <w:bottom w:w="0" w:type="dxa"/>
              <w:right w:w="0" w:type="dxa"/>
            </w:tcMar>
            <w:vAlign w:val="center"/>
          </w:tcPr>
          <w:p>
            <w:pPr>
              <w:pStyle w:val="TableContents"/>
              <w:bidi w:val="0"/>
              <w:spacing w:lineRule="auto" w:line="288" w:before="0" w:after="0"/>
              <w:jc w:val="right"/>
              <w:rPr/>
            </w:pPr>
            <w:hyperlink w:anchor="i9fea421bf893404c88d800601ac1c9cb_103">
              <w:r>
                <w:rPr>
                  <w:rStyle w:val="InternetLink"/>
                  <w:rFonts w:ascii="Arial;sans-serif" w:hAnsi="Arial;sans-serif"/>
                  <w:b/>
                  <w:strike w:val="false"/>
                  <w:dstrike w:val="false"/>
                  <w:color w:val="74A333"/>
                  <w:sz w:val="18"/>
                  <w:u w:val="none"/>
                  <w:effect w:val="none"/>
                </w:rPr>
                <w:t>21</w:t>
              </w:r>
            </w:hyperlink>
          </w:p>
        </w:tc>
      </w:tr>
      <w:tr>
        <w:trPr/>
        <w:tc>
          <w:tcPr>
            <w:tcW w:w="781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9fea421bf893404c88d800601ac1c9cb_106">
              <w:r>
                <w:rPr>
                  <w:rStyle w:val="InternetLink"/>
                  <w:rFonts w:ascii="Arial;sans-serif" w:hAnsi="Arial;sans-serif"/>
                  <w:b/>
                  <w:strike w:val="false"/>
                  <w:dstrike w:val="false"/>
                  <w:color w:val="000080"/>
                  <w:sz w:val="18"/>
                  <w:u w:val="single"/>
                  <w:effect w:val="none"/>
                </w:rPr>
                <w:t>M</w:t>
              </w:r>
            </w:hyperlink>
            <w:hyperlink w:anchor="i9fea421bf893404c88d800601ac1c9cb_106">
              <w:r>
                <w:rPr>
                  <w:rStyle w:val="InternetLink"/>
                  <w:rFonts w:ascii="Arial;sans-serif" w:hAnsi="Arial;sans-serif"/>
                  <w:b/>
                  <w:strike w:val="false"/>
                  <w:dstrike w:val="false"/>
                  <w:color w:val="000080"/>
                  <w:sz w:val="18"/>
                  <w:u w:val="single"/>
                  <w:effect w:val="none"/>
                </w:rPr>
                <w:t>a</w:t>
              </w:r>
            </w:hyperlink>
            <w:r>
              <w:rPr>
                <w:rFonts w:ascii="Arial;sans-serif" w:hAnsi="Arial;sans-serif"/>
                <w:b/>
                <w:color w:val="74A333"/>
                <w:sz w:val="18"/>
              </w:rPr>
              <w:t>nagement</w:t>
            </w:r>
          </w:p>
        </w:tc>
        <w:tc>
          <w:tcPr>
            <w:tcW w:w="58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rPr/>
            </w:pPr>
            <w:hyperlink w:anchor="i9fea421bf893404c88d800601ac1c9cb_106">
              <w:r>
                <w:rPr>
                  <w:rStyle w:val="InternetLink"/>
                  <w:rFonts w:ascii="Arial;sans-serif" w:hAnsi="Arial;sans-serif"/>
                  <w:b/>
                  <w:strike w:val="false"/>
                  <w:dstrike w:val="false"/>
                  <w:color w:val="74A333"/>
                  <w:sz w:val="18"/>
                  <w:u w:val="none"/>
                  <w:effect w:val="none"/>
                </w:rPr>
                <w:t>22</w:t>
              </w:r>
            </w:hyperlink>
          </w:p>
        </w:tc>
      </w:tr>
      <w:tr>
        <w:trPr/>
        <w:tc>
          <w:tcPr>
            <w:tcW w:w="7815" w:type="dxa"/>
            <w:gridSpan w:val="3"/>
            <w:tcBorders/>
            <w:shd w:fill="EDEDEE" w:val="clear"/>
            <w:tcMar>
              <w:top w:w="0" w:type="dxa"/>
              <w:left w:w="0" w:type="dxa"/>
              <w:bottom w:w="0" w:type="dxa"/>
              <w:right w:w="0" w:type="dxa"/>
            </w:tcMar>
            <w:vAlign w:val="center"/>
          </w:tcPr>
          <w:p>
            <w:pPr>
              <w:pStyle w:val="TableContents"/>
              <w:bidi w:val="0"/>
              <w:spacing w:lineRule="auto" w:line="288" w:before="0" w:after="0"/>
              <w:jc w:val="left"/>
              <w:rPr/>
            </w:pPr>
            <w:hyperlink w:anchor="i9fea421bf893404c88d800601ac1c9cb_109">
              <w:r>
                <w:rPr>
                  <w:rStyle w:val="InternetLink"/>
                  <w:rFonts w:ascii="Arial;sans-serif" w:hAnsi="Arial;sans-serif"/>
                  <w:b/>
                  <w:strike w:val="false"/>
                  <w:dstrike w:val="false"/>
                  <w:color w:val="74A333"/>
                  <w:sz w:val="18"/>
                  <w:u w:val="none"/>
                  <w:effect w:val="none"/>
                </w:rPr>
                <w:t>Executive Compensation</w:t>
              </w:r>
            </w:hyperlink>
          </w:p>
        </w:tc>
        <w:tc>
          <w:tcPr>
            <w:tcW w:w="586" w:type="dxa"/>
            <w:gridSpan w:val="3"/>
            <w:tcBorders/>
            <w:shd w:fill="EDEDEE" w:val="clear"/>
            <w:tcMar>
              <w:top w:w="0" w:type="dxa"/>
              <w:left w:w="0" w:type="dxa"/>
              <w:bottom w:w="0" w:type="dxa"/>
              <w:right w:w="0" w:type="dxa"/>
            </w:tcMar>
            <w:vAlign w:val="center"/>
          </w:tcPr>
          <w:p>
            <w:pPr>
              <w:pStyle w:val="TableContents"/>
              <w:bidi w:val="0"/>
              <w:spacing w:lineRule="auto" w:line="288" w:before="0" w:after="0"/>
              <w:jc w:val="right"/>
              <w:rPr/>
            </w:pPr>
            <w:hyperlink w:anchor="i9fea421bf893404c88d800601ac1c9cb_109">
              <w:r>
                <w:rPr>
                  <w:rStyle w:val="InternetLink"/>
                  <w:rFonts w:ascii="Arial;sans-serif" w:hAnsi="Arial;sans-serif"/>
                  <w:b/>
                  <w:strike w:val="false"/>
                  <w:dstrike w:val="false"/>
                  <w:color w:val="74A333"/>
                  <w:sz w:val="18"/>
                  <w:u w:val="none"/>
                  <w:effect w:val="none"/>
                </w:rPr>
                <w:t>23</w:t>
              </w:r>
            </w:hyperlink>
          </w:p>
        </w:tc>
      </w:tr>
      <w:tr>
        <w:trPr/>
        <w:tc>
          <w:tcPr>
            <w:tcW w:w="7815"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r>
      <w:tr>
        <w:trPr/>
        <w:tc>
          <w:tcPr>
            <w:tcW w:w="7815"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r>
      <w:tr>
        <w:trPr/>
        <w:tc>
          <w:tcPr>
            <w:tcW w:w="7815"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r>
      <w:tr>
        <w:trPr/>
        <w:tc>
          <w:tcPr>
            <w:tcW w:w="7815"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r>
      <w:tr>
        <w:trPr/>
        <w:tc>
          <w:tcPr>
            <w:tcW w:w="7815"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r>
      <w:tr>
        <w:trPr/>
        <w:tc>
          <w:tcPr>
            <w:tcW w:w="7815"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r>
      <w:tr>
        <w:trPr/>
        <w:tc>
          <w:tcPr>
            <w:tcW w:w="7815"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r>
      <w:tr>
        <w:trPr/>
        <w:tc>
          <w:tcPr>
            <w:tcW w:w="7815"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r>
      <w:tr>
        <w:trPr/>
        <w:tc>
          <w:tcPr>
            <w:tcW w:w="7815"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r>
      <w:tr>
        <w:trPr/>
        <w:tc>
          <w:tcPr>
            <w:tcW w:w="7815"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r>
      <w:tr>
        <w:trPr/>
        <w:tc>
          <w:tcPr>
            <w:tcW w:w="7815"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r>
      <w:tr>
        <w:trPr/>
        <w:tc>
          <w:tcPr>
            <w:tcW w:w="7815"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r>
      <w:tr>
        <w:trPr/>
        <w:tc>
          <w:tcPr>
            <w:tcW w:w="7815"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r>
      <w:tr>
        <w:trPr/>
        <w:tc>
          <w:tcPr>
            <w:tcW w:w="7815"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r>
      <w:tr>
        <w:trPr/>
        <w:tc>
          <w:tcPr>
            <w:tcW w:w="7815"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r>
      <w:tr>
        <w:trPr/>
        <w:tc>
          <w:tcPr>
            <w:tcW w:w="7815"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r>
      <w:tr>
        <w:trPr/>
        <w:tc>
          <w:tcPr>
            <w:tcW w:w="7815"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r>
      <w:tr>
        <w:trPr/>
        <w:tc>
          <w:tcPr>
            <w:tcW w:w="7815"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r>
      <w:tr>
        <w:trPr/>
        <w:tc>
          <w:tcPr>
            <w:tcW w:w="7815"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r>
      <w:tr>
        <w:trPr/>
        <w:tc>
          <w:tcPr>
            <w:tcW w:w="7815"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r>
      <w:tr>
        <w:trPr/>
        <w:tc>
          <w:tcPr>
            <w:tcW w:w="7815"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r>
      <w:tr>
        <w:trPr/>
        <w:tc>
          <w:tcPr>
            <w:tcW w:w="781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9fea421bf893404c88d800601ac1c9cb_2238">
              <w:r>
                <w:rPr>
                  <w:rStyle w:val="InternetLink"/>
                  <w:rFonts w:ascii="Arial;sans-serif" w:hAnsi="Arial;sans-serif"/>
                  <w:b/>
                  <w:strike w:val="false"/>
                  <w:dstrike w:val="false"/>
                  <w:color w:val="74A333"/>
                  <w:sz w:val="18"/>
                  <w:u w:val="none"/>
                  <w:effect w:val="none"/>
                </w:rPr>
                <w:t>Director Compensation</w:t>
              </w:r>
            </w:hyperlink>
          </w:p>
        </w:tc>
        <w:tc>
          <w:tcPr>
            <w:tcW w:w="58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rPr/>
            </w:pPr>
            <w:hyperlink w:anchor="i9fea421bf893404c88d800601ac1c9cb_2238">
              <w:r>
                <w:rPr>
                  <w:rStyle w:val="InternetLink"/>
                  <w:rFonts w:ascii="Arial;sans-serif" w:hAnsi="Arial;sans-serif"/>
                  <w:b/>
                  <w:strike w:val="false"/>
                  <w:dstrike w:val="false"/>
                  <w:color w:val="74A333"/>
                  <w:sz w:val="18"/>
                  <w:u w:val="none"/>
                  <w:effect w:val="none"/>
                </w:rPr>
                <w:t>47</w:t>
              </w:r>
            </w:hyperlink>
          </w:p>
        </w:tc>
      </w:tr>
      <w:tr>
        <w:trPr/>
        <w:tc>
          <w:tcPr>
            <w:tcW w:w="7815" w:type="dxa"/>
            <w:gridSpan w:val="3"/>
            <w:tcBorders/>
            <w:shd w:fill="EDEDEE" w:val="clear"/>
            <w:tcMar>
              <w:top w:w="0" w:type="dxa"/>
              <w:left w:w="0" w:type="dxa"/>
              <w:bottom w:w="0" w:type="dxa"/>
              <w:right w:w="0" w:type="dxa"/>
            </w:tcMar>
            <w:vAlign w:val="center"/>
          </w:tcPr>
          <w:p>
            <w:pPr>
              <w:pStyle w:val="TableContents"/>
              <w:bidi w:val="0"/>
              <w:spacing w:lineRule="auto" w:line="288" w:before="0" w:after="0"/>
              <w:jc w:val="left"/>
              <w:rPr/>
            </w:pPr>
            <w:hyperlink w:anchor="i9fea421bf893404c88d800601ac1c9cb_163">
              <w:r>
                <w:rPr>
                  <w:rStyle w:val="InternetLink"/>
                  <w:rFonts w:ascii="Arial;sans-serif" w:hAnsi="Arial;sans-serif"/>
                  <w:b/>
                  <w:strike w:val="false"/>
                  <w:dstrike w:val="false"/>
                  <w:color w:val="74A333"/>
                  <w:sz w:val="18"/>
                  <w:u w:val="none"/>
                  <w:effect w:val="none"/>
                </w:rPr>
                <w:t>Certain Relationships And Related Party Transactions</w:t>
              </w:r>
            </w:hyperlink>
          </w:p>
        </w:tc>
        <w:tc>
          <w:tcPr>
            <w:tcW w:w="586" w:type="dxa"/>
            <w:gridSpan w:val="3"/>
            <w:tcBorders/>
            <w:shd w:fill="EDEDEE" w:val="clear"/>
            <w:tcMar>
              <w:top w:w="0" w:type="dxa"/>
              <w:left w:w="0" w:type="dxa"/>
              <w:bottom w:w="0" w:type="dxa"/>
              <w:right w:w="0" w:type="dxa"/>
            </w:tcMar>
            <w:vAlign w:val="center"/>
          </w:tcPr>
          <w:p>
            <w:pPr>
              <w:pStyle w:val="TableContents"/>
              <w:bidi w:val="0"/>
              <w:spacing w:lineRule="auto" w:line="288" w:before="0" w:after="0"/>
              <w:jc w:val="right"/>
              <w:rPr/>
            </w:pPr>
            <w:hyperlink w:anchor="i9fea421bf893404c88d800601ac1c9cb_163">
              <w:r>
                <w:rPr>
                  <w:rStyle w:val="InternetLink"/>
                  <w:rFonts w:ascii="Arial;sans-serif" w:hAnsi="Arial;sans-serif"/>
                  <w:b/>
                  <w:strike w:val="false"/>
                  <w:dstrike w:val="false"/>
                  <w:color w:val="74A333"/>
                  <w:sz w:val="18"/>
                  <w:u w:val="none"/>
                  <w:effect w:val="none"/>
                </w:rPr>
                <w:t>49</w:t>
              </w:r>
            </w:hyperlink>
          </w:p>
        </w:tc>
      </w:tr>
      <w:tr>
        <w:trPr/>
        <w:tc>
          <w:tcPr>
            <w:tcW w:w="7815"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r>
      <w:tr>
        <w:trPr/>
        <w:tc>
          <w:tcPr>
            <w:tcW w:w="7815"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r>
      <w:tr>
        <w:trPr/>
        <w:tc>
          <w:tcPr>
            <w:tcW w:w="78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74A333"/>
                <w:sz w:val="18"/>
              </w:rPr>
            </w:pPr>
            <w:r>
              <w:rPr>
                <w:rFonts w:ascii="Arial;sans-serif" w:hAnsi="Arial;sans-serif"/>
                <w:b/>
                <w:color w:val="74A333"/>
                <w:sz w:val="18"/>
              </w:rPr>
              <w:t>Householding Of Proxy Materials</w:t>
            </w:r>
          </w:p>
        </w:tc>
        <w:tc>
          <w:tcPr>
            <w:tcW w:w="58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rPr/>
            </w:pPr>
            <w:hyperlink w:anchor="i9fea421bf893404c88d800601ac1c9cb_175">
              <w:r>
                <w:rPr>
                  <w:rStyle w:val="InternetLink"/>
                  <w:rFonts w:ascii="Arial;sans-serif" w:hAnsi="Arial;sans-serif"/>
                  <w:b/>
                  <w:strike w:val="false"/>
                  <w:dstrike w:val="false"/>
                  <w:color w:val="74A333"/>
                  <w:sz w:val="18"/>
                  <w:u w:val="none"/>
                  <w:effect w:val="none"/>
                </w:rPr>
                <w:t>50</w:t>
              </w:r>
            </w:hyperlink>
          </w:p>
        </w:tc>
      </w:tr>
      <w:tr>
        <w:trPr/>
        <w:tc>
          <w:tcPr>
            <w:tcW w:w="7815" w:type="dxa"/>
            <w:gridSpan w:val="3"/>
            <w:tcBorders>
              <w:bottom w:val="single" w:sz="12" w:space="0" w:color="74A333"/>
            </w:tcBorders>
            <w:shd w:fill="EDEDEE" w:val="clear"/>
            <w:tcMar>
              <w:top w:w="0" w:type="dxa"/>
              <w:left w:w="0" w:type="dxa"/>
              <w:bottom w:w="30" w:type="dxa"/>
              <w:right w:w="0" w:type="dxa"/>
            </w:tcMar>
            <w:vAlign w:val="center"/>
          </w:tcPr>
          <w:p>
            <w:pPr>
              <w:pStyle w:val="TableContents"/>
              <w:bidi w:val="0"/>
              <w:spacing w:lineRule="auto" w:line="288" w:before="0" w:after="283"/>
              <w:jc w:val="left"/>
              <w:rPr>
                <w:rFonts w:ascii="Arial;sans-serif" w:hAnsi="Arial;sans-serif"/>
                <w:b/>
                <w:color w:val="74A333"/>
                <w:sz w:val="18"/>
              </w:rPr>
            </w:pPr>
            <w:r>
              <w:rPr>
                <w:rFonts w:ascii="Arial;sans-serif" w:hAnsi="Arial;sans-serif"/>
                <w:b/>
                <w:color w:val="74A333"/>
                <w:sz w:val="18"/>
              </w:rPr>
              <w:t>Other Matters</w:t>
            </w:r>
          </w:p>
        </w:tc>
        <w:tc>
          <w:tcPr>
            <w:tcW w:w="586" w:type="dxa"/>
            <w:gridSpan w:val="3"/>
            <w:tcBorders>
              <w:bottom w:val="single" w:sz="12" w:space="0" w:color="74A333"/>
            </w:tcBorders>
            <w:shd w:fill="EDEDEE" w:val="clear"/>
            <w:tcMar>
              <w:top w:w="0" w:type="dxa"/>
              <w:left w:w="0" w:type="dxa"/>
              <w:bottom w:w="30" w:type="dxa"/>
              <w:right w:w="0" w:type="dxa"/>
            </w:tcMar>
            <w:vAlign w:val="center"/>
          </w:tcPr>
          <w:p>
            <w:pPr>
              <w:pStyle w:val="TableContents"/>
              <w:bidi w:val="0"/>
              <w:spacing w:lineRule="auto" w:line="288" w:before="0" w:after="0"/>
              <w:jc w:val="right"/>
              <w:rPr/>
            </w:pPr>
            <w:hyperlink w:anchor="i9fea421bf893404c88d800601ac1c9cb_178">
              <w:r>
                <w:rPr>
                  <w:rStyle w:val="InternetLink"/>
                  <w:rFonts w:ascii="Arial;sans-serif" w:hAnsi="Arial;sans-serif"/>
                  <w:b/>
                  <w:strike w:val="false"/>
                  <w:dstrike w:val="false"/>
                  <w:color w:val="74A333"/>
                  <w:sz w:val="18"/>
                  <w:u w:val="none"/>
                  <w:effect w:val="none"/>
                </w:rPr>
                <w:t>50</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75260"/>
                <wp:effectExtent l="0" t="0" r="0" b="0"/>
                <wp:wrapNone/>
                <wp:docPr id="8" name="Frame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312" w:before="0" w:after="160"/>
                              <w:jc w:val="left"/>
                              <w:rPr>
                                <w:color w:val="FF0090"/>
                              </w:rPr>
                            </w:pPr>
                            <w:r>
                              <w:rPr>
                                <w:color w:val="FF0090"/>
                              </w:rPr>
                              <w:t>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12" w:before="0" w:after="160"/>
                        <w:jc w:val="left"/>
                        <w:rPr>
                          <w:color w:val="FF0090"/>
                        </w:rPr>
                      </w:pPr>
                      <w:r>
                        <w:rPr>
                          <w:color w:val="FF0090"/>
                        </w:rPr>
                        <w:t>    </w:t>
                      </w:r>
                    </w:p>
                  </w:txbxContent>
                </v:textbox>
                <w10:wrap type="none"/>
              </v:rect>
            </w:pict>
          </mc:Fallback>
        </mc:AlternateContent>
      </w:r>
    </w:p>
    <w:p>
      <w:pPr>
        <w:pStyle w:val="TextBody"/>
        <w:bidi w:val="0"/>
        <w:spacing w:lineRule="auto" w:line="288" w:before="0" w:after="0"/>
        <w:jc w:val="right"/>
        <w:rPr>
          <w:rFonts w:ascii="Arial;sans-serif" w:hAnsi="Arial;sans-serif"/>
          <w:b w:val="false"/>
          <w:color w:val="000000"/>
          <w:sz w:val="16"/>
        </w:rPr>
      </w:pPr>
      <w:r>
        <w:rPr>
          <w:rFonts w:ascii="Arial;sans-serif" w:hAnsi="Arial;sans-serif"/>
          <w:b w:val="false"/>
          <w:color w:val="000000"/>
          <w:sz w:val="16"/>
        </w:rPr>
        <w:t>Table of Contents</w:t>
      </w:r>
    </w:p>
    <w:p>
      <w:pPr>
        <w:pStyle w:val="TextBody"/>
        <w:bidi w:val="0"/>
        <w:spacing w:lineRule="auto" w:line="288" w:before="0" w:after="180"/>
        <w:jc w:val="left"/>
        <w:rPr>
          <w:rFonts w:ascii="Arial;sans-serif" w:hAnsi="Arial;sans-serif"/>
          <w:b/>
          <w:color w:val="000000"/>
          <w:sz w:val="56"/>
        </w:rPr>
      </w:pPr>
      <w:r>
        <w:rPr>
          <w:rFonts w:ascii="Arial;sans-serif" w:hAnsi="Arial;sans-serif"/>
          <w:b/>
          <w:color w:val="000000"/>
          <w:sz w:val="56"/>
        </w:rPr>
        <w:t>Questions and Answers about these Proxy Materials and Voting</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180"/>
        <w:jc w:val="left"/>
        <w:rPr>
          <w:rFonts w:ascii="Arial;sans-serif" w:hAnsi="Arial;sans-serif"/>
          <w:b w:val="false"/>
          <w:color w:val="000000"/>
          <w:sz w:val="24"/>
        </w:rPr>
      </w:pPr>
      <w:r>
        <w:rPr>
          <w:rFonts w:ascii="Arial;sans-serif" w:hAnsi="Arial;sans-serif"/>
          <w:b w:val="false"/>
          <w:color w:val="000000"/>
          <w:sz w:val="24"/>
        </w:rPr>
        <w:t>WHY DID I RECEIVE A NOTICE REGARDING THE AVAILABILITY OF PROXY MATERIALS ON THE INTERNET?</w:t>
      </w:r>
    </w:p>
    <w:p>
      <w:pPr>
        <w:pStyle w:val="TextBody"/>
        <w:bidi w:val="0"/>
        <w:spacing w:lineRule="auto" w:line="312" w:before="0" w:after="180"/>
        <w:jc w:val="left"/>
        <w:rPr>
          <w:rFonts w:ascii="Arial;sans-serif" w:hAnsi="Arial;sans-serif"/>
          <w:b w:val="false"/>
          <w:color w:val="000000"/>
          <w:sz w:val="18"/>
        </w:rPr>
      </w:pPr>
      <w:r>
        <w:rPr>
          <w:rFonts w:ascii="Arial;sans-serif" w:hAnsi="Arial;sans-serif"/>
          <w:b w:val="false"/>
          <w:color w:val="000000"/>
          <w:sz w:val="18"/>
        </w:rPr>
        <w:t>Pursuant to rules adopted by the Securities and Exchange Commission (the “SEC”), we have elected to provide access to our proxy materials over the internet. Accordingly, we have sent you a Notice of Internet Availability of Proxy Materials (the “Notice”) because our board of directors (the or our “Board” or “Board of Directors”) is soliciting your proxy to vote at the 2025 Annual Meeting of Stockholders, including at any adjournments or postponements of the meeting. All stockholders will have the ability to access the proxy materials on the website referred to in the Notice or request to receive a printed set of the proxy materials. Instructions on how to access the proxy materials over the internet or to request a printed copy may be found in the Notice.</w:t>
      </w:r>
    </w:p>
    <w:p>
      <w:pPr>
        <w:pStyle w:val="TextBody"/>
        <w:bidi w:val="0"/>
        <w:spacing w:lineRule="auto" w:line="312" w:before="0" w:after="180"/>
        <w:jc w:val="left"/>
        <w:rPr>
          <w:rFonts w:ascii="Arial;sans-serif" w:hAnsi="Arial;sans-serif"/>
          <w:b w:val="false"/>
          <w:color w:val="000000"/>
          <w:sz w:val="18"/>
        </w:rPr>
      </w:pPr>
      <w:r>
        <w:rPr>
          <w:rFonts w:ascii="Arial;sans-serif" w:hAnsi="Arial;sans-serif"/>
          <w:b w:val="false"/>
          <w:color w:val="000000"/>
          <w:sz w:val="18"/>
        </w:rPr>
        <w:t>We intend to first mail this Notice and make this proxy statement and the form of proxy available to stockholders on or about April 25, 2025.</w:t>
      </w:r>
    </w:p>
    <w:p>
      <w:pPr>
        <w:pStyle w:val="TextBody"/>
        <w:bidi w:val="0"/>
        <w:spacing w:lineRule="auto" w:line="288" w:before="240" w:after="180"/>
        <w:jc w:val="left"/>
        <w:rPr>
          <w:rFonts w:ascii="Arial;sans-serif" w:hAnsi="Arial;sans-serif"/>
          <w:b w:val="false"/>
          <w:color w:val="000000"/>
          <w:sz w:val="24"/>
        </w:rPr>
      </w:pPr>
      <w:r>
        <w:rPr>
          <w:rFonts w:ascii="Arial;sans-serif" w:hAnsi="Arial;sans-serif"/>
          <w:b w:val="false"/>
          <w:color w:val="000000"/>
          <w:sz w:val="24"/>
        </w:rPr>
        <w:t>HOW DO I ATTEND THE ANNUAL MEETING?</w:t>
      </w:r>
    </w:p>
    <w:p>
      <w:pPr>
        <w:pStyle w:val="TextBody"/>
        <w:bidi w:val="0"/>
        <w:spacing w:lineRule="auto" w:line="312" w:before="0" w:after="180"/>
        <w:jc w:val="left"/>
        <w:rPr>
          <w:rFonts w:ascii="Arial;sans-serif" w:hAnsi="Arial;sans-serif"/>
          <w:b w:val="false"/>
          <w:color w:val="000000"/>
          <w:sz w:val="18"/>
        </w:rPr>
      </w:pPr>
      <w:r>
        <w:rPr>
          <w:rFonts w:ascii="Arial;sans-serif" w:hAnsi="Arial;sans-serif"/>
          <w:b w:val="false"/>
          <w:color w:val="000000"/>
          <w:sz w:val="18"/>
        </w:rPr>
        <w:t>The Annual Meeting will be held on Thursday, June 5, 2025 at 8:00 a.m. Pacific Time by live webcast. There will not be a physical meeting location and you will not be able to attend the meeting in-person physically. We invite you to attend the Annual Meeting by live webcast. Online check-in will begin approximately 15 minutes prior to the start of the Annual Meeting. We encourage our stockholders to access the meeting in advance of the designated start time to have ample time for check-in procedures. To attend the Annual Meeting virtually via the internet, please visit www.virtualshareholdermeeting.com/SIBN2025. To attend by live webcast you will need the 16-digit control number provided on the proxy or information card you receive in order to gain access to the Annual Meeting. Therefore, it is important to retain a copy of your proxy or information card you receive to enable you to gain access to the Annual Meeting. However, as noted above, you do not need to attend the Annual Meeting to vote your shares. Instead, you may simply complete, sign and return a proxy card, or follow the instructions below to submit your proxy over the telephone or on the internet.</w:t>
      </w:r>
    </w:p>
    <w:p>
      <w:pPr>
        <w:pStyle w:val="TextBody"/>
        <w:bidi w:val="0"/>
        <w:spacing w:lineRule="auto" w:line="312" w:before="0" w:after="180"/>
        <w:jc w:val="left"/>
        <w:rPr>
          <w:rFonts w:ascii="Arial;sans-serif" w:hAnsi="Arial;sans-serif"/>
          <w:b w:val="false"/>
          <w:color w:val="000000"/>
          <w:sz w:val="18"/>
        </w:rPr>
      </w:pPr>
      <w:r>
        <w:rPr>
          <w:rFonts w:ascii="Arial;sans-serif" w:hAnsi="Arial;sans-serif"/>
          <w:b w:val="false"/>
          <w:color w:val="000000"/>
          <w:sz w:val="18"/>
        </w:rPr>
        <w:t>If you do not have your 16-digit control number, you will be able to access and listen to the Annual Meeting, but you will not be able to vote your shares or submit questions during the Annual Meeting. See caption below titled “Attending the Annual Meeting as a Guest.”</w:t>
      </w:r>
    </w:p>
    <w:p>
      <w:pPr>
        <w:pStyle w:val="TextBody"/>
        <w:bidi w:val="0"/>
        <w:spacing w:lineRule="auto" w:line="288" w:before="240" w:after="180"/>
        <w:jc w:val="left"/>
        <w:rPr>
          <w:rFonts w:ascii="Arial;sans-serif" w:hAnsi="Arial;sans-serif"/>
          <w:b w:val="false"/>
          <w:color w:val="000000"/>
          <w:sz w:val="24"/>
        </w:rPr>
      </w:pPr>
      <w:r>
        <w:rPr>
          <w:rFonts w:ascii="Arial;sans-serif" w:hAnsi="Arial;sans-serif"/>
          <w:b w:val="false"/>
          <w:color w:val="000000"/>
          <w:sz w:val="24"/>
        </w:rPr>
        <w:t>ATTENDING THE ANNUAL MEETING AS A GUEST</w:t>
      </w:r>
    </w:p>
    <w:p>
      <w:pPr>
        <w:pStyle w:val="TextBody"/>
        <w:bidi w:val="0"/>
        <w:spacing w:lineRule="auto" w:line="312" w:before="0" w:after="180"/>
        <w:jc w:val="left"/>
        <w:rPr>
          <w:rFonts w:ascii="Arial;sans-serif" w:hAnsi="Arial;sans-serif"/>
          <w:b w:val="false"/>
          <w:color w:val="000000"/>
          <w:sz w:val="18"/>
        </w:rPr>
      </w:pPr>
      <w:r>
        <w:rPr>
          <w:rFonts w:ascii="Arial;sans-serif" w:hAnsi="Arial;sans-serif"/>
          <w:b w:val="false"/>
          <w:color w:val="000000"/>
          <w:sz w:val="18"/>
        </w:rPr>
        <w:t>Guests may enter the Annual Meeting in “listen-only” mode by entering the Annual Meeting at www.virtualshareholdermeeting.com/SIBN2025 and entering the information requested in the “Guest Login” section. Guests will not have the ability to vote at the Annual Meeting.</w:t>
      </w:r>
    </w:p>
    <w:p>
      <w:pPr>
        <w:pStyle w:val="TextBody"/>
        <w:bidi w:val="0"/>
        <w:spacing w:lineRule="auto" w:line="288" w:before="240" w:after="180"/>
        <w:jc w:val="left"/>
        <w:rPr>
          <w:rFonts w:ascii="Arial;sans-serif" w:hAnsi="Arial;sans-serif"/>
          <w:b w:val="false"/>
          <w:color w:val="000000"/>
          <w:sz w:val="24"/>
        </w:rPr>
      </w:pPr>
      <w:r>
        <w:rPr>
          <w:rFonts w:ascii="Arial;sans-serif" w:hAnsi="Arial;sans-serif"/>
          <w:b w:val="false"/>
          <w:color w:val="000000"/>
          <w:sz w:val="24"/>
        </w:rPr>
        <w:t>WHY IS SI-BONE HAVING A VIRTUAL ANNUAL MEETING?</w:t>
      </w:r>
    </w:p>
    <w:p>
      <w:pPr>
        <w:pStyle w:val="TextBody"/>
        <w:bidi w:val="0"/>
        <w:spacing w:lineRule="auto" w:line="312" w:before="0" w:after="180"/>
        <w:jc w:val="left"/>
        <w:rPr>
          <w:rFonts w:ascii="Arial;sans-serif" w:hAnsi="Arial;sans-serif"/>
          <w:b w:val="false"/>
          <w:color w:val="000000"/>
          <w:sz w:val="18"/>
        </w:rPr>
      </w:pPr>
      <w:r>
        <w:rPr>
          <w:rFonts w:ascii="Arial;sans-serif" w:hAnsi="Arial;sans-serif"/>
          <w:b w:val="false"/>
          <w:color w:val="000000"/>
          <w:sz w:val="18"/>
        </w:rPr>
        <w:t>To facilitate stockholder participation in the Annual Meeting, this year’s Annual Meeting of our stockholders will be held virtually via the internet. Stockholders attending virtually via the internet will be able to listen and vote via the internet at www.virtualshareholdermeeting.com/SIBN2025 by using the 16-digit control number included on your proxy card or information card and the instructions that accompanied your proxy materials.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739140"/>
                <wp:effectExtent l="0" t="0" r="0" b="0"/>
                <wp:wrapNone/>
                <wp:docPr id="9" name="Frame6"/>
                <a:graphic xmlns:a="http://schemas.openxmlformats.org/drawingml/2006/main">
                  <a:graphicData uri="http://schemas.microsoft.com/office/word/2010/wordprocessingShape">
                    <wps:wsp>
                      <wps:cNvSpPr txBox="1"/>
                      <wps:spPr>
                        <a:xfrm>
                          <a:off x="0" y="0"/>
                          <a:ext cx="6480175" cy="739140"/>
                        </a:xfrm>
                        <a:prstGeom prst="rect"/>
                        <a:solidFill>
                          <a:srgbClr val="FFFFFF"/>
                        </a:solidFill>
                      </wps:spPr>
                      <wps:txbx>
                        <w:txbxContent>
                          <w:tbl>
                            <w:tblPr>
                              <w:tblW w:w="3266" w:type="dxa"/>
                              <w:jc w:val="center"/>
                              <w:tblInd w:w="0" w:type="dxa"/>
                              <w:tblLayout w:type="fixed"/>
                              <w:tblCellMar>
                                <w:top w:w="28" w:type="dxa"/>
                                <w:left w:w="28" w:type="dxa"/>
                                <w:bottom w:w="28" w:type="dxa"/>
                                <w:right w:w="28" w:type="dxa"/>
                              </w:tblCellMar>
                            </w:tblPr>
                            <w:tblGrid>
                              <w:gridCol w:w="424"/>
                              <w:gridCol w:w="372"/>
                              <w:gridCol w:w="374"/>
                              <w:gridCol w:w="109"/>
                              <w:gridCol w:w="109"/>
                              <w:gridCol w:w="109"/>
                              <w:gridCol w:w="517"/>
                              <w:gridCol w:w="517"/>
                              <w:gridCol w:w="735"/>
                            </w:tblGrid>
                            <w:tr>
                              <w:trPr/>
                              <w:tc>
                                <w:tcPr>
                                  <w:tcW w:w="424"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r>
                            <w:tr>
                              <w:trPr/>
                              <w:tc>
                                <w:tcPr>
                                  <w:tcW w:w="1170"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6"/>
                                    </w:rPr>
                                  </w:pPr>
                                  <w:r>
                                    <w:rPr>
                                      <w:rFonts w:ascii="Arial;sans-serif" w:hAnsi="Arial;sans-serif"/>
                                      <w:b/>
                                      <w:color w:val="000000"/>
                                      <w:sz w:val="16"/>
                                    </w:rPr>
                                    <w:t>SI-BONE, Inc.</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000000"/>
                                      <w:sz w:val="16"/>
                                    </w:rPr>
                                  </w:pPr>
                                  <w:r>
                                    <w:rPr>
                                      <w:rFonts w:ascii="Arial;sans-serif" w:hAnsi="Arial;sans-serif"/>
                                      <w:b/>
                                      <w:color w:val="000000"/>
                                      <w:sz w:val="16"/>
                                    </w:rPr>
                                    <w:t>1</w:t>
                                  </w:r>
                                </w:p>
                              </w:tc>
                              <w:tc>
                                <w:tcPr>
                                  <w:tcW w:w="176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2025 Proxy Statement</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2pt;mso-wrap-distance-left:0pt;mso-wrap-distance-right:0pt;mso-wrap-distance-top:0pt;mso-wrap-distance-bottom:0pt;margin-top:0pt;mso-position-vertical:top;mso-position-vertical-relative:text;margin-left:0pt;mso-position-horizontal:left;mso-position-horizontal-relative:text">
                <v:textbox>
                  <w:txbxContent>
                    <w:tbl>
                      <w:tblPr>
                        <w:tblW w:w="3266" w:type="dxa"/>
                        <w:jc w:val="center"/>
                        <w:tblInd w:w="0" w:type="dxa"/>
                        <w:tblLayout w:type="fixed"/>
                        <w:tblCellMar>
                          <w:top w:w="28" w:type="dxa"/>
                          <w:left w:w="28" w:type="dxa"/>
                          <w:bottom w:w="28" w:type="dxa"/>
                          <w:right w:w="28" w:type="dxa"/>
                        </w:tblCellMar>
                      </w:tblPr>
                      <w:tblGrid>
                        <w:gridCol w:w="424"/>
                        <w:gridCol w:w="372"/>
                        <w:gridCol w:w="374"/>
                        <w:gridCol w:w="109"/>
                        <w:gridCol w:w="109"/>
                        <w:gridCol w:w="109"/>
                        <w:gridCol w:w="517"/>
                        <w:gridCol w:w="517"/>
                        <w:gridCol w:w="735"/>
                      </w:tblGrid>
                      <w:tr>
                        <w:trPr/>
                        <w:tc>
                          <w:tcPr>
                            <w:tcW w:w="424"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r>
                      <w:tr>
                        <w:trPr/>
                        <w:tc>
                          <w:tcPr>
                            <w:tcW w:w="1170"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6"/>
                              </w:rPr>
                            </w:pPr>
                            <w:r>
                              <w:rPr>
                                <w:rFonts w:ascii="Arial;sans-serif" w:hAnsi="Arial;sans-serif"/>
                                <w:b/>
                                <w:color w:val="000000"/>
                                <w:sz w:val="16"/>
                              </w:rPr>
                              <w:t>SI-BONE, Inc.</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000000"/>
                                <w:sz w:val="16"/>
                              </w:rPr>
                            </w:pPr>
                            <w:r>
                              <w:rPr>
                                <w:rFonts w:ascii="Arial;sans-serif" w:hAnsi="Arial;sans-serif"/>
                                <w:b/>
                                <w:color w:val="000000"/>
                                <w:sz w:val="16"/>
                              </w:rPr>
                              <w:t>1</w:t>
                            </w:r>
                          </w:p>
                        </w:tc>
                        <w:tc>
                          <w:tcPr>
                            <w:tcW w:w="176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2025 Proxy Statement</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right"/>
        <w:rPr>
          <w:rFonts w:ascii="Arial;sans-serif" w:hAnsi="Arial;sans-serif"/>
          <w:b w:val="false"/>
          <w:color w:val="000000"/>
          <w:sz w:val="16"/>
        </w:rPr>
      </w:pPr>
      <w:r>
        <w:rPr>
          <w:rFonts w:ascii="Arial;sans-serif" w:hAnsi="Arial;sans-serif"/>
          <w:b w:val="false"/>
          <w:color w:val="000000"/>
          <w:sz w:val="16"/>
        </w:rPr>
        <w:t>Table of Contents</w:t>
      </w:r>
    </w:p>
    <w:p>
      <w:pPr>
        <w:pStyle w:val="TextBody"/>
        <w:bidi w:val="0"/>
        <w:spacing w:lineRule="auto" w:line="288" w:before="240" w:after="180"/>
        <w:jc w:val="left"/>
        <w:rPr>
          <w:rFonts w:ascii="Arial;sans-serif" w:hAnsi="Arial;sans-serif"/>
          <w:b w:val="false"/>
          <w:color w:val="000000"/>
          <w:sz w:val="24"/>
        </w:rPr>
      </w:pPr>
      <w:r>
        <w:rPr>
          <w:rFonts w:ascii="Arial;sans-serif" w:hAnsi="Arial;sans-serif"/>
          <w:b w:val="false"/>
          <w:color w:val="000000"/>
          <w:sz w:val="24"/>
        </w:rPr>
        <w:t>WHO CAN VOTE AT THE ANNUAL MEETING?</w:t>
      </w:r>
    </w:p>
    <w:p>
      <w:pPr>
        <w:pStyle w:val="TextBody"/>
        <w:bidi w:val="0"/>
        <w:spacing w:lineRule="auto" w:line="312" w:before="0" w:after="180"/>
        <w:jc w:val="left"/>
        <w:rPr>
          <w:rFonts w:ascii="Arial;sans-serif" w:hAnsi="Arial;sans-serif"/>
          <w:b w:val="false"/>
          <w:color w:val="000000"/>
          <w:sz w:val="18"/>
        </w:rPr>
      </w:pPr>
      <w:r>
        <w:rPr>
          <w:rFonts w:ascii="Arial;sans-serif" w:hAnsi="Arial;sans-serif"/>
          <w:b w:val="false"/>
          <w:color w:val="000000"/>
          <w:sz w:val="18"/>
        </w:rPr>
        <w:t>Only stockholders of record at the close of business on April 7, 2025 will be entitled to vote at the Annual Meeting. On this record date, there were 42,529,059 shares of common stock outstanding and entitled to vote.</w:t>
      </w:r>
    </w:p>
    <w:p>
      <w:pPr>
        <w:pStyle w:val="TextBody"/>
        <w:bidi w:val="0"/>
        <w:spacing w:lineRule="auto" w:line="312" w:before="0" w:after="120"/>
        <w:jc w:val="left"/>
        <w:rPr>
          <w:rFonts w:ascii="Arial;sans-serif" w:hAnsi="Arial;sans-serif"/>
          <w:b/>
          <w:color w:val="74A333"/>
          <w:sz w:val="18"/>
        </w:rPr>
      </w:pPr>
      <w:r>
        <w:rPr>
          <w:rFonts w:ascii="Arial;sans-serif" w:hAnsi="Arial;sans-serif"/>
          <w:b/>
          <w:color w:val="74A333"/>
          <w:sz w:val="18"/>
        </w:rPr>
        <w:t>Stockholder of Record: Shares Registered in Your Name</w:t>
      </w:r>
    </w:p>
    <w:p>
      <w:pPr>
        <w:pStyle w:val="TextBody"/>
        <w:bidi w:val="0"/>
        <w:spacing w:lineRule="auto" w:line="312" w:before="0" w:after="180"/>
        <w:jc w:val="left"/>
        <w:rPr>
          <w:rFonts w:ascii="Arial;sans-serif" w:hAnsi="Arial;sans-serif"/>
          <w:b w:val="false"/>
          <w:color w:val="000000"/>
          <w:sz w:val="18"/>
        </w:rPr>
      </w:pPr>
      <w:r>
        <w:rPr>
          <w:rFonts w:ascii="Arial;sans-serif" w:hAnsi="Arial;sans-serif"/>
          <w:b w:val="false"/>
          <w:color w:val="000000"/>
          <w:sz w:val="18"/>
        </w:rPr>
        <w:t>If on April 7, 2025, your shares are registered directly in your name with our transfer agent, Equiniti Trust Company, LLC, then you are a stockholder of record. As a stockholder of record, you may vote via webcast at the meeting or vote by proxy. Whether or not you plan to attend the meeting via webcast, we urge you to vote by proxy by mail, over the telephone or on the internet as instructed below to ensure your vote is counted.</w:t>
      </w:r>
    </w:p>
    <w:p>
      <w:pPr>
        <w:pStyle w:val="TextBody"/>
        <w:bidi w:val="0"/>
        <w:spacing w:lineRule="auto" w:line="312" w:before="0" w:after="120"/>
        <w:jc w:val="left"/>
        <w:rPr>
          <w:rFonts w:ascii="Arial;sans-serif" w:hAnsi="Arial;sans-serif"/>
          <w:b/>
          <w:color w:val="74A333"/>
          <w:sz w:val="18"/>
        </w:rPr>
      </w:pPr>
      <w:r>
        <w:rPr>
          <w:rFonts w:ascii="Arial;sans-serif" w:hAnsi="Arial;sans-serif"/>
          <w:b/>
          <w:color w:val="74A333"/>
          <w:sz w:val="18"/>
        </w:rPr>
        <w:t>Beneficial Owner: Shares Registered in the Name of a Broker or Bank</w:t>
      </w:r>
    </w:p>
    <w:p>
      <w:pPr>
        <w:pStyle w:val="TextBody"/>
        <w:bidi w:val="0"/>
        <w:spacing w:lineRule="auto" w:line="312" w:before="0" w:after="180"/>
        <w:jc w:val="left"/>
        <w:rPr>
          <w:rFonts w:ascii="Arial;sans-serif" w:hAnsi="Arial;sans-serif"/>
          <w:b w:val="false"/>
          <w:color w:val="000000"/>
          <w:sz w:val="18"/>
        </w:rPr>
      </w:pPr>
      <w:r>
        <w:rPr>
          <w:rFonts w:ascii="Arial;sans-serif" w:hAnsi="Arial;sans-serif"/>
          <w:b w:val="false"/>
          <w:color w:val="000000"/>
          <w:sz w:val="18"/>
        </w:rPr>
        <w:t>If on April 7, 2025, your shares are held, not in your name, but rather in an account at a brokerage firm, bank or other similar organization, then you are the beneficial owner of shares held in “street name” and the Notice is being forwarded to you by that organization. The organization holding your account is considered to be the stockholder of record for purposes of voting at the Annual Meeting. As a beneficial owner, you have the right to direct your broker, bank or other agent regarding how to vote the shares in your account. You are also invited to attend the Annual Meeting. Many stockholders of record will provide you with a 16-digit control number via email or in the Notice or voting instruction form in order to attend and vote your shares at the virtual Annual Meeting. If you did not receive a 16-digit control number via email or on the Notice or voting instruction form, you will be provided with other instructions from your broker, bank or other stockholder of record that must be followed, including any requirement to obtain a valid legal proxy, in order for your broker, bank or other stockholder of record to vote your shares per your instructions or to attend and vote your shares at the Annual Meeting. Many brokers, banks or other stockholders of record allow a stockholder to obtain a valid legal proxy either online or by mail, and we recommend that you contact your broker, bank or other stockholder of record to do so.</w:t>
      </w:r>
    </w:p>
    <w:p>
      <w:pPr>
        <w:pStyle w:val="TextBody"/>
        <w:bidi w:val="0"/>
        <w:spacing w:lineRule="auto" w:line="288" w:before="240" w:after="180"/>
        <w:jc w:val="left"/>
        <w:rPr>
          <w:rFonts w:ascii="Arial;sans-serif" w:hAnsi="Arial;sans-serif"/>
          <w:b w:val="false"/>
          <w:color w:val="000000"/>
          <w:sz w:val="24"/>
        </w:rPr>
      </w:pPr>
      <w:r>
        <w:rPr>
          <w:rFonts w:ascii="Arial;sans-serif" w:hAnsi="Arial;sans-serif"/>
          <w:b w:val="false"/>
          <w:color w:val="000000"/>
          <w:sz w:val="24"/>
        </w:rPr>
        <w:t>WHO CAN ASK QUESTIONS AT THE ANNUAL MEETING?</w:t>
      </w:r>
    </w:p>
    <w:p>
      <w:pPr>
        <w:pStyle w:val="TextBody"/>
        <w:bidi w:val="0"/>
        <w:spacing w:lineRule="auto" w:line="312" w:before="0" w:after="180"/>
        <w:jc w:val="left"/>
        <w:rPr>
          <w:rFonts w:ascii="Arial;sans-serif" w:hAnsi="Arial;sans-serif"/>
          <w:b w:val="false"/>
          <w:color w:val="000000"/>
          <w:sz w:val="18"/>
        </w:rPr>
      </w:pPr>
      <w:r>
        <w:rPr>
          <w:rFonts w:ascii="Arial;sans-serif" w:hAnsi="Arial;sans-serif"/>
          <w:b w:val="false"/>
          <w:color w:val="000000"/>
          <w:sz w:val="18"/>
        </w:rPr>
        <w:t>If you are attending the Annual Meeting as a stockholder of record or as a beneficial owner, questions can be submitted by accessing the meeting center at www.virtualshareholdermeeting.com/SIBN2025, entering your 16-digit control number and following the instructions. Instructions on how to ask questions and participate in the Annual Meeting are posted at www.virtualshareholdermeeting.com/SIBN2025. Guests will not have the ability to ask questions during the Annual Meeting.</w:t>
      </w:r>
    </w:p>
    <w:p>
      <w:pPr>
        <w:pStyle w:val="TextBody"/>
        <w:bidi w:val="0"/>
        <w:spacing w:lineRule="auto" w:line="312" w:before="0" w:after="120"/>
        <w:jc w:val="left"/>
        <w:rPr>
          <w:rFonts w:ascii="Arial;sans-serif" w:hAnsi="Arial;sans-serif"/>
          <w:b/>
          <w:color w:val="74A333"/>
          <w:sz w:val="18"/>
        </w:rPr>
      </w:pPr>
      <w:r>
        <w:rPr>
          <w:rFonts w:ascii="Arial;sans-serif" w:hAnsi="Arial;sans-serif"/>
          <w:b/>
          <w:color w:val="74A333"/>
          <w:sz w:val="18"/>
        </w:rPr>
        <w:t>List of Stockholders</w:t>
      </w:r>
    </w:p>
    <w:p>
      <w:pPr>
        <w:pStyle w:val="TextBody"/>
        <w:bidi w:val="0"/>
        <w:spacing w:lineRule="auto" w:line="312" w:before="0" w:after="180"/>
        <w:jc w:val="left"/>
        <w:rPr>
          <w:rFonts w:ascii="Arial;sans-serif" w:hAnsi="Arial;sans-serif"/>
          <w:b w:val="false"/>
          <w:color w:val="000000"/>
          <w:sz w:val="18"/>
        </w:rPr>
      </w:pPr>
      <w:r>
        <w:rPr>
          <w:rFonts w:ascii="Arial;sans-serif" w:hAnsi="Arial;sans-serif"/>
          <w:b w:val="false"/>
          <w:color w:val="000000"/>
          <w:sz w:val="18"/>
        </w:rPr>
        <w:t>A list of stockholders entitled to vote at the Annual Meeting will be available for examination for any purpose germane to the Annual Meeting during normal business hours for ten days prior to the Annual Meeting at our corporate headquarters. Please email us at StockholderCommunications@si-bone.com to arrange a time to review. The stockholder list will also be available during the Annual Meeting at www.virtualshareholdermeeting.com/SIBN2025. Instructions on how stockholders of record can view the stockholder list during the Annual Meeting are posted at www.virtualshareholdermeeting.com/SIBN2025.</w:t>
      </w:r>
    </w:p>
    <w:p>
      <w:pPr>
        <w:pStyle w:val="TextBody"/>
        <w:bidi w:val="0"/>
        <w:spacing w:lineRule="auto" w:line="288" w:before="240" w:after="180"/>
        <w:jc w:val="left"/>
        <w:rPr>
          <w:rFonts w:ascii="Arial;sans-serif" w:hAnsi="Arial;sans-serif"/>
          <w:b w:val="false"/>
          <w:color w:val="000000"/>
          <w:sz w:val="24"/>
        </w:rPr>
      </w:pPr>
      <w:r>
        <w:rPr>
          <w:rFonts w:ascii="Arial;sans-serif" w:hAnsi="Arial;sans-serif"/>
          <w:b w:val="false"/>
          <w:color w:val="000000"/>
          <w:sz w:val="24"/>
        </w:rPr>
        <w:t>WHAT AM I VOTING ON?</w:t>
      </w:r>
    </w:p>
    <w:p>
      <w:pPr>
        <w:pStyle w:val="TextBody"/>
        <w:bidi w:val="0"/>
        <w:spacing w:lineRule="auto" w:line="312" w:before="0" w:after="180"/>
        <w:jc w:val="left"/>
        <w:rPr>
          <w:rFonts w:ascii="Arial;sans-serif" w:hAnsi="Arial;sans-serif"/>
          <w:b w:val="false"/>
          <w:color w:val="000000"/>
          <w:sz w:val="18"/>
        </w:rPr>
      </w:pPr>
      <w:r>
        <w:rPr>
          <w:rFonts w:ascii="Arial;sans-serif" w:hAnsi="Arial;sans-serif"/>
          <w:b w:val="false"/>
          <w:color w:val="000000"/>
          <w:sz w:val="18"/>
        </w:rPr>
        <w:t>There are three matters scheduled for a vote:</w:t>
      </w:r>
    </w:p>
    <w:tbl>
      <w:tblPr>
        <w:tblW w:w="10205" w:type="dxa"/>
        <w:jc w:val="left"/>
        <w:tblInd w:w="0" w:type="dxa"/>
        <w:tblLayout w:type="fixed"/>
        <w:tblCellMar>
          <w:top w:w="28" w:type="dxa"/>
          <w:left w:w="28" w:type="dxa"/>
          <w:bottom w:w="28" w:type="dxa"/>
          <w:right w:w="28" w:type="dxa"/>
        </w:tblCellMar>
      </w:tblPr>
      <w:tblGrid>
        <w:gridCol w:w="124"/>
        <w:gridCol w:w="109"/>
        <w:gridCol w:w="109"/>
        <w:gridCol w:w="3113"/>
        <w:gridCol w:w="2954"/>
        <w:gridCol w:w="379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13" w:type="dxa"/>
            <w:tcBorders/>
            <w:vAlign w:val="center"/>
          </w:tcPr>
          <w:p>
            <w:pPr>
              <w:pStyle w:val="TableContents"/>
              <w:bidi w:val="0"/>
              <w:spacing w:before="0" w:after="283"/>
              <w:jc w:val="left"/>
              <w:rPr>
                <w:sz w:val="4"/>
                <w:szCs w:val="4"/>
              </w:rPr>
            </w:pPr>
            <w:r>
              <w:rPr>
                <w:sz w:val="4"/>
                <w:szCs w:val="4"/>
              </w:rPr>
            </w:r>
          </w:p>
        </w:tc>
        <w:tc>
          <w:tcPr>
            <w:tcW w:w="2954" w:type="dxa"/>
            <w:tcBorders/>
            <w:vAlign w:val="center"/>
          </w:tcPr>
          <w:p>
            <w:pPr>
              <w:pStyle w:val="TableContents"/>
              <w:bidi w:val="0"/>
              <w:spacing w:before="0" w:after="283"/>
              <w:jc w:val="left"/>
              <w:rPr>
                <w:sz w:val="4"/>
                <w:szCs w:val="4"/>
              </w:rPr>
            </w:pPr>
            <w:r>
              <w:rPr>
                <w:sz w:val="4"/>
                <w:szCs w:val="4"/>
              </w:rPr>
            </w:r>
          </w:p>
        </w:tc>
        <w:tc>
          <w:tcPr>
            <w:tcW w:w="379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EDEDEE"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74A333"/>
                <w:sz w:val="36"/>
              </w:rPr>
            </w:pPr>
            <w:r>
              <w:rPr>
                <w:rFonts w:ascii="Arial;sans-serif" w:hAnsi="Arial;sans-serif"/>
                <w:b/>
                <w:color w:val="74A333"/>
                <w:sz w:val="36"/>
              </w:rPr>
              <w:t>1</w:t>
            </w:r>
          </w:p>
        </w:tc>
        <w:tc>
          <w:tcPr>
            <w:tcW w:w="9863" w:type="dxa"/>
            <w:gridSpan w:val="3"/>
            <w:tcBorders/>
            <w:shd w:fill="EDEDEE" w:val="clear"/>
            <w:tcMar>
              <w:top w:w="0" w:type="dxa"/>
              <w:left w:w="0" w:type="dxa"/>
              <w:bottom w:w="0" w:type="dxa"/>
              <w:right w:w="0" w:type="dxa"/>
            </w:tcMar>
            <w:vAlign w:val="center"/>
          </w:tcPr>
          <w:p>
            <w:pPr>
              <w:pStyle w:val="TableContents"/>
              <w:bidi w:val="0"/>
              <w:spacing w:lineRule="auto" w:line="312" w:before="0" w:after="180"/>
              <w:jc w:val="left"/>
              <w:rPr>
                <w:rFonts w:ascii="Arial;sans-serif" w:hAnsi="Arial;sans-serif"/>
                <w:b w:val="false"/>
                <w:color w:val="000000"/>
                <w:sz w:val="18"/>
              </w:rPr>
            </w:pPr>
            <w:r>
              <w:rPr>
                <w:rFonts w:ascii="Arial;sans-serif" w:hAnsi="Arial;sans-serif"/>
                <w:b w:val="false"/>
                <w:color w:val="000000"/>
                <w:sz w:val="18"/>
              </w:rPr>
              <w:t>Election of three directors (Proposal No. 1);</w:t>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74A333"/>
                <w:sz w:val="36"/>
              </w:rPr>
            </w:pPr>
            <w:r>
              <w:rPr>
                <w:rFonts w:ascii="Arial;sans-serif" w:hAnsi="Arial;sans-serif"/>
                <w:b/>
                <w:color w:val="74A333"/>
                <w:sz w:val="36"/>
              </w:rPr>
              <w:t>2</w:t>
            </w:r>
          </w:p>
        </w:tc>
        <w:tc>
          <w:tcPr>
            <w:tcW w:w="9863" w:type="dxa"/>
            <w:gridSpan w:val="3"/>
            <w:tcBorders/>
            <w:shd w:fill="FFFFFF" w:val="clear"/>
            <w:tcMar>
              <w:top w:w="0" w:type="dxa"/>
              <w:left w:w="0" w:type="dxa"/>
              <w:bottom w:w="0" w:type="dxa"/>
              <w:right w:w="0" w:type="dxa"/>
            </w:tcMar>
            <w:vAlign w:val="center"/>
          </w:tcPr>
          <w:p>
            <w:pPr>
              <w:pStyle w:val="TableContents"/>
              <w:bidi w:val="0"/>
              <w:spacing w:lineRule="auto" w:line="312" w:before="0" w:after="180"/>
              <w:jc w:val="left"/>
              <w:rPr>
                <w:rFonts w:ascii="Arial;sans-serif" w:hAnsi="Arial;sans-serif"/>
                <w:b w:val="false"/>
                <w:color w:val="000000"/>
                <w:sz w:val="18"/>
              </w:rPr>
            </w:pPr>
            <w:r>
              <w:rPr>
                <w:rFonts w:ascii="Arial;sans-serif" w:hAnsi="Arial;sans-serif"/>
                <w:b w:val="false"/>
                <w:color w:val="000000"/>
                <w:sz w:val="18"/>
              </w:rPr>
              <w:t>Ratification of selection by the Audit Committee of the Board of Directors of PricewaterhouseCoopers LLP as independent registered public accounting firm of SI-BONE for its fiscal year ending December 31, 2025 (Proposal No. 2); and</w:t>
            </w:r>
          </w:p>
        </w:tc>
      </w:tr>
      <w:tr>
        <w:trPr/>
        <w:tc>
          <w:tcPr>
            <w:tcW w:w="342" w:type="dxa"/>
            <w:gridSpan w:val="3"/>
            <w:tcBorders>
              <w:bottom w:val="single" w:sz="12" w:space="0" w:color="74A333"/>
            </w:tcBorders>
            <w:shd w:fill="EDEDEE" w:val="clear"/>
            <w:tcMar>
              <w:top w:w="0" w:type="dxa"/>
              <w:left w:w="0" w:type="dxa"/>
              <w:bottom w:w="30" w:type="dxa"/>
              <w:right w:w="0" w:type="dxa"/>
            </w:tcMar>
            <w:vAlign w:val="center"/>
          </w:tcPr>
          <w:p>
            <w:pPr>
              <w:pStyle w:val="TableContents"/>
              <w:bidi w:val="0"/>
              <w:spacing w:lineRule="auto" w:line="288" w:before="0" w:after="283"/>
              <w:jc w:val="center"/>
              <w:rPr>
                <w:rFonts w:ascii="Arial;sans-serif" w:hAnsi="Arial;sans-serif"/>
                <w:b/>
                <w:color w:val="74A333"/>
                <w:sz w:val="36"/>
              </w:rPr>
            </w:pPr>
            <w:r>
              <w:rPr>
                <w:rFonts w:ascii="Arial;sans-serif" w:hAnsi="Arial;sans-serif"/>
                <w:b/>
                <w:color w:val="74A333"/>
                <w:sz w:val="36"/>
              </w:rPr>
              <w:t>3</w:t>
            </w:r>
          </w:p>
        </w:tc>
        <w:tc>
          <w:tcPr>
            <w:tcW w:w="9863" w:type="dxa"/>
            <w:gridSpan w:val="3"/>
            <w:tcBorders>
              <w:bottom w:val="single" w:sz="12" w:space="0" w:color="74A333"/>
            </w:tcBorders>
            <w:shd w:fill="EDEDEE" w:val="clear"/>
            <w:tcMar>
              <w:top w:w="0" w:type="dxa"/>
              <w:left w:w="0" w:type="dxa"/>
              <w:bottom w:w="30" w:type="dxa"/>
              <w:right w:w="0" w:type="dxa"/>
            </w:tcMar>
            <w:vAlign w:val="center"/>
          </w:tcPr>
          <w:p>
            <w:pPr>
              <w:pStyle w:val="TableContents"/>
              <w:bidi w:val="0"/>
              <w:spacing w:lineRule="auto" w:line="312" w:before="0" w:after="180"/>
              <w:jc w:val="left"/>
              <w:rPr>
                <w:rFonts w:ascii="Arial;sans-serif" w:hAnsi="Arial;sans-serif"/>
                <w:b w:val="false"/>
                <w:color w:val="000000"/>
                <w:sz w:val="18"/>
              </w:rPr>
            </w:pPr>
            <w:r>
              <w:rPr>
                <w:rFonts w:ascii="Arial;sans-serif" w:hAnsi="Arial;sans-serif"/>
                <w:b w:val="false"/>
                <w:color w:val="000000"/>
                <w:sz w:val="18"/>
              </w:rPr>
              <w:t>Advisory approval of the compensation of our named executive officers, as disclosed in this proxy statement in accordance with SEC rules (Proposal No. 3).</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739140"/>
                <wp:effectExtent l="0" t="0" r="0" b="0"/>
                <wp:wrapNone/>
                <wp:docPr id="10" name="Frame7"/>
                <a:graphic xmlns:a="http://schemas.openxmlformats.org/drawingml/2006/main">
                  <a:graphicData uri="http://schemas.microsoft.com/office/word/2010/wordprocessingShape">
                    <wps:wsp>
                      <wps:cNvSpPr txBox="1"/>
                      <wps:spPr>
                        <a:xfrm>
                          <a:off x="0" y="0"/>
                          <a:ext cx="6480175" cy="739140"/>
                        </a:xfrm>
                        <a:prstGeom prst="rect"/>
                        <a:solidFill>
                          <a:srgbClr val="FFFFFF"/>
                        </a:solidFill>
                      </wps:spPr>
                      <wps:txbx>
                        <w:txbxContent>
                          <w:tbl>
                            <w:tblPr>
                              <w:tblW w:w="3266" w:type="dxa"/>
                              <w:jc w:val="center"/>
                              <w:tblInd w:w="0" w:type="dxa"/>
                              <w:tblLayout w:type="fixed"/>
                              <w:tblCellMar>
                                <w:top w:w="28" w:type="dxa"/>
                                <w:left w:w="28" w:type="dxa"/>
                                <w:bottom w:w="28" w:type="dxa"/>
                                <w:right w:w="28" w:type="dxa"/>
                              </w:tblCellMar>
                            </w:tblPr>
                            <w:tblGrid>
                              <w:gridCol w:w="424"/>
                              <w:gridCol w:w="372"/>
                              <w:gridCol w:w="374"/>
                              <w:gridCol w:w="109"/>
                              <w:gridCol w:w="109"/>
                              <w:gridCol w:w="109"/>
                              <w:gridCol w:w="517"/>
                              <w:gridCol w:w="517"/>
                              <w:gridCol w:w="735"/>
                            </w:tblGrid>
                            <w:tr>
                              <w:trPr/>
                              <w:tc>
                                <w:tcPr>
                                  <w:tcW w:w="424"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r>
                            <w:tr>
                              <w:trPr/>
                              <w:tc>
                                <w:tcPr>
                                  <w:tcW w:w="1170"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6"/>
                                    </w:rPr>
                                  </w:pPr>
                                  <w:r>
                                    <w:rPr>
                                      <w:rFonts w:ascii="Arial;sans-serif" w:hAnsi="Arial;sans-serif"/>
                                      <w:b/>
                                      <w:color w:val="000000"/>
                                      <w:sz w:val="16"/>
                                    </w:rPr>
                                    <w:t>SI-BONE, Inc.</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000000"/>
                                      <w:sz w:val="16"/>
                                    </w:rPr>
                                  </w:pPr>
                                  <w:r>
                                    <w:rPr>
                                      <w:rFonts w:ascii="Arial;sans-serif" w:hAnsi="Arial;sans-serif"/>
                                      <w:b/>
                                      <w:color w:val="000000"/>
                                      <w:sz w:val="16"/>
                                    </w:rPr>
                                    <w:t>2</w:t>
                                  </w:r>
                                </w:p>
                              </w:tc>
                              <w:tc>
                                <w:tcPr>
                                  <w:tcW w:w="176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2025 Proxy Statement</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2pt;mso-wrap-distance-left:0pt;mso-wrap-distance-right:0pt;mso-wrap-distance-top:0pt;mso-wrap-distance-bottom:0pt;margin-top:0pt;mso-position-vertical:top;mso-position-vertical-relative:text;margin-left:0pt;mso-position-horizontal:left;mso-position-horizontal-relative:text">
                <v:textbox>
                  <w:txbxContent>
                    <w:tbl>
                      <w:tblPr>
                        <w:tblW w:w="3266" w:type="dxa"/>
                        <w:jc w:val="center"/>
                        <w:tblInd w:w="0" w:type="dxa"/>
                        <w:tblLayout w:type="fixed"/>
                        <w:tblCellMar>
                          <w:top w:w="28" w:type="dxa"/>
                          <w:left w:w="28" w:type="dxa"/>
                          <w:bottom w:w="28" w:type="dxa"/>
                          <w:right w:w="28" w:type="dxa"/>
                        </w:tblCellMar>
                      </w:tblPr>
                      <w:tblGrid>
                        <w:gridCol w:w="424"/>
                        <w:gridCol w:w="372"/>
                        <w:gridCol w:w="374"/>
                        <w:gridCol w:w="109"/>
                        <w:gridCol w:w="109"/>
                        <w:gridCol w:w="109"/>
                        <w:gridCol w:w="517"/>
                        <w:gridCol w:w="517"/>
                        <w:gridCol w:w="735"/>
                      </w:tblGrid>
                      <w:tr>
                        <w:trPr/>
                        <w:tc>
                          <w:tcPr>
                            <w:tcW w:w="424"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r>
                      <w:tr>
                        <w:trPr/>
                        <w:tc>
                          <w:tcPr>
                            <w:tcW w:w="1170"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6"/>
                              </w:rPr>
                            </w:pPr>
                            <w:r>
                              <w:rPr>
                                <w:rFonts w:ascii="Arial;sans-serif" w:hAnsi="Arial;sans-serif"/>
                                <w:b/>
                                <w:color w:val="000000"/>
                                <w:sz w:val="16"/>
                              </w:rPr>
                              <w:t>SI-BONE, Inc.</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000000"/>
                                <w:sz w:val="16"/>
                              </w:rPr>
                            </w:pPr>
                            <w:r>
                              <w:rPr>
                                <w:rFonts w:ascii="Arial;sans-serif" w:hAnsi="Arial;sans-serif"/>
                                <w:b/>
                                <w:color w:val="000000"/>
                                <w:sz w:val="16"/>
                              </w:rPr>
                              <w:t>2</w:t>
                            </w:r>
                          </w:p>
                        </w:tc>
                        <w:tc>
                          <w:tcPr>
                            <w:tcW w:w="176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2025 Proxy Statement</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right"/>
        <w:rPr>
          <w:rFonts w:ascii="Arial;sans-serif" w:hAnsi="Arial;sans-serif"/>
          <w:b w:val="false"/>
          <w:color w:val="000000"/>
          <w:sz w:val="16"/>
        </w:rPr>
      </w:pPr>
      <w:r>
        <w:rPr>
          <w:rFonts w:ascii="Arial;sans-serif" w:hAnsi="Arial;sans-serif"/>
          <w:b w:val="false"/>
          <w:color w:val="000000"/>
          <w:sz w:val="16"/>
        </w:rPr>
        <w:t>Table of Contents</w:t>
      </w:r>
    </w:p>
    <w:p>
      <w:pPr>
        <w:pStyle w:val="TextBody"/>
        <w:bidi w:val="0"/>
        <w:spacing w:lineRule="auto" w:line="288" w:before="240" w:after="180"/>
        <w:jc w:val="left"/>
        <w:rPr>
          <w:rFonts w:ascii="Arial;sans-serif" w:hAnsi="Arial;sans-serif"/>
          <w:b w:val="false"/>
          <w:color w:val="000000"/>
          <w:sz w:val="24"/>
        </w:rPr>
      </w:pPr>
      <w:r>
        <w:rPr>
          <w:rFonts w:ascii="Arial;sans-serif" w:hAnsi="Arial;sans-serif"/>
          <w:b w:val="false"/>
          <w:color w:val="000000"/>
          <w:sz w:val="24"/>
        </w:rPr>
        <w:t>WHAT IF ANOTHER MATTER IS PROPERLY BROUGHT BEFORE THE MEETING?</w:t>
      </w:r>
    </w:p>
    <w:p>
      <w:pPr>
        <w:pStyle w:val="TextBody"/>
        <w:bidi w:val="0"/>
        <w:spacing w:lineRule="auto" w:line="312" w:before="0" w:after="180"/>
        <w:jc w:val="left"/>
        <w:rPr>
          <w:rFonts w:ascii="Arial;sans-serif" w:hAnsi="Arial;sans-serif"/>
          <w:b w:val="false"/>
          <w:color w:val="000000"/>
          <w:sz w:val="18"/>
        </w:rPr>
      </w:pPr>
      <w:r>
        <w:rPr>
          <w:rFonts w:ascii="Arial;sans-serif" w:hAnsi="Arial;sans-serif"/>
          <w:b w:val="false"/>
          <w:color w:val="000000"/>
          <w:sz w:val="18"/>
        </w:rPr>
        <w:t>The Board of Directors knows of no other matters that will be presented for consideration at the Annual Meeting. If any other matters are properly brought before the meeting, it is the intention of the persons named in the accompanying proxy to vote on those matters, to the extent permitted under Rule 14a-4(c)(1) under the Exchange Act, in accordance with their best judgment.</w:t>
      </w:r>
    </w:p>
    <w:p>
      <w:pPr>
        <w:pStyle w:val="TextBody"/>
        <w:bidi w:val="0"/>
        <w:spacing w:lineRule="auto" w:line="288" w:before="240" w:after="180"/>
        <w:jc w:val="left"/>
        <w:rPr>
          <w:rFonts w:ascii="Arial;sans-serif" w:hAnsi="Arial;sans-serif"/>
          <w:b w:val="false"/>
          <w:color w:val="000000"/>
          <w:sz w:val="24"/>
        </w:rPr>
      </w:pPr>
      <w:r>
        <w:rPr>
          <w:rFonts w:ascii="Arial;sans-serif" w:hAnsi="Arial;sans-serif"/>
          <w:b w:val="false"/>
          <w:color w:val="000000"/>
          <w:sz w:val="24"/>
        </w:rPr>
        <w:t>HOW DO I VOTE?</w:t>
      </w:r>
    </w:p>
    <w:p>
      <w:pPr>
        <w:pStyle w:val="TextBody"/>
        <w:bidi w:val="0"/>
        <w:spacing w:lineRule="auto" w:line="312" w:before="0" w:after="180"/>
        <w:jc w:val="left"/>
        <w:rPr>
          <w:rFonts w:ascii="Arial;sans-serif" w:hAnsi="Arial;sans-serif"/>
          <w:b w:val="false"/>
          <w:color w:val="000000"/>
          <w:sz w:val="18"/>
        </w:rPr>
      </w:pPr>
      <w:r>
        <w:rPr>
          <w:rFonts w:ascii="Arial;sans-serif" w:hAnsi="Arial;sans-serif"/>
          <w:b w:val="false"/>
          <w:color w:val="000000"/>
          <w:sz w:val="18"/>
        </w:rPr>
        <w:t>You may either vote “For” all of the nominees to the Board of Directors or you may “Withhold” your vote for any nominee you specify. For the ratification of selection by the Audit Committee of the Board of Directors of PricewaterhouseCoopers LLP as independent registered public accounting firm of SI-BONE for its fiscal year ending December 31, 2025, and the advisory approval of the compensation of our named executive officers, as disclosed in this proxy statement in accordance with SEC rules, you may vote “For” or “Against” or abstain from voting. For any of the other matters to be voted on, you may vote “For” or “Against” or abstain from voting.</w:t>
      </w:r>
    </w:p>
    <w:p>
      <w:pPr>
        <w:pStyle w:val="TextBody"/>
        <w:bidi w:val="0"/>
        <w:spacing w:lineRule="auto" w:line="312" w:before="0" w:after="180"/>
        <w:jc w:val="left"/>
        <w:rPr>
          <w:rFonts w:ascii="Arial;sans-serif" w:hAnsi="Arial;sans-serif"/>
          <w:b w:val="false"/>
          <w:color w:val="000000"/>
          <w:sz w:val="18"/>
        </w:rPr>
      </w:pPr>
      <w:r>
        <w:rPr>
          <w:rFonts w:ascii="Arial;sans-serif" w:hAnsi="Arial;sans-serif"/>
          <w:b w:val="false"/>
          <w:color w:val="000000"/>
          <w:sz w:val="18"/>
        </w:rPr>
        <w:t>The procedures for voting are fairly simple:</w:t>
      </w:r>
    </w:p>
    <w:p>
      <w:pPr>
        <w:pStyle w:val="TextBody"/>
        <w:bidi w:val="0"/>
        <w:spacing w:lineRule="auto" w:line="312" w:before="0" w:after="120"/>
        <w:jc w:val="left"/>
        <w:rPr>
          <w:rFonts w:ascii="Arial;sans-serif" w:hAnsi="Arial;sans-serif"/>
          <w:b/>
          <w:color w:val="74A333"/>
          <w:sz w:val="18"/>
        </w:rPr>
      </w:pPr>
      <w:r>
        <w:rPr>
          <w:rFonts w:ascii="Arial;sans-serif" w:hAnsi="Arial;sans-serif"/>
          <w:b/>
          <w:color w:val="74A333"/>
          <w:sz w:val="18"/>
        </w:rPr>
        <w:t>Stockholder of Record: Shares Registered in Your Name</w:t>
      </w:r>
    </w:p>
    <w:p>
      <w:pPr>
        <w:pStyle w:val="TextBody"/>
        <w:bidi w:val="0"/>
        <w:spacing w:lineRule="auto" w:line="312" w:before="0" w:after="180"/>
        <w:jc w:val="left"/>
        <w:rPr>
          <w:rFonts w:ascii="Arial;sans-serif" w:hAnsi="Arial;sans-serif"/>
          <w:b w:val="false"/>
          <w:color w:val="000000"/>
          <w:sz w:val="18"/>
        </w:rPr>
      </w:pPr>
      <w:r>
        <w:rPr>
          <w:rFonts w:ascii="Arial;sans-serif" w:hAnsi="Arial;sans-serif"/>
          <w:b w:val="false"/>
          <w:color w:val="000000"/>
          <w:sz w:val="18"/>
        </w:rPr>
        <w:t>If you are a stockholder of record, you may vote via webcast at the Annual Meeting, vote by proxy over the telephone, vote by proxy through the internet, vote online at the meeting, or vote by proxy using a proxy card that you may request or that we may elect to deliver at a later time. Whether or not you plan to attend the meeting, we urge you to vote by proxy to ensure your vote is counted. You may still attend the meeting and vote via webcast even if you have already voted by proxy.</w:t>
      </w:r>
    </w:p>
    <w:tbl>
      <w:tblPr>
        <w:tblW w:w="10205" w:type="dxa"/>
        <w:jc w:val="left"/>
        <w:tblInd w:w="0" w:type="dxa"/>
        <w:tblLayout w:type="fixed"/>
        <w:tblCellMar>
          <w:top w:w="28" w:type="dxa"/>
          <w:left w:w="28" w:type="dxa"/>
          <w:bottom w:w="28" w:type="dxa"/>
          <w:right w:w="28" w:type="dxa"/>
        </w:tblCellMar>
      </w:tblPr>
      <w:tblGrid>
        <w:gridCol w:w="1357"/>
        <w:gridCol w:w="1189"/>
        <w:gridCol w:w="1201"/>
        <w:gridCol w:w="109"/>
        <w:gridCol w:w="109"/>
        <w:gridCol w:w="109"/>
        <w:gridCol w:w="527"/>
        <w:gridCol w:w="527"/>
        <w:gridCol w:w="533"/>
        <w:gridCol w:w="109"/>
        <w:gridCol w:w="109"/>
        <w:gridCol w:w="109"/>
        <w:gridCol w:w="543"/>
        <w:gridCol w:w="543"/>
        <w:gridCol w:w="550"/>
        <w:gridCol w:w="109"/>
        <w:gridCol w:w="109"/>
        <w:gridCol w:w="109"/>
        <w:gridCol w:w="657"/>
        <w:gridCol w:w="657"/>
        <w:gridCol w:w="940"/>
      </w:tblGrid>
      <w:tr>
        <w:trPr/>
        <w:tc>
          <w:tcPr>
            <w:tcW w:w="1357"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sz w:val="4"/>
                <w:szCs w:val="4"/>
              </w:rPr>
            </w:pPr>
            <w:r>
              <w:rPr>
                <w:sz w:val="4"/>
                <w:szCs w:val="4"/>
              </w:rPr>
            </w:r>
          </w:p>
        </w:tc>
        <w:tc>
          <w:tcPr>
            <w:tcW w:w="12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7" w:type="dxa"/>
            <w:tcBorders/>
            <w:vAlign w:val="center"/>
          </w:tcPr>
          <w:p>
            <w:pPr>
              <w:pStyle w:val="TableContents"/>
              <w:bidi w:val="0"/>
              <w:spacing w:before="0" w:after="283"/>
              <w:jc w:val="left"/>
              <w:rPr>
                <w:sz w:val="4"/>
                <w:szCs w:val="4"/>
              </w:rPr>
            </w:pPr>
            <w:r>
              <w:rPr>
                <w:sz w:val="4"/>
                <w:szCs w:val="4"/>
              </w:rPr>
            </w:r>
          </w:p>
        </w:tc>
        <w:tc>
          <w:tcPr>
            <w:tcW w:w="527" w:type="dxa"/>
            <w:tcBorders/>
            <w:vAlign w:val="center"/>
          </w:tcPr>
          <w:p>
            <w:pPr>
              <w:pStyle w:val="TableContents"/>
              <w:bidi w:val="0"/>
              <w:spacing w:before="0" w:after="283"/>
              <w:jc w:val="left"/>
              <w:rPr>
                <w:sz w:val="4"/>
                <w:szCs w:val="4"/>
              </w:rPr>
            </w:pPr>
            <w:r>
              <w:rPr>
                <w:sz w:val="4"/>
                <w:szCs w:val="4"/>
              </w:rPr>
            </w:r>
          </w:p>
        </w:tc>
        <w:tc>
          <w:tcPr>
            <w:tcW w:w="5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3" w:type="dxa"/>
            <w:tcBorders/>
            <w:vAlign w:val="center"/>
          </w:tcPr>
          <w:p>
            <w:pPr>
              <w:pStyle w:val="TableContents"/>
              <w:bidi w:val="0"/>
              <w:spacing w:before="0" w:after="283"/>
              <w:jc w:val="left"/>
              <w:rPr>
                <w:sz w:val="4"/>
                <w:szCs w:val="4"/>
              </w:rPr>
            </w:pPr>
            <w:r>
              <w:rPr>
                <w:sz w:val="4"/>
                <w:szCs w:val="4"/>
              </w:rPr>
            </w:r>
          </w:p>
        </w:tc>
        <w:tc>
          <w:tcPr>
            <w:tcW w:w="543" w:type="dxa"/>
            <w:tcBorders/>
            <w:vAlign w:val="center"/>
          </w:tcPr>
          <w:p>
            <w:pPr>
              <w:pStyle w:val="TableContents"/>
              <w:bidi w:val="0"/>
              <w:spacing w:before="0" w:after="283"/>
              <w:jc w:val="left"/>
              <w:rPr>
                <w:sz w:val="4"/>
                <w:szCs w:val="4"/>
              </w:rPr>
            </w:pPr>
            <w:r>
              <w:rPr>
                <w:sz w:val="4"/>
                <w:szCs w:val="4"/>
              </w:rPr>
            </w:r>
          </w:p>
        </w:tc>
        <w:tc>
          <w:tcPr>
            <w:tcW w:w="5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57" w:type="dxa"/>
            <w:tcBorders/>
            <w:vAlign w:val="center"/>
          </w:tcPr>
          <w:p>
            <w:pPr>
              <w:pStyle w:val="TableContents"/>
              <w:bidi w:val="0"/>
              <w:spacing w:before="0" w:after="283"/>
              <w:jc w:val="left"/>
              <w:rPr>
                <w:sz w:val="4"/>
                <w:szCs w:val="4"/>
              </w:rPr>
            </w:pPr>
            <w:r>
              <w:rPr>
                <w:sz w:val="4"/>
                <w:szCs w:val="4"/>
              </w:rPr>
            </w:r>
          </w:p>
        </w:tc>
        <w:tc>
          <w:tcPr>
            <w:tcW w:w="657" w:type="dxa"/>
            <w:tcBorders/>
            <w:vAlign w:val="center"/>
          </w:tcPr>
          <w:p>
            <w:pPr>
              <w:pStyle w:val="TableContents"/>
              <w:bidi w:val="0"/>
              <w:spacing w:before="0" w:after="283"/>
              <w:jc w:val="left"/>
              <w:rPr>
                <w:sz w:val="4"/>
                <w:szCs w:val="4"/>
              </w:rPr>
            </w:pPr>
            <w:r>
              <w:rPr>
                <w:sz w:val="4"/>
                <w:szCs w:val="4"/>
              </w:rPr>
            </w:r>
          </w:p>
        </w:tc>
        <w:tc>
          <w:tcPr>
            <w:tcW w:w="940" w:type="dxa"/>
            <w:tcBorders/>
            <w:vAlign w:val="center"/>
          </w:tcPr>
          <w:p>
            <w:pPr>
              <w:pStyle w:val="TableContents"/>
              <w:bidi w:val="0"/>
              <w:spacing w:before="0" w:after="283"/>
              <w:jc w:val="left"/>
              <w:rPr>
                <w:sz w:val="4"/>
                <w:szCs w:val="4"/>
              </w:rPr>
            </w:pPr>
            <w:r>
              <w:rPr>
                <w:sz w:val="4"/>
                <w:szCs w:val="4"/>
              </w:rPr>
            </w:r>
          </w:p>
        </w:tc>
      </w:tr>
      <w:tr>
        <w:trPr/>
        <w:tc>
          <w:tcPr>
            <w:tcW w:w="3747"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361950" cy="361950"/>
                  <wp:effectExtent l="0" t="0" r="0" b="0"/>
                  <wp:docPr id="11"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4" descr=""/>
                          <pic:cNvPicPr>
                            <a:picLocks noChangeAspect="1" noChangeArrowheads="1"/>
                          </pic:cNvPicPr>
                        </pic:nvPicPr>
                        <pic:blipFill>
                          <a:blip r:embed="rId5"/>
                          <a:stretch>
                            <a:fillRect/>
                          </a:stretch>
                        </pic:blipFill>
                        <pic:spPr bwMode="auto">
                          <a:xfrm>
                            <a:off x="0" y="0"/>
                            <a:ext cx="361950" cy="361950"/>
                          </a:xfrm>
                          <a:prstGeom prst="rect">
                            <a:avLst/>
                          </a:prstGeom>
                        </pic:spPr>
                      </pic:pic>
                    </a:graphicData>
                  </a:graphic>
                </wp:inline>
              </w:drawing>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7"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361950" cy="361950"/>
                  <wp:effectExtent l="0" t="0" r="0" b="0"/>
                  <wp:docPr id="12"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5" descr=""/>
                          <pic:cNvPicPr>
                            <a:picLocks noChangeAspect="1" noChangeArrowheads="1"/>
                          </pic:cNvPicPr>
                        </pic:nvPicPr>
                        <pic:blipFill>
                          <a:blip r:embed="rId6"/>
                          <a:stretch>
                            <a:fillRect/>
                          </a:stretch>
                        </pic:blipFill>
                        <pic:spPr bwMode="auto">
                          <a:xfrm>
                            <a:off x="0" y="0"/>
                            <a:ext cx="361950" cy="361950"/>
                          </a:xfrm>
                          <a:prstGeom prst="rect">
                            <a:avLst/>
                          </a:prstGeom>
                        </pic:spPr>
                      </pic:pic>
                    </a:graphicData>
                  </a:graphic>
                </wp:inline>
              </w:drawing>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6"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361950" cy="361950"/>
                  <wp:effectExtent l="0" t="0" r="0" b="0"/>
                  <wp:docPr id="13"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6" descr=""/>
                          <pic:cNvPicPr>
                            <a:picLocks noChangeAspect="1" noChangeArrowheads="1"/>
                          </pic:cNvPicPr>
                        </pic:nvPicPr>
                        <pic:blipFill>
                          <a:blip r:embed="rId7"/>
                          <a:stretch>
                            <a:fillRect/>
                          </a:stretch>
                        </pic:blipFill>
                        <pic:spPr bwMode="auto">
                          <a:xfrm>
                            <a:off x="0" y="0"/>
                            <a:ext cx="361950" cy="361950"/>
                          </a:xfrm>
                          <a:prstGeom prst="rect">
                            <a:avLst/>
                          </a:prstGeom>
                        </pic:spPr>
                      </pic:pic>
                    </a:graphicData>
                  </a:graphic>
                </wp:inline>
              </w:drawing>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4"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361950" cy="361950"/>
                  <wp:effectExtent l="0" t="0" r="0" b="0"/>
                  <wp:docPr id="14"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7" descr=""/>
                          <pic:cNvPicPr>
                            <a:picLocks noChangeAspect="1" noChangeArrowheads="1"/>
                          </pic:cNvPicPr>
                        </pic:nvPicPr>
                        <pic:blipFill>
                          <a:blip r:embed="rId8"/>
                          <a:stretch>
                            <a:fillRect/>
                          </a:stretch>
                        </pic:blipFill>
                        <pic:spPr bwMode="auto">
                          <a:xfrm>
                            <a:off x="0" y="0"/>
                            <a:ext cx="361950" cy="361950"/>
                          </a:xfrm>
                          <a:prstGeom prst="rect">
                            <a:avLst/>
                          </a:prstGeom>
                        </pic:spPr>
                      </pic:pic>
                    </a:graphicData>
                  </a:graphic>
                </wp:inline>
              </w:drawing>
            </w:r>
          </w:p>
        </w:tc>
      </w:tr>
      <w:tr>
        <w:trPr/>
        <w:tc>
          <w:tcPr>
            <w:tcW w:w="3747" w:type="dxa"/>
            <w:gridSpan w:val="3"/>
            <w:tcBorders/>
            <w:tcMar>
              <w:top w:w="0" w:type="dxa"/>
              <w:left w:w="0" w:type="dxa"/>
              <w:bottom w:w="0" w:type="dxa"/>
              <w:right w:w="0" w:type="dxa"/>
            </w:tcMar>
            <w:vAlign w:val="center"/>
          </w:tcPr>
          <w:p>
            <w:pPr>
              <w:pStyle w:val="TableContents"/>
              <w:bidi w:val="0"/>
              <w:spacing w:lineRule="auto" w:line="288" w:before="0" w:after="60"/>
              <w:jc w:val="left"/>
              <w:rPr>
                <w:rFonts w:ascii="Arial;sans-serif" w:hAnsi="Arial;sans-serif"/>
                <w:b/>
                <w:color w:val="74A333"/>
                <w:sz w:val="20"/>
              </w:rPr>
            </w:pPr>
            <w:r>
              <w:rPr>
                <w:rFonts w:ascii="Arial;sans-serif" w:hAnsi="Arial;sans-serif"/>
                <w:b/>
                <w:color w:val="74A333"/>
                <w:sz w:val="20"/>
              </w:rPr>
              <w:t>Vote During the Meeting</w:t>
            </w:r>
          </w:p>
          <w:p>
            <w:pPr>
              <w:pStyle w:val="TableContents"/>
              <w:bidi w:val="0"/>
              <w:spacing w:lineRule="auto" w:line="312" w:before="0" w:after="60"/>
              <w:jc w:val="left"/>
              <w:rPr>
                <w:rFonts w:ascii="Arial;sans-serif" w:hAnsi="Arial;sans-serif"/>
                <w:b w:val="false"/>
                <w:color w:val="000000"/>
                <w:sz w:val="18"/>
              </w:rPr>
            </w:pPr>
            <w:r>
              <w:rPr>
                <w:rFonts w:ascii="Arial;sans-serif" w:hAnsi="Arial;sans-serif"/>
                <w:b w:val="false"/>
                <w:color w:val="000000"/>
                <w:sz w:val="18"/>
              </w:rPr>
              <w:t>At the live webcast, if you are a stockholder of record as of the record date, follow the instructions at www.virtualshareholdermeeting.com/SIBN2025. You will need the 16-digit control number provided on the Notice or proxy registration confirmation email in order to gain access to the Annual Meeting via webcast.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7" w:type="dxa"/>
            <w:gridSpan w:val="3"/>
            <w:tcBorders/>
            <w:tcMar>
              <w:top w:w="0" w:type="dxa"/>
              <w:left w:w="0" w:type="dxa"/>
              <w:bottom w:w="0" w:type="dxa"/>
              <w:right w:w="0" w:type="dxa"/>
            </w:tcMar>
            <w:vAlign w:val="center"/>
          </w:tcPr>
          <w:p>
            <w:pPr>
              <w:pStyle w:val="TableContents"/>
              <w:bidi w:val="0"/>
              <w:spacing w:lineRule="auto" w:line="288" w:before="0" w:after="60"/>
              <w:jc w:val="left"/>
              <w:rPr>
                <w:rFonts w:ascii="Arial;sans-serif" w:hAnsi="Arial;sans-serif"/>
                <w:b/>
                <w:color w:val="74A333"/>
                <w:sz w:val="20"/>
              </w:rPr>
            </w:pPr>
            <w:r>
              <w:rPr>
                <w:rFonts w:ascii="Arial;sans-serif" w:hAnsi="Arial;sans-serif"/>
                <w:b/>
                <w:color w:val="74A333"/>
                <w:sz w:val="20"/>
              </w:rPr>
              <w:t>Vote by Mail</w:t>
            </w:r>
          </w:p>
          <w:p>
            <w:pPr>
              <w:pStyle w:val="TableContents"/>
              <w:bidi w:val="0"/>
              <w:spacing w:lineRule="auto" w:line="312" w:before="0" w:after="60"/>
              <w:jc w:val="left"/>
              <w:rPr>
                <w:rFonts w:ascii="Arial;sans-serif" w:hAnsi="Arial;sans-serif"/>
                <w:b w:val="false"/>
                <w:color w:val="000000"/>
                <w:sz w:val="18"/>
              </w:rPr>
            </w:pPr>
            <w:r>
              <w:rPr>
                <w:rFonts w:ascii="Arial;sans-serif" w:hAnsi="Arial;sans-serif"/>
                <w:b w:val="false"/>
                <w:color w:val="000000"/>
                <w:sz w:val="18"/>
              </w:rPr>
              <w:t>If you received a proxy card by mail, you may vote by completing, signing and dating the proxy card and returning it promptly in the envelope provided. If you return your signed proxy card to us before the Annual Meeting, we will vote your shares as you direct.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6" w:type="dxa"/>
            <w:gridSpan w:val="3"/>
            <w:tcBorders/>
            <w:tcMar>
              <w:top w:w="0" w:type="dxa"/>
              <w:left w:w="0" w:type="dxa"/>
              <w:bottom w:w="0" w:type="dxa"/>
              <w:right w:w="0" w:type="dxa"/>
            </w:tcMar>
            <w:vAlign w:val="center"/>
          </w:tcPr>
          <w:p>
            <w:pPr>
              <w:pStyle w:val="TableContents"/>
              <w:bidi w:val="0"/>
              <w:spacing w:lineRule="auto" w:line="288" w:before="0" w:after="60"/>
              <w:jc w:val="left"/>
              <w:rPr>
                <w:rFonts w:ascii="Arial;sans-serif" w:hAnsi="Arial;sans-serif"/>
                <w:b/>
                <w:color w:val="74A333"/>
                <w:sz w:val="20"/>
              </w:rPr>
            </w:pPr>
            <w:r>
              <w:rPr>
                <w:rFonts w:ascii="Arial;sans-serif" w:hAnsi="Arial;sans-serif"/>
                <w:b/>
                <w:color w:val="74A333"/>
                <w:sz w:val="20"/>
              </w:rPr>
              <w:t>Vote by Phone</w:t>
            </w:r>
          </w:p>
          <w:p>
            <w:pPr>
              <w:pStyle w:val="TableContents"/>
              <w:bidi w:val="0"/>
              <w:spacing w:lineRule="auto" w:line="312" w:before="0" w:after="60"/>
              <w:jc w:val="left"/>
              <w:rPr>
                <w:rFonts w:ascii="Arial;sans-serif" w:hAnsi="Arial;sans-serif"/>
                <w:b w:val="false"/>
                <w:color w:val="000000"/>
                <w:sz w:val="18"/>
              </w:rPr>
            </w:pPr>
            <w:r>
              <w:rPr>
                <w:rFonts w:ascii="Arial;sans-serif" w:hAnsi="Arial;sans-serif"/>
                <w:b w:val="false"/>
                <w:color w:val="000000"/>
                <w:sz w:val="18"/>
              </w:rPr>
              <w:t>Dial toll-free 1-800-690-6903 using a touch-tone phone and follow the recorded instructions. You will be asked to provide the control number from the Notice or proxy card. Your telephone vote must be received by 8:59 p.m., Pacific Time on June 4, 2025 to be counted.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4" w:type="dxa"/>
            <w:gridSpan w:val="3"/>
            <w:tcBorders/>
            <w:tcMar>
              <w:top w:w="0" w:type="dxa"/>
              <w:left w:w="0" w:type="dxa"/>
              <w:bottom w:w="0" w:type="dxa"/>
              <w:right w:w="0" w:type="dxa"/>
            </w:tcMar>
            <w:vAlign w:val="center"/>
          </w:tcPr>
          <w:p>
            <w:pPr>
              <w:pStyle w:val="TableContents"/>
              <w:bidi w:val="0"/>
              <w:spacing w:lineRule="auto" w:line="288" w:before="0" w:after="60"/>
              <w:jc w:val="left"/>
              <w:rPr>
                <w:rFonts w:ascii="Arial;sans-serif" w:hAnsi="Arial;sans-serif"/>
                <w:b/>
                <w:color w:val="74A333"/>
                <w:sz w:val="20"/>
              </w:rPr>
            </w:pPr>
            <w:r>
              <w:rPr>
                <w:rFonts w:ascii="Arial;sans-serif" w:hAnsi="Arial;sans-serif"/>
                <w:b/>
                <w:color w:val="74A333"/>
                <w:sz w:val="20"/>
              </w:rPr>
              <w:t>Vote by Internet</w:t>
            </w:r>
          </w:p>
          <w:p>
            <w:pPr>
              <w:pStyle w:val="TableContents"/>
              <w:bidi w:val="0"/>
              <w:spacing w:lineRule="auto" w:line="312" w:before="0" w:after="180"/>
              <w:jc w:val="left"/>
              <w:rPr>
                <w:rFonts w:ascii="Arial;sans-serif" w:hAnsi="Arial;sans-serif"/>
                <w:b w:val="false"/>
                <w:color w:val="000000"/>
                <w:sz w:val="18"/>
              </w:rPr>
            </w:pPr>
            <w:r>
              <w:rPr>
                <w:rFonts w:ascii="Arial;sans-serif" w:hAnsi="Arial;sans-serif"/>
                <w:b w:val="false"/>
                <w:color w:val="000000"/>
                <w:sz w:val="18"/>
              </w:rPr>
              <w:t>Go to www.proxyvote.com to complete an electronic proxy card. You will be asked to provide control number from the Notice or proxy card. Your internet vote must be received by 8:59 p.m., Pacific Time on June 4, 2025 to be counted.</w:t>
            </w:r>
          </w:p>
        </w:tc>
      </w:tr>
    </w:tbl>
    <w:p>
      <w:pPr>
        <w:pStyle w:val="TextBody"/>
        <w:bidi w:val="0"/>
        <w:spacing w:lineRule="auto" w:line="312" w:before="0" w:after="120"/>
        <w:jc w:val="left"/>
        <w:rPr>
          <w:rFonts w:ascii="Arial;sans-serif" w:hAnsi="Arial;sans-serif"/>
          <w:b/>
          <w:color w:val="74A333"/>
          <w:sz w:val="18"/>
        </w:rPr>
      </w:pPr>
      <w:r>
        <w:rPr>
          <w:rFonts w:ascii="Arial;sans-serif" w:hAnsi="Arial;sans-serif"/>
          <w:b/>
          <w:color w:val="74A333"/>
          <w:sz w:val="18"/>
        </w:rPr>
        <w:t>Beneficial Owner: Shares Registered in the Name of Broker or Bank</w:t>
      </w:r>
    </w:p>
    <w:p>
      <w:pPr>
        <w:pStyle w:val="TextBody"/>
        <w:bidi w:val="0"/>
        <w:spacing w:lineRule="auto" w:line="312" w:before="0" w:after="180"/>
        <w:jc w:val="left"/>
        <w:rPr>
          <w:rFonts w:ascii="Arial;sans-serif" w:hAnsi="Arial;sans-serif"/>
          <w:b w:val="false"/>
          <w:color w:val="000000"/>
          <w:sz w:val="18"/>
        </w:rPr>
      </w:pPr>
      <w:r>
        <w:rPr>
          <w:rFonts w:ascii="Arial;sans-serif" w:hAnsi="Arial;sans-serif"/>
          <w:b w:val="false"/>
          <w:color w:val="000000"/>
          <w:sz w:val="18"/>
        </w:rPr>
        <w:t>If you are a beneficial owner of shares registered in the name of your broker, bank or other agent, you should have received a voting instruction form with the Notice from that organization rather than from us. Simply complete and mail the voting instruction form to ensure that your vote is counted. Alternatively, you may vote by telephone or over the internet as instructed by your broker or bank. To vote at the live webcast, you may be able to do so if your broker has provided you with a 16-digit control number, or if you have otherwise received a valid proxy. See “Who can vote at the Annual Meeting? - Stockholder of Record: Shares Registered in Your Name” above. To receive a valid proxy, follow the instructions from your broker or bank included with the Notice, or contact your broker or other agent to request a proxy form.</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739140"/>
                <wp:effectExtent l="0" t="0" r="0" b="0"/>
                <wp:wrapNone/>
                <wp:docPr id="15" name="Frame8"/>
                <a:graphic xmlns:a="http://schemas.openxmlformats.org/drawingml/2006/main">
                  <a:graphicData uri="http://schemas.microsoft.com/office/word/2010/wordprocessingShape">
                    <wps:wsp>
                      <wps:cNvSpPr txBox="1"/>
                      <wps:spPr>
                        <a:xfrm>
                          <a:off x="0" y="0"/>
                          <a:ext cx="6480175" cy="739140"/>
                        </a:xfrm>
                        <a:prstGeom prst="rect"/>
                        <a:solidFill>
                          <a:srgbClr val="FFFFFF"/>
                        </a:solidFill>
                      </wps:spPr>
                      <wps:txbx>
                        <w:txbxContent>
                          <w:tbl>
                            <w:tblPr>
                              <w:tblW w:w="3266" w:type="dxa"/>
                              <w:jc w:val="center"/>
                              <w:tblInd w:w="0" w:type="dxa"/>
                              <w:tblLayout w:type="fixed"/>
                              <w:tblCellMar>
                                <w:top w:w="28" w:type="dxa"/>
                                <w:left w:w="28" w:type="dxa"/>
                                <w:bottom w:w="28" w:type="dxa"/>
                                <w:right w:w="28" w:type="dxa"/>
                              </w:tblCellMar>
                            </w:tblPr>
                            <w:tblGrid>
                              <w:gridCol w:w="424"/>
                              <w:gridCol w:w="372"/>
                              <w:gridCol w:w="374"/>
                              <w:gridCol w:w="109"/>
                              <w:gridCol w:w="109"/>
                              <w:gridCol w:w="109"/>
                              <w:gridCol w:w="517"/>
                              <w:gridCol w:w="517"/>
                              <w:gridCol w:w="735"/>
                            </w:tblGrid>
                            <w:tr>
                              <w:trPr/>
                              <w:tc>
                                <w:tcPr>
                                  <w:tcW w:w="424"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r>
                            <w:tr>
                              <w:trPr/>
                              <w:tc>
                                <w:tcPr>
                                  <w:tcW w:w="1170"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6"/>
                                    </w:rPr>
                                  </w:pPr>
                                  <w:r>
                                    <w:rPr>
                                      <w:rFonts w:ascii="Arial;sans-serif" w:hAnsi="Arial;sans-serif"/>
                                      <w:b/>
                                      <w:color w:val="000000"/>
                                      <w:sz w:val="16"/>
                                    </w:rPr>
                                    <w:t>SI-BONE, Inc.</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000000"/>
                                      <w:sz w:val="16"/>
                                    </w:rPr>
                                  </w:pPr>
                                  <w:r>
                                    <w:rPr>
                                      <w:rFonts w:ascii="Arial;sans-serif" w:hAnsi="Arial;sans-serif"/>
                                      <w:b/>
                                      <w:color w:val="000000"/>
                                      <w:sz w:val="16"/>
                                    </w:rPr>
                                    <w:t>3</w:t>
                                  </w:r>
                                </w:p>
                              </w:tc>
                              <w:tc>
                                <w:tcPr>
                                  <w:tcW w:w="176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2025 Proxy Statement</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2pt;mso-wrap-distance-left:0pt;mso-wrap-distance-right:0pt;mso-wrap-distance-top:0pt;mso-wrap-distance-bottom:0pt;margin-top:0pt;mso-position-vertical:top;mso-position-vertical-relative:text;margin-left:0pt;mso-position-horizontal:left;mso-position-horizontal-relative:text">
                <v:textbox>
                  <w:txbxContent>
                    <w:tbl>
                      <w:tblPr>
                        <w:tblW w:w="3266" w:type="dxa"/>
                        <w:jc w:val="center"/>
                        <w:tblInd w:w="0" w:type="dxa"/>
                        <w:tblLayout w:type="fixed"/>
                        <w:tblCellMar>
                          <w:top w:w="28" w:type="dxa"/>
                          <w:left w:w="28" w:type="dxa"/>
                          <w:bottom w:w="28" w:type="dxa"/>
                          <w:right w:w="28" w:type="dxa"/>
                        </w:tblCellMar>
                      </w:tblPr>
                      <w:tblGrid>
                        <w:gridCol w:w="424"/>
                        <w:gridCol w:w="372"/>
                        <w:gridCol w:w="374"/>
                        <w:gridCol w:w="109"/>
                        <w:gridCol w:w="109"/>
                        <w:gridCol w:w="109"/>
                        <w:gridCol w:w="517"/>
                        <w:gridCol w:w="517"/>
                        <w:gridCol w:w="735"/>
                      </w:tblGrid>
                      <w:tr>
                        <w:trPr/>
                        <w:tc>
                          <w:tcPr>
                            <w:tcW w:w="424"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r>
                      <w:tr>
                        <w:trPr/>
                        <w:tc>
                          <w:tcPr>
                            <w:tcW w:w="1170"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6"/>
                              </w:rPr>
                            </w:pPr>
                            <w:r>
                              <w:rPr>
                                <w:rFonts w:ascii="Arial;sans-serif" w:hAnsi="Arial;sans-serif"/>
                                <w:b/>
                                <w:color w:val="000000"/>
                                <w:sz w:val="16"/>
                              </w:rPr>
                              <w:t>SI-BONE, Inc.</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000000"/>
                                <w:sz w:val="16"/>
                              </w:rPr>
                            </w:pPr>
                            <w:r>
                              <w:rPr>
                                <w:rFonts w:ascii="Arial;sans-serif" w:hAnsi="Arial;sans-serif"/>
                                <w:b/>
                                <w:color w:val="000000"/>
                                <w:sz w:val="16"/>
                              </w:rPr>
                              <w:t>3</w:t>
                            </w:r>
                          </w:p>
                        </w:tc>
                        <w:tc>
                          <w:tcPr>
                            <w:tcW w:w="176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2025 Proxy Statement</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right"/>
        <w:rPr>
          <w:rFonts w:ascii="Arial;sans-serif" w:hAnsi="Arial;sans-serif"/>
          <w:b w:val="false"/>
          <w:color w:val="000000"/>
          <w:sz w:val="16"/>
        </w:rPr>
      </w:pPr>
      <w:r>
        <w:rPr>
          <w:rFonts w:ascii="Arial;sans-serif" w:hAnsi="Arial;sans-serif"/>
          <w:b w:val="false"/>
          <w:color w:val="000000"/>
          <w:sz w:val="16"/>
        </w:rPr>
        <w:t>Table of Contents</w:t>
      </w:r>
    </w:p>
    <w:tbl>
      <w:tblPr>
        <w:tblW w:w="10205" w:type="dxa"/>
        <w:jc w:val="left"/>
        <w:tblInd w:w="0" w:type="dxa"/>
        <w:tblLayout w:type="fixed"/>
        <w:tblCellMar>
          <w:top w:w="28" w:type="dxa"/>
          <w:left w:w="28" w:type="dxa"/>
          <w:bottom w:w="28" w:type="dxa"/>
          <w:right w:w="28" w:type="dxa"/>
        </w:tblCellMar>
      </w:tblPr>
      <w:tblGrid>
        <w:gridCol w:w="124"/>
        <w:gridCol w:w="109"/>
        <w:gridCol w:w="109"/>
        <w:gridCol w:w="3161"/>
        <w:gridCol w:w="3161"/>
        <w:gridCol w:w="3168"/>
        <w:gridCol w:w="109"/>
        <w:gridCol w:w="109"/>
        <w:gridCol w:w="15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61" w:type="dxa"/>
            <w:tcBorders/>
            <w:vAlign w:val="center"/>
          </w:tcPr>
          <w:p>
            <w:pPr>
              <w:pStyle w:val="TableContents"/>
              <w:bidi w:val="0"/>
              <w:spacing w:before="0" w:after="283"/>
              <w:jc w:val="left"/>
              <w:rPr>
                <w:sz w:val="4"/>
                <w:szCs w:val="4"/>
              </w:rPr>
            </w:pPr>
            <w:r>
              <w:rPr>
                <w:sz w:val="4"/>
                <w:szCs w:val="4"/>
              </w:rPr>
            </w:r>
          </w:p>
        </w:tc>
        <w:tc>
          <w:tcPr>
            <w:tcW w:w="3161" w:type="dxa"/>
            <w:tcBorders/>
            <w:vAlign w:val="center"/>
          </w:tcPr>
          <w:p>
            <w:pPr>
              <w:pStyle w:val="TableContents"/>
              <w:bidi w:val="0"/>
              <w:spacing w:before="0" w:after="283"/>
              <w:jc w:val="left"/>
              <w:rPr>
                <w:sz w:val="4"/>
                <w:szCs w:val="4"/>
              </w:rPr>
            </w:pPr>
            <w:r>
              <w:rPr>
                <w:sz w:val="4"/>
                <w:szCs w:val="4"/>
              </w:rPr>
            </w:r>
          </w:p>
        </w:tc>
        <w:tc>
          <w:tcPr>
            <w:tcW w:w="31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74A33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0" w:type="dxa"/>
            <w:gridSpan w:val="3"/>
            <w:tcBorders/>
            <w:shd w:fill="74A33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shd w:fill="74A33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74A33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0" w:type="dxa"/>
            <w:gridSpan w:val="3"/>
            <w:tcBorders/>
            <w:shd w:fill="74A333"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FFFFFF"/>
                <w:sz w:val="20"/>
              </w:rPr>
            </w:pPr>
            <w:r>
              <w:rPr>
                <w:rFonts w:ascii="Arial;sans-serif" w:hAnsi="Arial;sans-serif"/>
                <w:b/>
                <w:color w:val="FFFFFF"/>
                <w:sz w:val="20"/>
              </w:rPr>
              <w:t xml:space="preserve">Internet proxy voting may be provided to allow you to vote your shares online, with procedures designed to ensure the authenticity and correctness of your proxy vote instructions. However, please be aware that you must bear any costs associated with your internet access, such as usage charges from internet access providers and telephone companies. </w:t>
            </w:r>
          </w:p>
        </w:tc>
        <w:tc>
          <w:tcPr>
            <w:tcW w:w="373" w:type="dxa"/>
            <w:gridSpan w:val="3"/>
            <w:tcBorders/>
            <w:shd w:fill="74A33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74A33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0" w:type="dxa"/>
            <w:gridSpan w:val="3"/>
            <w:tcBorders/>
            <w:shd w:fill="74A33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shd w:fill="74A33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180"/>
        <w:jc w:val="left"/>
        <w:rPr>
          <w:rFonts w:ascii="Arial;sans-serif" w:hAnsi="Arial;sans-serif"/>
          <w:b w:val="false"/>
          <w:color w:val="000000"/>
          <w:sz w:val="24"/>
        </w:rPr>
      </w:pPr>
      <w:r>
        <w:rPr>
          <w:rFonts w:ascii="Arial;sans-serif" w:hAnsi="Arial;sans-serif"/>
          <w:b w:val="false"/>
          <w:color w:val="000000"/>
          <w:sz w:val="24"/>
        </w:rPr>
        <w:t>HOW MANY VOTES DO I HAVE?</w:t>
      </w:r>
    </w:p>
    <w:p>
      <w:pPr>
        <w:pStyle w:val="TextBody"/>
        <w:bidi w:val="0"/>
        <w:spacing w:lineRule="auto" w:line="312" w:before="0" w:after="180"/>
        <w:jc w:val="left"/>
        <w:rPr>
          <w:rFonts w:ascii="Arial;sans-serif" w:hAnsi="Arial;sans-serif"/>
          <w:b w:val="false"/>
          <w:color w:val="000000"/>
          <w:sz w:val="18"/>
        </w:rPr>
      </w:pPr>
      <w:r>
        <w:rPr>
          <w:rFonts w:ascii="Arial;sans-serif" w:hAnsi="Arial;sans-serif"/>
          <w:b w:val="false"/>
          <w:color w:val="000000"/>
          <w:sz w:val="18"/>
        </w:rPr>
        <w:t>On each matter to be voted upon, you have one vote for each share of common stock you own as of April 7, 2025.</w:t>
      </w:r>
    </w:p>
    <w:p>
      <w:pPr>
        <w:pStyle w:val="TextBody"/>
        <w:bidi w:val="0"/>
        <w:spacing w:lineRule="auto" w:line="288" w:before="240" w:after="180"/>
        <w:jc w:val="left"/>
        <w:rPr>
          <w:rFonts w:ascii="Arial;sans-serif" w:hAnsi="Arial;sans-serif"/>
          <w:b w:val="false"/>
          <w:color w:val="000000"/>
          <w:sz w:val="24"/>
        </w:rPr>
      </w:pPr>
      <w:r>
        <w:rPr>
          <w:rFonts w:ascii="Arial;sans-serif" w:hAnsi="Arial;sans-serif"/>
          <w:b w:val="false"/>
          <w:color w:val="000000"/>
          <w:sz w:val="24"/>
        </w:rPr>
        <w:t>If I AM A STOCKHOLDER OF RECORD AND I DO NOT VOTE, OR IF I RETURN A PROXY CARD OR OTHERWISE VOTE WITHOUT GIVING SPECIFIC VOTING INSTRUCTIONS, WHAT HAPPENS?</w:t>
      </w:r>
    </w:p>
    <w:p>
      <w:pPr>
        <w:pStyle w:val="TextBody"/>
        <w:bidi w:val="0"/>
        <w:spacing w:lineRule="auto" w:line="312" w:before="0" w:after="180"/>
        <w:jc w:val="left"/>
        <w:rPr>
          <w:rFonts w:ascii="Arial;sans-serif" w:hAnsi="Arial;sans-serif"/>
          <w:b w:val="false"/>
          <w:color w:val="000000"/>
          <w:sz w:val="18"/>
        </w:rPr>
      </w:pPr>
      <w:r>
        <w:rPr>
          <w:rFonts w:ascii="Arial;sans-serif" w:hAnsi="Arial;sans-serif"/>
          <w:b w:val="false"/>
          <w:color w:val="000000"/>
          <w:sz w:val="18"/>
        </w:rPr>
        <w:t>If you are a stockholder of record and do not vote by completing your proxy card, by telephone, through the internet or via webcast at the Annual Meeting, your shares will not be voted.</w:t>
      </w:r>
    </w:p>
    <w:p>
      <w:pPr>
        <w:pStyle w:val="TextBody"/>
        <w:bidi w:val="0"/>
        <w:spacing w:lineRule="auto" w:line="312" w:before="0" w:after="180"/>
        <w:jc w:val="left"/>
        <w:rPr>
          <w:rFonts w:ascii="Arial;sans-serif" w:hAnsi="Arial;sans-serif"/>
          <w:b w:val="false"/>
          <w:color w:val="000000"/>
          <w:sz w:val="18"/>
        </w:rPr>
      </w:pPr>
      <w:r>
        <w:rPr>
          <w:rFonts w:ascii="Arial;sans-serif" w:hAnsi="Arial;sans-serif"/>
          <w:b w:val="false"/>
          <w:color w:val="000000"/>
          <w:sz w:val="18"/>
        </w:rPr>
        <w:t>If you return a signed and dated proxy card or otherwise vote without marking voting selections, your shares will be voted, as applicable, “For” the election of all of the nominees for director, “For” the ratification of selection by the Audit Committee of the Board of Directors of PricewaterhouseCoopers LLP as independent registered public accounting firm of SI-BONE for its fiscal year ending December 31, 2025, and “For” the advisory approval of the compensation of our named executive officers, as disclosed in this proxy statement in accordance with SEC rules. If any other matter is properly presented at the meeting, your proxy holder (one of the individuals named on your proxy card) will vote your shares using his or her best judgment.</w:t>
      </w:r>
    </w:p>
    <w:p>
      <w:pPr>
        <w:pStyle w:val="TextBody"/>
        <w:bidi w:val="0"/>
        <w:spacing w:lineRule="auto" w:line="288" w:before="240" w:after="180"/>
        <w:jc w:val="left"/>
        <w:rPr>
          <w:rFonts w:ascii="Arial;sans-serif" w:hAnsi="Arial;sans-serif"/>
          <w:b w:val="false"/>
          <w:color w:val="000000"/>
          <w:sz w:val="24"/>
        </w:rPr>
      </w:pPr>
      <w:r>
        <w:rPr>
          <w:rFonts w:ascii="Arial;sans-serif" w:hAnsi="Arial;sans-serif"/>
          <w:b w:val="false"/>
          <w:color w:val="000000"/>
          <w:sz w:val="24"/>
        </w:rPr>
        <w:t>IF I AM A BENEFICIAL OWNER OF SHARES HELD IN STREET NAME AND I DO NOT PROVIDE MY BROKER OR BANK WITH VOTING INSTRUCTIONS, WHAT HAPPENS?</w:t>
      </w:r>
    </w:p>
    <w:p>
      <w:pPr>
        <w:pStyle w:val="TextBody"/>
        <w:bidi w:val="0"/>
        <w:spacing w:lineRule="auto" w:line="312" w:before="0" w:after="180"/>
        <w:jc w:val="left"/>
        <w:rPr>
          <w:rFonts w:ascii="Arial;sans-serif" w:hAnsi="Arial;sans-serif"/>
          <w:b w:val="false"/>
          <w:color w:val="000000"/>
          <w:sz w:val="18"/>
        </w:rPr>
      </w:pPr>
      <w:r>
        <w:rPr>
          <w:rFonts w:ascii="Arial;sans-serif" w:hAnsi="Arial;sans-serif"/>
          <w:b w:val="false"/>
          <w:color w:val="000000"/>
          <w:sz w:val="18"/>
        </w:rPr>
        <w:t>If you are a beneficial owner of shares held in street name and you do not instruct your broker, bank or other agent how to vote your shares, your broker, bank or other agent may still be able to vote your shares in its discretion. In this regard, under the rules of the New York Stock Exchange (“NYSE”), brokers, banks and other securities intermediaries that are subject to NYSE rules may use their discretion to vote your “uninstructed” shares with respect to matters considered to be “routine” under NYSE rules, but not with respect to “non-routine” matters. In this regard, Proposals Nos. 1 and 3 are considered to be “non-routine” under NYSE rules meaning that your broker may not vote your shares on those proposals in the absence of your voting instructions. However, Proposal No. 2 is considered to be a “routine” matter under NYSE rules meaning that if you do not return voting instructions to your broker by its deadline, your shares may be voted by your broker in its discretion on Proposal No. 2.</w:t>
      </w:r>
    </w:p>
    <w:p>
      <w:pPr>
        <w:pStyle w:val="TextBody"/>
        <w:bidi w:val="0"/>
        <w:spacing w:lineRule="auto" w:line="288" w:before="240" w:after="180"/>
        <w:jc w:val="left"/>
        <w:rPr>
          <w:rFonts w:ascii="Arial;sans-serif" w:hAnsi="Arial;sans-serif"/>
          <w:b w:val="false"/>
          <w:color w:val="000000"/>
          <w:sz w:val="24"/>
        </w:rPr>
      </w:pPr>
      <w:r>
        <w:rPr>
          <w:rFonts w:ascii="Arial;sans-serif" w:hAnsi="Arial;sans-serif"/>
          <w:b w:val="false"/>
          <w:color w:val="000000"/>
          <w:sz w:val="24"/>
        </w:rPr>
        <w:t>WHO IS PAYING FOR THIS PROXY SOLICITATION?</w:t>
      </w:r>
    </w:p>
    <w:p>
      <w:pPr>
        <w:pStyle w:val="TextBody"/>
        <w:bidi w:val="0"/>
        <w:spacing w:lineRule="auto" w:line="312" w:before="0" w:after="180"/>
        <w:jc w:val="left"/>
        <w:rPr>
          <w:rFonts w:ascii="Arial;sans-serif" w:hAnsi="Arial;sans-serif"/>
          <w:b w:val="false"/>
          <w:color w:val="000000"/>
          <w:sz w:val="18"/>
        </w:rPr>
      </w:pPr>
      <w:r>
        <w:rPr>
          <w:rFonts w:ascii="Arial;sans-serif" w:hAnsi="Arial;sans-serif"/>
          <w:b w:val="false"/>
          <w:color w:val="000000"/>
          <w:sz w:val="18"/>
        </w:rPr>
        <w:t>We will pay for the entire cost of soliciting proxies. In addition to these proxy materials, our directors and employees may also solicit proxies in person, by telephone, or by other means of communication. Directors and employees will not be paid any additional compensation for soliciting proxies. We may also reimburse brokerage firms, banks and other agents for the cost of forwarding proxy materials to beneficial owners.</w:t>
      </w:r>
    </w:p>
    <w:p>
      <w:pPr>
        <w:pStyle w:val="TextBody"/>
        <w:bidi w:val="0"/>
        <w:spacing w:lineRule="auto" w:line="288" w:before="240" w:after="180"/>
        <w:jc w:val="left"/>
        <w:rPr>
          <w:rFonts w:ascii="Arial;sans-serif" w:hAnsi="Arial;sans-serif"/>
          <w:b w:val="false"/>
          <w:color w:val="000000"/>
          <w:sz w:val="24"/>
        </w:rPr>
      </w:pPr>
      <w:r>
        <w:rPr>
          <w:rFonts w:ascii="Arial;sans-serif" w:hAnsi="Arial;sans-serif"/>
          <w:b w:val="false"/>
          <w:color w:val="000000"/>
          <w:sz w:val="24"/>
        </w:rPr>
        <w:t>WHAT DOES IT MEAN IF I RECEIVE MORE THAN ONE NOTICE?</w:t>
      </w:r>
    </w:p>
    <w:p>
      <w:pPr>
        <w:pStyle w:val="TextBody"/>
        <w:bidi w:val="0"/>
        <w:spacing w:lineRule="auto" w:line="312" w:before="0" w:after="180"/>
        <w:jc w:val="left"/>
        <w:rPr>
          <w:rFonts w:ascii="Arial;sans-serif" w:hAnsi="Arial;sans-serif"/>
          <w:b w:val="false"/>
          <w:color w:val="000000"/>
          <w:sz w:val="18"/>
        </w:rPr>
      </w:pPr>
      <w:r>
        <w:rPr>
          <w:rFonts w:ascii="Arial;sans-serif" w:hAnsi="Arial;sans-serif"/>
          <w:b w:val="false"/>
          <w:color w:val="000000"/>
          <w:sz w:val="18"/>
        </w:rPr>
        <w:t>If you receive more than one Notice, your shares may be registered in more than one name or in different accounts. Please follow the voting instructions on the Notices to ensure that all of your shares are voted.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739140"/>
                <wp:effectExtent l="0" t="0" r="0" b="0"/>
                <wp:wrapNone/>
                <wp:docPr id="16" name="Frame9"/>
                <a:graphic xmlns:a="http://schemas.openxmlformats.org/drawingml/2006/main">
                  <a:graphicData uri="http://schemas.microsoft.com/office/word/2010/wordprocessingShape">
                    <wps:wsp>
                      <wps:cNvSpPr txBox="1"/>
                      <wps:spPr>
                        <a:xfrm>
                          <a:off x="0" y="0"/>
                          <a:ext cx="6480175" cy="739140"/>
                        </a:xfrm>
                        <a:prstGeom prst="rect"/>
                        <a:solidFill>
                          <a:srgbClr val="FFFFFF"/>
                        </a:solidFill>
                      </wps:spPr>
                      <wps:txbx>
                        <w:txbxContent>
                          <w:tbl>
                            <w:tblPr>
                              <w:tblW w:w="3266" w:type="dxa"/>
                              <w:jc w:val="center"/>
                              <w:tblInd w:w="0" w:type="dxa"/>
                              <w:tblLayout w:type="fixed"/>
                              <w:tblCellMar>
                                <w:top w:w="28" w:type="dxa"/>
                                <w:left w:w="28" w:type="dxa"/>
                                <w:bottom w:w="28" w:type="dxa"/>
                                <w:right w:w="28" w:type="dxa"/>
                              </w:tblCellMar>
                            </w:tblPr>
                            <w:tblGrid>
                              <w:gridCol w:w="424"/>
                              <w:gridCol w:w="372"/>
                              <w:gridCol w:w="374"/>
                              <w:gridCol w:w="109"/>
                              <w:gridCol w:w="109"/>
                              <w:gridCol w:w="109"/>
                              <w:gridCol w:w="517"/>
                              <w:gridCol w:w="517"/>
                              <w:gridCol w:w="735"/>
                            </w:tblGrid>
                            <w:tr>
                              <w:trPr/>
                              <w:tc>
                                <w:tcPr>
                                  <w:tcW w:w="424"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r>
                            <w:tr>
                              <w:trPr/>
                              <w:tc>
                                <w:tcPr>
                                  <w:tcW w:w="1170"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6"/>
                                    </w:rPr>
                                  </w:pPr>
                                  <w:r>
                                    <w:rPr>
                                      <w:rFonts w:ascii="Arial;sans-serif" w:hAnsi="Arial;sans-serif"/>
                                      <w:b/>
                                      <w:color w:val="000000"/>
                                      <w:sz w:val="16"/>
                                    </w:rPr>
                                    <w:t>SI-BONE, Inc.</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000000"/>
                                      <w:sz w:val="16"/>
                                    </w:rPr>
                                  </w:pPr>
                                  <w:r>
                                    <w:rPr>
                                      <w:rFonts w:ascii="Arial;sans-serif" w:hAnsi="Arial;sans-serif"/>
                                      <w:b/>
                                      <w:color w:val="000000"/>
                                      <w:sz w:val="16"/>
                                    </w:rPr>
                                    <w:t>4</w:t>
                                  </w:r>
                                </w:p>
                              </w:tc>
                              <w:tc>
                                <w:tcPr>
                                  <w:tcW w:w="176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2025 Proxy Statement</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2pt;mso-wrap-distance-left:0pt;mso-wrap-distance-right:0pt;mso-wrap-distance-top:0pt;mso-wrap-distance-bottom:0pt;margin-top:0pt;mso-position-vertical:top;mso-position-vertical-relative:text;margin-left:0pt;mso-position-horizontal:left;mso-position-horizontal-relative:text">
                <v:textbox>
                  <w:txbxContent>
                    <w:tbl>
                      <w:tblPr>
                        <w:tblW w:w="3266" w:type="dxa"/>
                        <w:jc w:val="center"/>
                        <w:tblInd w:w="0" w:type="dxa"/>
                        <w:tblLayout w:type="fixed"/>
                        <w:tblCellMar>
                          <w:top w:w="28" w:type="dxa"/>
                          <w:left w:w="28" w:type="dxa"/>
                          <w:bottom w:w="28" w:type="dxa"/>
                          <w:right w:w="28" w:type="dxa"/>
                        </w:tblCellMar>
                      </w:tblPr>
                      <w:tblGrid>
                        <w:gridCol w:w="424"/>
                        <w:gridCol w:w="372"/>
                        <w:gridCol w:w="374"/>
                        <w:gridCol w:w="109"/>
                        <w:gridCol w:w="109"/>
                        <w:gridCol w:w="109"/>
                        <w:gridCol w:w="517"/>
                        <w:gridCol w:w="517"/>
                        <w:gridCol w:w="735"/>
                      </w:tblGrid>
                      <w:tr>
                        <w:trPr/>
                        <w:tc>
                          <w:tcPr>
                            <w:tcW w:w="424"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r>
                      <w:tr>
                        <w:trPr/>
                        <w:tc>
                          <w:tcPr>
                            <w:tcW w:w="1170"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6"/>
                              </w:rPr>
                            </w:pPr>
                            <w:r>
                              <w:rPr>
                                <w:rFonts w:ascii="Arial;sans-serif" w:hAnsi="Arial;sans-serif"/>
                                <w:b/>
                                <w:color w:val="000000"/>
                                <w:sz w:val="16"/>
                              </w:rPr>
                              <w:t>SI-BONE, Inc.</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000000"/>
                                <w:sz w:val="16"/>
                              </w:rPr>
                            </w:pPr>
                            <w:r>
                              <w:rPr>
                                <w:rFonts w:ascii="Arial;sans-serif" w:hAnsi="Arial;sans-serif"/>
                                <w:b/>
                                <w:color w:val="000000"/>
                                <w:sz w:val="16"/>
                              </w:rPr>
                              <w:t>4</w:t>
                            </w:r>
                          </w:p>
                        </w:tc>
                        <w:tc>
                          <w:tcPr>
                            <w:tcW w:w="176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2025 Proxy Statement</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right"/>
        <w:rPr>
          <w:rFonts w:ascii="Arial;sans-serif" w:hAnsi="Arial;sans-serif"/>
          <w:b w:val="false"/>
          <w:color w:val="000000"/>
          <w:sz w:val="16"/>
        </w:rPr>
      </w:pPr>
      <w:r>
        <w:rPr>
          <w:rFonts w:ascii="Arial;sans-serif" w:hAnsi="Arial;sans-serif"/>
          <w:b w:val="false"/>
          <w:color w:val="000000"/>
          <w:sz w:val="16"/>
        </w:rPr>
        <w:t>Table of Contents</w:t>
      </w:r>
    </w:p>
    <w:p>
      <w:pPr>
        <w:pStyle w:val="TextBody"/>
        <w:bidi w:val="0"/>
        <w:spacing w:lineRule="auto" w:line="288" w:before="240" w:after="180"/>
        <w:jc w:val="left"/>
        <w:rPr>
          <w:rFonts w:ascii="Arial;sans-serif" w:hAnsi="Arial;sans-serif"/>
          <w:b w:val="false"/>
          <w:color w:val="000000"/>
          <w:sz w:val="24"/>
        </w:rPr>
      </w:pPr>
      <w:r>
        <w:rPr>
          <w:rFonts w:ascii="Arial;sans-serif" w:hAnsi="Arial;sans-serif"/>
          <w:b w:val="false"/>
          <w:color w:val="000000"/>
          <w:sz w:val="24"/>
        </w:rPr>
        <w:t>CAN I CHANGE MY VOTE AFTER SUBMITTING MY PROXY?</w:t>
      </w:r>
    </w:p>
    <w:p>
      <w:pPr>
        <w:pStyle w:val="TextBody"/>
        <w:bidi w:val="0"/>
        <w:spacing w:lineRule="auto" w:line="312" w:before="0" w:after="140"/>
        <w:jc w:val="left"/>
        <w:rPr>
          <w:rFonts w:ascii="Arial;sans-serif" w:hAnsi="Arial;sans-serif"/>
          <w:b/>
          <w:color w:val="74A333"/>
          <w:sz w:val="18"/>
        </w:rPr>
      </w:pPr>
      <w:r>
        <w:rPr>
          <w:rFonts w:ascii="Arial;sans-serif" w:hAnsi="Arial;sans-serif"/>
          <w:b/>
          <w:color w:val="74A333"/>
          <w:sz w:val="18"/>
        </w:rPr>
        <w:t>Stockholder of Record: Shares Registered in Your Name</w:t>
      </w:r>
    </w:p>
    <w:p>
      <w:pPr>
        <w:pStyle w:val="TextBody"/>
        <w:bidi w:val="0"/>
        <w:spacing w:lineRule="auto" w:line="312" w:before="0" w:after="140"/>
        <w:jc w:val="left"/>
        <w:rPr>
          <w:rFonts w:ascii="Arial;sans-serif" w:hAnsi="Arial;sans-serif"/>
          <w:b w:val="false"/>
          <w:color w:val="000000"/>
          <w:sz w:val="18"/>
        </w:rPr>
      </w:pPr>
      <w:r>
        <w:rPr>
          <w:rFonts w:ascii="Arial;sans-serif" w:hAnsi="Arial;sans-serif"/>
          <w:b w:val="false"/>
          <w:color w:val="000000"/>
          <w:sz w:val="18"/>
        </w:rPr>
        <w:t>Yes. You can revoke your proxy at any time before the final vote at the meeting. If you are the record holder of your shares, you may revoke your proxy in any one of the following ways:</w:t>
      </w:r>
    </w:p>
    <w:p>
      <w:pPr>
        <w:pStyle w:val="TextBody"/>
        <w:bidi w:val="0"/>
        <w:spacing w:lineRule="auto" w:line="312" w:before="0" w:after="60"/>
        <w:ind w:left="0" w:right="0" w:hanging="360"/>
        <w:jc w:val="left"/>
        <w:rPr/>
      </w:pPr>
      <w:r>
        <w:rPr>
          <w:color w:val="000000"/>
        </w:rPr>
        <w:t>•</w:t>
      </w:r>
      <w:r>
        <w:rPr>
          <w:rFonts w:ascii="Arial;sans-serif" w:hAnsi="Arial;sans-serif"/>
          <w:b w:val="false"/>
          <w:color w:val="000000"/>
          <w:sz w:val="18"/>
        </w:rPr>
        <w:t>You may submit another properly completed proxy card with a later date.</w:t>
      </w:r>
    </w:p>
    <w:p>
      <w:pPr>
        <w:pStyle w:val="TextBody"/>
        <w:bidi w:val="0"/>
        <w:spacing w:lineRule="auto" w:line="312" w:before="0" w:after="60"/>
        <w:ind w:left="0" w:right="0" w:hanging="360"/>
        <w:jc w:val="left"/>
        <w:rPr/>
      </w:pPr>
      <w:r>
        <w:rPr>
          <w:color w:val="000000"/>
        </w:rPr>
        <w:t>•</w:t>
      </w:r>
      <w:r>
        <w:rPr>
          <w:rFonts w:ascii="Arial;sans-serif" w:hAnsi="Arial;sans-serif"/>
          <w:b w:val="false"/>
          <w:color w:val="000000"/>
          <w:sz w:val="18"/>
        </w:rPr>
        <w:t>You may grant a subsequent proxy by telephone or through the internet.</w:t>
      </w:r>
    </w:p>
    <w:p>
      <w:pPr>
        <w:pStyle w:val="TextBody"/>
        <w:bidi w:val="0"/>
        <w:spacing w:lineRule="auto" w:line="312" w:before="0" w:after="60"/>
        <w:ind w:left="0" w:right="0" w:hanging="360"/>
        <w:jc w:val="left"/>
        <w:rPr/>
      </w:pPr>
      <w:r>
        <w:rPr>
          <w:color w:val="000000"/>
        </w:rPr>
        <w:t>•</w:t>
      </w:r>
      <w:r>
        <w:rPr>
          <w:rFonts w:ascii="Arial;sans-serif" w:hAnsi="Arial;sans-serif"/>
          <w:b w:val="false"/>
          <w:color w:val="000000"/>
          <w:sz w:val="18"/>
        </w:rPr>
        <w:t>You may send a timely written notice that you are revoking your proxy to the attention of our Chief Business &amp; Legal Affairs Officer and Secretary at 471 El Camino Real, Suite 101, Santa Clara, California 95050.</w:t>
      </w:r>
    </w:p>
    <w:p>
      <w:pPr>
        <w:pStyle w:val="TextBody"/>
        <w:bidi w:val="0"/>
        <w:spacing w:lineRule="auto" w:line="312" w:before="0" w:after="140"/>
        <w:ind w:left="0" w:right="0" w:hanging="360"/>
        <w:jc w:val="left"/>
        <w:rPr/>
      </w:pPr>
      <w:r>
        <w:rPr>
          <w:color w:val="000000"/>
        </w:rPr>
        <w:t>•</w:t>
      </w:r>
      <w:r>
        <w:rPr>
          <w:rFonts w:ascii="Arial;sans-serif" w:hAnsi="Arial;sans-serif"/>
          <w:b w:val="false"/>
          <w:color w:val="000000"/>
          <w:sz w:val="18"/>
        </w:rPr>
        <w:t>You may attend the Annual Meeting and vote via webcast. Simply attending the meeting will not, by itself, revoke your proxy.</w:t>
      </w:r>
    </w:p>
    <w:p>
      <w:pPr>
        <w:pStyle w:val="TextBody"/>
        <w:bidi w:val="0"/>
        <w:spacing w:lineRule="auto" w:line="312" w:before="0" w:after="140"/>
        <w:jc w:val="left"/>
        <w:rPr>
          <w:rFonts w:ascii="Arial;sans-serif" w:hAnsi="Arial;sans-serif"/>
          <w:b w:val="false"/>
          <w:color w:val="000000"/>
          <w:sz w:val="18"/>
        </w:rPr>
      </w:pPr>
      <w:r>
        <w:rPr>
          <w:rFonts w:ascii="Arial;sans-serif" w:hAnsi="Arial;sans-serif"/>
          <w:b w:val="false"/>
          <w:color w:val="000000"/>
          <w:sz w:val="18"/>
        </w:rPr>
        <w:t>Your most current proxy card or telephone or internet proxy is the one that is counted.</w:t>
      </w:r>
    </w:p>
    <w:p>
      <w:pPr>
        <w:pStyle w:val="TextBody"/>
        <w:bidi w:val="0"/>
        <w:spacing w:lineRule="auto" w:line="312" w:before="0" w:after="140"/>
        <w:jc w:val="left"/>
        <w:rPr>
          <w:rFonts w:ascii="Arial;sans-serif" w:hAnsi="Arial;sans-serif"/>
          <w:b/>
          <w:color w:val="74A333"/>
          <w:sz w:val="18"/>
        </w:rPr>
      </w:pPr>
      <w:r>
        <w:rPr>
          <w:rFonts w:ascii="Arial;sans-serif" w:hAnsi="Arial;sans-serif"/>
          <w:b/>
          <w:color w:val="74A333"/>
          <w:sz w:val="18"/>
        </w:rPr>
        <w:t>Beneficial Owner: Shares Registered in the Name of Broker or Bank</w:t>
      </w:r>
    </w:p>
    <w:p>
      <w:pPr>
        <w:pStyle w:val="TextBody"/>
        <w:bidi w:val="0"/>
        <w:spacing w:lineRule="auto" w:line="312" w:before="0" w:after="180"/>
        <w:jc w:val="left"/>
        <w:rPr>
          <w:rFonts w:ascii="Arial;sans-serif" w:hAnsi="Arial;sans-serif"/>
          <w:b w:val="false"/>
          <w:color w:val="000000"/>
          <w:sz w:val="18"/>
        </w:rPr>
      </w:pPr>
      <w:r>
        <w:rPr>
          <w:rFonts w:ascii="Arial;sans-serif" w:hAnsi="Arial;sans-serif"/>
          <w:b w:val="false"/>
          <w:color w:val="000000"/>
          <w:sz w:val="18"/>
        </w:rPr>
        <w:t>If your shares are held by your broker, bank or other agent, you should follow the instructions provided by your broker, bank or other agent, or you may attend the virtual Annual Meeting and vote online. Simply attending the meeting will not, by itself, revoke your proxy.</w:t>
      </w:r>
    </w:p>
    <w:p>
      <w:pPr>
        <w:pStyle w:val="TextBody"/>
        <w:bidi w:val="0"/>
        <w:spacing w:lineRule="auto" w:line="288" w:before="240" w:after="180"/>
        <w:jc w:val="left"/>
        <w:rPr>
          <w:rFonts w:ascii="Arial;sans-serif" w:hAnsi="Arial;sans-serif"/>
          <w:b w:val="false"/>
          <w:color w:val="000000"/>
          <w:sz w:val="24"/>
        </w:rPr>
      </w:pPr>
      <w:r>
        <w:rPr>
          <w:rFonts w:ascii="Arial;sans-serif" w:hAnsi="Arial;sans-serif"/>
          <w:b w:val="false"/>
          <w:color w:val="000000"/>
          <w:sz w:val="24"/>
        </w:rPr>
        <w:t>WHEN ARE STOCKHOLDER PROPOSALS DUE FOR NEXT YEAR’S ANNUAL MEETING?</w:t>
      </w:r>
    </w:p>
    <w:p>
      <w:pPr>
        <w:pStyle w:val="TextBody"/>
        <w:bidi w:val="0"/>
        <w:spacing w:lineRule="auto" w:line="312" w:before="0" w:after="180"/>
        <w:jc w:val="left"/>
        <w:rPr>
          <w:rFonts w:ascii="Arial;sans-serif" w:hAnsi="Arial;sans-serif"/>
          <w:b w:val="false"/>
          <w:color w:val="000000"/>
          <w:sz w:val="18"/>
        </w:rPr>
      </w:pPr>
      <w:r>
        <w:rPr>
          <w:rFonts w:ascii="Arial;sans-serif" w:hAnsi="Arial;sans-serif"/>
          <w:b w:val="false"/>
          <w:color w:val="000000"/>
          <w:sz w:val="18"/>
        </w:rPr>
        <w:t>To be considered for inclusion in next year’s proxy materials, your proposal must be submitted in writing by December 26, 2025, to SI-BONE, Inc., Attn: Chief Business &amp; Legal Affairs Officer, 471 El Camino Real, Suite 101, Santa Clara, California 95050; provided, however, that if the 2025 annual meeting of stockholders is held before May 6, 2026 or after July 5, 2026, then your proposal must be submitted in writing a reasonable amount of time before the 2026 annual meeting of stockholders.</w:t>
      </w:r>
    </w:p>
    <w:p>
      <w:pPr>
        <w:pStyle w:val="TextBody"/>
        <w:bidi w:val="0"/>
        <w:spacing w:lineRule="auto" w:line="312" w:before="0" w:after="180"/>
        <w:jc w:val="left"/>
        <w:rPr>
          <w:rFonts w:ascii="Arial;sans-serif" w:hAnsi="Arial;sans-serif"/>
          <w:b w:val="false"/>
          <w:color w:val="000000"/>
          <w:sz w:val="18"/>
        </w:rPr>
      </w:pPr>
      <w:r>
        <w:rPr>
          <w:rFonts w:ascii="Arial;sans-serif" w:hAnsi="Arial;sans-serif"/>
          <w:b w:val="false"/>
          <w:color w:val="000000"/>
          <w:sz w:val="18"/>
        </w:rPr>
        <w:t>If you wish to submit a proposal (including a director nomination) at the meeting that is not to be included in next year’s proxy materials, your proposal must be submitted in writing and received by our Secretary at our executive offices located at 471 El Camino Real, Suite 101, Santa Clara, California 95050, not later than the close of business on March 7, 2026, nor earlier than the close of business on February 5, 2026; provided, however, that in the event that the date of the annual meeting is held earlier than May 6, 2026, or held later than July 5, 2026, notice by the stockholder to be timely must be so received no earlier than the close of business on the one hundred twentieth (120th) day prior to such annual meeting and not later than the close of business on the later of the ninetieth (90th) day prior to such annual meeting or the tenth (10th) day following the day on which public announcement of the date of such meeting is first made.</w:t>
      </w:r>
    </w:p>
    <w:p>
      <w:pPr>
        <w:pStyle w:val="TextBody"/>
        <w:bidi w:val="0"/>
        <w:spacing w:lineRule="auto" w:line="312" w:before="0" w:after="180"/>
        <w:jc w:val="left"/>
        <w:rPr>
          <w:rFonts w:ascii="Arial;sans-serif" w:hAnsi="Arial;sans-serif"/>
          <w:b w:val="false"/>
          <w:color w:val="000000"/>
          <w:sz w:val="18"/>
        </w:rPr>
      </w:pPr>
      <w:r>
        <w:rPr>
          <w:rFonts w:ascii="Arial;sans-serif" w:hAnsi="Arial;sans-serif"/>
          <w:b w:val="false"/>
          <w:color w:val="000000"/>
          <w:sz w:val="18"/>
        </w:rPr>
        <w:t>In addition, to comply with the universal proxy rules, stockholders who intend to solicit proxies in support of director nominees other than our nominees must provide notice that sets forth the information required by Rule 14a-19 under the Exchange Act no later than April 6, 2026; provided, however, that, in the event that the Annual Meeting is held before May 6, 2026, or after July 5, 2026, for your notice to be timely, it must be so received by the Secretary not earlier than the close of business on the date the later of sixty (60) days prior to such annual meeting and the tenth (10th) day following the day on which public announcement of the date of such meeting is first made by us.</w:t>
      </w:r>
    </w:p>
    <w:p>
      <w:pPr>
        <w:pStyle w:val="TextBody"/>
        <w:bidi w:val="0"/>
        <w:spacing w:lineRule="auto" w:line="312" w:before="0" w:after="180"/>
        <w:jc w:val="left"/>
        <w:rPr>
          <w:rFonts w:ascii="Arial;sans-serif" w:hAnsi="Arial;sans-serif"/>
          <w:b w:val="false"/>
          <w:color w:val="000000"/>
          <w:sz w:val="18"/>
        </w:rPr>
      </w:pPr>
      <w:r>
        <w:rPr>
          <w:rFonts w:ascii="Arial;sans-serif" w:hAnsi="Arial;sans-serif"/>
          <w:b w:val="false"/>
          <w:color w:val="000000"/>
          <w:sz w:val="18"/>
        </w:rPr>
        <w:t>Stockholders wishing to make stockholder proposals or nominations for directors should consult our bylaws and Rule 14a-19 under the Exchange Act, which contain additional requirements and information regarding these matters.</w:t>
      </w:r>
    </w:p>
    <w:p>
      <w:pPr>
        <w:pStyle w:val="TextBody"/>
        <w:bidi w:val="0"/>
        <w:spacing w:lineRule="auto" w:line="288" w:before="240" w:after="180"/>
        <w:jc w:val="left"/>
        <w:rPr>
          <w:rFonts w:ascii="Arial;sans-serif" w:hAnsi="Arial;sans-serif"/>
          <w:b w:val="false"/>
          <w:color w:val="000000"/>
          <w:sz w:val="24"/>
        </w:rPr>
      </w:pPr>
      <w:r>
        <w:rPr>
          <w:rFonts w:ascii="Arial;sans-serif" w:hAnsi="Arial;sans-serif"/>
          <w:b w:val="false"/>
          <w:color w:val="000000"/>
          <w:sz w:val="24"/>
        </w:rPr>
        <w:t>HOW ARE VOTES COUNTED?</w:t>
      </w:r>
    </w:p>
    <w:p>
      <w:pPr>
        <w:pStyle w:val="TextBody"/>
        <w:bidi w:val="0"/>
        <w:spacing w:lineRule="auto" w:line="312" w:before="0" w:after="140"/>
        <w:jc w:val="left"/>
        <w:rPr>
          <w:rFonts w:ascii="Arial;sans-serif" w:hAnsi="Arial;sans-serif"/>
          <w:b w:val="false"/>
          <w:color w:val="000000"/>
          <w:sz w:val="18"/>
        </w:rPr>
      </w:pPr>
      <w:r>
        <w:rPr>
          <w:rFonts w:ascii="Arial;sans-serif" w:hAnsi="Arial;sans-serif"/>
          <w:b w:val="false"/>
          <w:color w:val="000000"/>
          <w:sz w:val="18"/>
        </w:rPr>
        <w:t>Votes will be counted by the inspector of election appointed for the meeting, who will separately count, (a) for the proposal to elect directors, votes “For,” votes “Withheld” and broker non-votes, (b) with respect to the ratification of selection by the Audit Committee of the Board of Directors of PricewaterhouseCoopers LLP as independent registered public accounting firm of SI-BONE for its fiscal year ending December 31, 2025 and the advisory approval of the compensation of our named executive officers, as disclosed in this proxy statement in accordance with SEC rules, votes “For” and “Against,” abstentions and, if applicable, broker non-votes, and (c) for any other proposals, votes “For” and “Against,” abstentions and, if applicable, broker non-votes.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739140"/>
                <wp:effectExtent l="0" t="0" r="0" b="0"/>
                <wp:wrapNone/>
                <wp:docPr id="17" name="Frame10"/>
                <a:graphic xmlns:a="http://schemas.openxmlformats.org/drawingml/2006/main">
                  <a:graphicData uri="http://schemas.microsoft.com/office/word/2010/wordprocessingShape">
                    <wps:wsp>
                      <wps:cNvSpPr txBox="1"/>
                      <wps:spPr>
                        <a:xfrm>
                          <a:off x="0" y="0"/>
                          <a:ext cx="6480175" cy="739140"/>
                        </a:xfrm>
                        <a:prstGeom prst="rect"/>
                        <a:solidFill>
                          <a:srgbClr val="FFFFFF"/>
                        </a:solidFill>
                      </wps:spPr>
                      <wps:txbx>
                        <w:txbxContent>
                          <w:tbl>
                            <w:tblPr>
                              <w:tblW w:w="3266" w:type="dxa"/>
                              <w:jc w:val="center"/>
                              <w:tblInd w:w="0" w:type="dxa"/>
                              <w:tblLayout w:type="fixed"/>
                              <w:tblCellMar>
                                <w:top w:w="28" w:type="dxa"/>
                                <w:left w:w="28" w:type="dxa"/>
                                <w:bottom w:w="28" w:type="dxa"/>
                                <w:right w:w="28" w:type="dxa"/>
                              </w:tblCellMar>
                            </w:tblPr>
                            <w:tblGrid>
                              <w:gridCol w:w="424"/>
                              <w:gridCol w:w="372"/>
                              <w:gridCol w:w="374"/>
                              <w:gridCol w:w="109"/>
                              <w:gridCol w:w="109"/>
                              <w:gridCol w:w="109"/>
                              <w:gridCol w:w="517"/>
                              <w:gridCol w:w="517"/>
                              <w:gridCol w:w="735"/>
                            </w:tblGrid>
                            <w:tr>
                              <w:trPr/>
                              <w:tc>
                                <w:tcPr>
                                  <w:tcW w:w="424"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r>
                            <w:tr>
                              <w:trPr/>
                              <w:tc>
                                <w:tcPr>
                                  <w:tcW w:w="1170"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6"/>
                                    </w:rPr>
                                  </w:pPr>
                                  <w:r>
                                    <w:rPr>
                                      <w:rFonts w:ascii="Arial;sans-serif" w:hAnsi="Arial;sans-serif"/>
                                      <w:b/>
                                      <w:color w:val="000000"/>
                                      <w:sz w:val="16"/>
                                    </w:rPr>
                                    <w:t>SI-BONE, Inc.</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000000"/>
                                      <w:sz w:val="16"/>
                                    </w:rPr>
                                  </w:pPr>
                                  <w:r>
                                    <w:rPr>
                                      <w:rFonts w:ascii="Arial;sans-serif" w:hAnsi="Arial;sans-serif"/>
                                      <w:b/>
                                      <w:color w:val="000000"/>
                                      <w:sz w:val="16"/>
                                    </w:rPr>
                                    <w:t>5</w:t>
                                  </w:r>
                                </w:p>
                              </w:tc>
                              <w:tc>
                                <w:tcPr>
                                  <w:tcW w:w="176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2025 Proxy Statement</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2pt;mso-wrap-distance-left:0pt;mso-wrap-distance-right:0pt;mso-wrap-distance-top:0pt;mso-wrap-distance-bottom:0pt;margin-top:0pt;mso-position-vertical:top;mso-position-vertical-relative:text;margin-left:0pt;mso-position-horizontal:left;mso-position-horizontal-relative:text">
                <v:textbox>
                  <w:txbxContent>
                    <w:tbl>
                      <w:tblPr>
                        <w:tblW w:w="3266" w:type="dxa"/>
                        <w:jc w:val="center"/>
                        <w:tblInd w:w="0" w:type="dxa"/>
                        <w:tblLayout w:type="fixed"/>
                        <w:tblCellMar>
                          <w:top w:w="28" w:type="dxa"/>
                          <w:left w:w="28" w:type="dxa"/>
                          <w:bottom w:w="28" w:type="dxa"/>
                          <w:right w:w="28" w:type="dxa"/>
                        </w:tblCellMar>
                      </w:tblPr>
                      <w:tblGrid>
                        <w:gridCol w:w="424"/>
                        <w:gridCol w:w="372"/>
                        <w:gridCol w:w="374"/>
                        <w:gridCol w:w="109"/>
                        <w:gridCol w:w="109"/>
                        <w:gridCol w:w="109"/>
                        <w:gridCol w:w="517"/>
                        <w:gridCol w:w="517"/>
                        <w:gridCol w:w="735"/>
                      </w:tblGrid>
                      <w:tr>
                        <w:trPr/>
                        <w:tc>
                          <w:tcPr>
                            <w:tcW w:w="424"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r>
                      <w:tr>
                        <w:trPr/>
                        <w:tc>
                          <w:tcPr>
                            <w:tcW w:w="1170"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6"/>
                              </w:rPr>
                            </w:pPr>
                            <w:r>
                              <w:rPr>
                                <w:rFonts w:ascii="Arial;sans-serif" w:hAnsi="Arial;sans-serif"/>
                                <w:b/>
                                <w:color w:val="000000"/>
                                <w:sz w:val="16"/>
                              </w:rPr>
                              <w:t>SI-BONE, Inc.</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000000"/>
                                <w:sz w:val="16"/>
                              </w:rPr>
                            </w:pPr>
                            <w:r>
                              <w:rPr>
                                <w:rFonts w:ascii="Arial;sans-serif" w:hAnsi="Arial;sans-serif"/>
                                <w:b/>
                                <w:color w:val="000000"/>
                                <w:sz w:val="16"/>
                              </w:rPr>
                              <w:t>5</w:t>
                            </w:r>
                          </w:p>
                        </w:tc>
                        <w:tc>
                          <w:tcPr>
                            <w:tcW w:w="176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2025 Proxy Statement</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right"/>
        <w:rPr>
          <w:rFonts w:ascii="Arial;sans-serif" w:hAnsi="Arial;sans-serif"/>
          <w:b w:val="false"/>
          <w:color w:val="000000"/>
          <w:sz w:val="16"/>
        </w:rPr>
      </w:pPr>
      <w:r>
        <w:rPr>
          <w:rFonts w:ascii="Arial;sans-serif" w:hAnsi="Arial;sans-serif"/>
          <w:b w:val="false"/>
          <w:color w:val="000000"/>
          <w:sz w:val="16"/>
        </w:rPr>
        <w:t>Table of Contents</w:t>
      </w:r>
    </w:p>
    <w:p>
      <w:pPr>
        <w:pStyle w:val="TextBody"/>
        <w:bidi w:val="0"/>
        <w:spacing w:lineRule="auto" w:line="312" w:before="0" w:after="140"/>
        <w:jc w:val="left"/>
        <w:rPr>
          <w:rFonts w:ascii="Arial;sans-serif" w:hAnsi="Arial;sans-serif"/>
          <w:b w:val="false"/>
          <w:color w:val="000000"/>
          <w:sz w:val="18"/>
        </w:rPr>
      </w:pPr>
      <w:r>
        <w:rPr>
          <w:rFonts w:ascii="Arial;sans-serif" w:hAnsi="Arial;sans-serif"/>
          <w:b w:val="false"/>
          <w:color w:val="000000"/>
          <w:sz w:val="18"/>
        </w:rPr>
        <w:t>Abstentions will be counted towards the vote total for each of Proposals No. 2 and No. 3 and will have the same effect as “Against” votes. Broker non-votes on Proposals No. 1 and No. 3 will have no effect and will not be counted towards the vote total for any of those proposals. As Proposal No. 2 is a “routine” matter we do not expect there to be any broker non-votes, but if there are broker non-votes, they will have no effect and will not be counted towards the vote total.</w:t>
      </w:r>
    </w:p>
    <w:p>
      <w:pPr>
        <w:pStyle w:val="TextBody"/>
        <w:bidi w:val="0"/>
        <w:spacing w:lineRule="auto" w:line="288" w:before="240" w:after="140"/>
        <w:jc w:val="left"/>
        <w:rPr>
          <w:rFonts w:ascii="Arial;sans-serif" w:hAnsi="Arial;sans-serif"/>
          <w:b w:val="false"/>
          <w:color w:val="000000"/>
          <w:sz w:val="24"/>
        </w:rPr>
      </w:pPr>
      <w:r>
        <w:rPr>
          <w:rFonts w:ascii="Arial;sans-serif" w:hAnsi="Arial;sans-serif"/>
          <w:b w:val="false"/>
          <w:color w:val="000000"/>
          <w:sz w:val="24"/>
        </w:rPr>
        <w:t>WHAT ARE “BROKER NON-VOTES”?</w:t>
      </w:r>
    </w:p>
    <w:p>
      <w:pPr>
        <w:pStyle w:val="TextBody"/>
        <w:bidi w:val="0"/>
        <w:spacing w:lineRule="auto" w:line="312" w:before="0" w:after="140"/>
        <w:jc w:val="left"/>
        <w:rPr>
          <w:rFonts w:ascii="Arial;sans-serif" w:hAnsi="Arial;sans-serif"/>
          <w:b w:val="false"/>
          <w:color w:val="000000"/>
          <w:sz w:val="18"/>
        </w:rPr>
      </w:pPr>
      <w:r>
        <w:rPr>
          <w:rFonts w:ascii="Arial;sans-serif" w:hAnsi="Arial;sans-serif"/>
          <w:b w:val="false"/>
          <w:color w:val="000000"/>
          <w:sz w:val="18"/>
        </w:rPr>
        <w:t>As discussed above, when a beneficial owner of shares held in street name does not give voting instructions to his or her broker, bank or other securities intermediary holding his or her shares as to how to vote on matters deemed to be “non-routine” under NYSE rules, the broker, bank or other such agent cannot vote the shares. These un-voted shares are counted as “broker non-votes.”</w:t>
      </w:r>
    </w:p>
    <w:p>
      <w:pPr>
        <w:pStyle w:val="TextBody"/>
        <w:bidi w:val="0"/>
        <w:spacing w:lineRule="auto" w:line="288" w:before="240" w:after="140"/>
        <w:jc w:val="left"/>
        <w:rPr>
          <w:rFonts w:ascii="Arial;sans-serif" w:hAnsi="Arial;sans-serif"/>
          <w:b w:val="false"/>
          <w:color w:val="000000"/>
          <w:sz w:val="24"/>
        </w:rPr>
      </w:pPr>
      <w:r>
        <w:rPr>
          <w:rFonts w:ascii="Arial;sans-serif" w:hAnsi="Arial;sans-serif"/>
          <w:b w:val="false"/>
          <w:color w:val="000000"/>
          <w:sz w:val="24"/>
        </w:rPr>
        <w:t>HOW MANY VOTES ARE NEEDED TO APPROVE EACH PROPOSAL?</w:t>
      </w:r>
    </w:p>
    <w:p>
      <w:pPr>
        <w:pStyle w:val="TextBody"/>
        <w:bidi w:val="0"/>
        <w:spacing w:lineRule="auto" w:line="312" w:before="0" w:after="60"/>
        <w:jc w:val="left"/>
        <w:rPr>
          <w:rFonts w:ascii="Arial;sans-serif" w:hAnsi="Arial;sans-serif"/>
          <w:b w:val="false"/>
          <w:color w:val="000000"/>
          <w:sz w:val="18"/>
        </w:rPr>
      </w:pPr>
      <w:r>
        <w:rPr>
          <w:rFonts w:ascii="Arial;sans-serif" w:hAnsi="Arial;sans-serif"/>
          <w:b w:val="false"/>
          <w:color w:val="000000"/>
          <w:sz w:val="18"/>
        </w:rPr>
        <w:t>The following table summarizes the minimum vote needed to approve each proposal and the effect of abstentions and broker non-votes.</w:t>
      </w:r>
    </w:p>
    <w:tbl>
      <w:tblPr>
        <w:tblW w:w="10205" w:type="dxa"/>
        <w:jc w:val="left"/>
        <w:tblInd w:w="0" w:type="dxa"/>
        <w:tblLayout w:type="fixed"/>
        <w:tblCellMar>
          <w:top w:w="28" w:type="dxa"/>
          <w:left w:w="28" w:type="dxa"/>
          <w:bottom w:w="28" w:type="dxa"/>
          <w:right w:w="28" w:type="dxa"/>
        </w:tblCellMar>
      </w:tblPr>
      <w:tblGrid>
        <w:gridCol w:w="333"/>
        <w:gridCol w:w="293"/>
        <w:gridCol w:w="294"/>
        <w:gridCol w:w="109"/>
        <w:gridCol w:w="109"/>
        <w:gridCol w:w="109"/>
        <w:gridCol w:w="1133"/>
        <w:gridCol w:w="1133"/>
        <w:gridCol w:w="1139"/>
        <w:gridCol w:w="109"/>
        <w:gridCol w:w="109"/>
        <w:gridCol w:w="109"/>
        <w:gridCol w:w="831"/>
        <w:gridCol w:w="690"/>
        <w:gridCol w:w="692"/>
        <w:gridCol w:w="109"/>
        <w:gridCol w:w="109"/>
        <w:gridCol w:w="109"/>
        <w:gridCol w:w="393"/>
        <w:gridCol w:w="393"/>
        <w:gridCol w:w="394"/>
        <w:gridCol w:w="109"/>
        <w:gridCol w:w="109"/>
        <w:gridCol w:w="109"/>
        <w:gridCol w:w="343"/>
        <w:gridCol w:w="343"/>
        <w:gridCol w:w="493"/>
      </w:tblGrid>
      <w:tr>
        <w:trPr/>
        <w:tc>
          <w:tcPr>
            <w:tcW w:w="333"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33" w:type="dxa"/>
            <w:tcBorders/>
            <w:vAlign w:val="center"/>
          </w:tcPr>
          <w:p>
            <w:pPr>
              <w:pStyle w:val="TableContents"/>
              <w:bidi w:val="0"/>
              <w:spacing w:before="0" w:after="283"/>
              <w:jc w:val="left"/>
              <w:rPr>
                <w:sz w:val="4"/>
                <w:szCs w:val="4"/>
              </w:rPr>
            </w:pPr>
            <w:r>
              <w:rPr>
                <w:sz w:val="4"/>
                <w:szCs w:val="4"/>
              </w:rPr>
            </w:r>
          </w:p>
        </w:tc>
        <w:tc>
          <w:tcPr>
            <w:tcW w:w="1133" w:type="dxa"/>
            <w:tcBorders/>
            <w:vAlign w:val="center"/>
          </w:tcPr>
          <w:p>
            <w:pPr>
              <w:pStyle w:val="TableContents"/>
              <w:bidi w:val="0"/>
              <w:spacing w:before="0" w:after="283"/>
              <w:jc w:val="left"/>
              <w:rPr>
                <w:sz w:val="4"/>
                <w:szCs w:val="4"/>
              </w:rPr>
            </w:pPr>
            <w:r>
              <w:rPr>
                <w:sz w:val="4"/>
                <w:szCs w:val="4"/>
              </w:rPr>
            </w:r>
          </w:p>
        </w:tc>
        <w:tc>
          <w:tcPr>
            <w:tcW w:w="11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1" w:type="dxa"/>
            <w:tcBorders/>
            <w:vAlign w:val="center"/>
          </w:tcPr>
          <w:p>
            <w:pPr>
              <w:pStyle w:val="TableContents"/>
              <w:bidi w:val="0"/>
              <w:spacing w:before="0" w:after="283"/>
              <w:jc w:val="left"/>
              <w:rPr>
                <w:sz w:val="4"/>
                <w:szCs w:val="4"/>
              </w:rPr>
            </w:pPr>
            <w:r>
              <w:rPr>
                <w:sz w:val="4"/>
                <w:szCs w:val="4"/>
              </w:rPr>
            </w:r>
          </w:p>
        </w:tc>
        <w:tc>
          <w:tcPr>
            <w:tcW w:w="690"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493" w:type="dxa"/>
            <w:tcBorders/>
            <w:vAlign w:val="center"/>
          </w:tcPr>
          <w:p>
            <w:pPr>
              <w:pStyle w:val="TableContents"/>
              <w:bidi w:val="0"/>
              <w:spacing w:before="0" w:after="283"/>
              <w:jc w:val="left"/>
              <w:rPr>
                <w:sz w:val="4"/>
                <w:szCs w:val="4"/>
              </w:rPr>
            </w:pPr>
            <w:r>
              <w:rPr>
                <w:sz w:val="4"/>
                <w:szCs w:val="4"/>
              </w:rPr>
            </w:r>
          </w:p>
        </w:tc>
      </w:tr>
      <w:tr>
        <w:trPr/>
        <w:tc>
          <w:tcPr>
            <w:tcW w:w="92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6"/>
              </w:rPr>
            </w:pPr>
            <w:r>
              <w:rPr>
                <w:rFonts w:ascii="Arial;sans-serif" w:hAnsi="Arial;sans-serif"/>
                <w:b/>
                <w:color w:val="000000"/>
                <w:sz w:val="16"/>
              </w:rPr>
              <w:t>Proposal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6"/>
              </w:rPr>
            </w:pPr>
            <w:r>
              <w:rPr>
                <w:rFonts w:ascii="Arial;sans-serif" w:hAnsi="Arial;sans-serif"/>
                <w:b/>
                <w:color w:val="000000"/>
                <w:sz w:val="16"/>
              </w:rPr>
              <w:t>Proposal Description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6"/>
              </w:rPr>
            </w:pPr>
            <w:r>
              <w:rPr>
                <w:rFonts w:ascii="Arial;sans-serif" w:hAnsi="Arial;sans-serif"/>
                <w:b/>
                <w:color w:val="000000"/>
                <w:sz w:val="16"/>
              </w:rPr>
              <w:t>Vote Required for Approval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6"/>
              </w:rPr>
            </w:pPr>
            <w:r>
              <w:rPr>
                <w:rFonts w:ascii="Arial;sans-serif" w:hAnsi="Arial;sans-serif"/>
                <w:b/>
                <w:color w:val="000000"/>
                <w:sz w:val="16"/>
              </w:rPr>
              <w:t>Effect of Abstentions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6"/>
              </w:rPr>
            </w:pPr>
            <w:r>
              <w:rPr>
                <w:rFonts w:ascii="Arial;sans-serif" w:hAnsi="Arial;sans-serif"/>
                <w:b/>
                <w:color w:val="000000"/>
                <w:sz w:val="16"/>
              </w:rPr>
              <w:t>Effect of Broker Non-Votes</w:t>
            </w:r>
          </w:p>
        </w:tc>
      </w:tr>
      <w:tr>
        <w:trPr/>
        <w:tc>
          <w:tcPr>
            <w:tcW w:w="9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20"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5"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3"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20" w:type="dxa"/>
            <w:gridSpan w:val="3"/>
            <w:tcBorders/>
            <w:shd w:fill="EDEDEE"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74A333"/>
                <w:sz w:val="36"/>
              </w:rPr>
            </w:pPr>
            <w:r>
              <w:rPr>
                <w:rFonts w:ascii="Arial;sans-serif" w:hAnsi="Arial;sans-serif"/>
                <w:b/>
                <w:color w:val="74A333"/>
                <w:sz w:val="36"/>
              </w:rPr>
              <w:t>1</w:t>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5" w:type="dxa"/>
            <w:gridSpan w:val="3"/>
            <w:tcBorders/>
            <w:shd w:fill="EDEDEE"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Election of Directors</w:t>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3" w:type="dxa"/>
            <w:gridSpan w:val="3"/>
            <w:tcBorders/>
            <w:shd w:fill="EDEDEE"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 xml:space="preserve">The three nominees receiving the most “For” votes will be elected; withheld votes will have no effect </w:t>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3"/>
            <w:tcBorders/>
            <w:shd w:fill="EDEDEE"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Not applicable</w:t>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3"/>
            <w:tcBorders/>
            <w:shd w:fill="EDEDEE"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No effect</w:t>
            </w:r>
          </w:p>
        </w:tc>
      </w:tr>
      <w:tr>
        <w:trPr/>
        <w:tc>
          <w:tcPr>
            <w:tcW w:w="9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2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74A333"/>
                <w:sz w:val="36"/>
              </w:rPr>
            </w:pPr>
            <w:r>
              <w:rPr>
                <w:rFonts w:ascii="Arial;sans-serif" w:hAnsi="Arial;sans-serif"/>
                <w:b/>
                <w:color w:val="74A333"/>
                <w:sz w:val="36"/>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Ratification of the selection of PricewaterhouseCoopers LLP as SI-BONE’s independent registered public accounting firm for the fiscal year ending December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3"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r>
              <w:rPr>
                <w:rFonts w:ascii="Arial;sans-serif" w:hAnsi="Arial;sans-serif"/>
                <w:b w:val="false"/>
                <w:color w:val="000000"/>
                <w:sz w:val="16"/>
              </w:rPr>
              <w:t xml:space="preserve">For” votes from the holders of a majority of shares present via webcast or represented by proxy and entitled to vote on the matter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Against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No effect</w:t>
            </w:r>
          </w:p>
        </w:tc>
      </w:tr>
      <w:tr>
        <w:trPr/>
        <w:tc>
          <w:tcPr>
            <w:tcW w:w="9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20"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5"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3"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20" w:type="dxa"/>
            <w:gridSpan w:val="3"/>
            <w:tcBorders>
              <w:bottom w:val="single" w:sz="12" w:space="0" w:color="74A333"/>
            </w:tcBorders>
            <w:shd w:fill="EDEDEE" w:val="clear"/>
            <w:tcMar>
              <w:top w:w="0" w:type="dxa"/>
              <w:left w:w="0" w:type="dxa"/>
              <w:bottom w:w="30" w:type="dxa"/>
              <w:right w:w="0" w:type="dxa"/>
            </w:tcMar>
            <w:vAlign w:val="center"/>
          </w:tcPr>
          <w:p>
            <w:pPr>
              <w:pStyle w:val="TableContents"/>
              <w:bidi w:val="0"/>
              <w:spacing w:lineRule="auto" w:line="288" w:before="0" w:after="283"/>
              <w:jc w:val="center"/>
              <w:rPr>
                <w:rFonts w:ascii="Arial;sans-serif" w:hAnsi="Arial;sans-serif"/>
                <w:b/>
                <w:color w:val="74A333"/>
                <w:sz w:val="36"/>
              </w:rPr>
            </w:pPr>
            <w:r>
              <w:rPr>
                <w:rFonts w:ascii="Arial;sans-serif" w:hAnsi="Arial;sans-serif"/>
                <w:b/>
                <w:color w:val="74A333"/>
                <w:sz w:val="36"/>
              </w:rPr>
              <w:t>3</w:t>
            </w:r>
          </w:p>
        </w:tc>
        <w:tc>
          <w:tcPr>
            <w:tcW w:w="327" w:type="dxa"/>
            <w:gridSpan w:val="3"/>
            <w:tcBorders>
              <w:bottom w:val="single" w:sz="12" w:space="0" w:color="74A333"/>
            </w:tcBorders>
            <w:shd w:fill="EDEDEE"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405" w:type="dxa"/>
            <w:gridSpan w:val="3"/>
            <w:tcBorders>
              <w:bottom w:val="single" w:sz="12" w:space="0" w:color="74A333"/>
            </w:tcBorders>
            <w:shd w:fill="EDEDEE" w:val="clear"/>
            <w:tcMar>
              <w:top w:w="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Advisory vote on the compensation of our named executive officers</w:t>
            </w:r>
          </w:p>
        </w:tc>
        <w:tc>
          <w:tcPr>
            <w:tcW w:w="327" w:type="dxa"/>
            <w:gridSpan w:val="3"/>
            <w:tcBorders>
              <w:bottom w:val="single" w:sz="12" w:space="0" w:color="74A333"/>
            </w:tcBorders>
            <w:shd w:fill="EDEDEE"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213" w:type="dxa"/>
            <w:gridSpan w:val="3"/>
            <w:tcBorders>
              <w:bottom w:val="single" w:sz="12" w:space="0" w:color="74A333"/>
            </w:tcBorders>
            <w:shd w:fill="EDEDEE" w:val="clear"/>
            <w:tcMar>
              <w:top w:w="0" w:type="dxa"/>
              <w:left w:w="0" w:type="dxa"/>
              <w:bottom w:w="30" w:type="dxa"/>
              <w:right w:w="0" w:type="dxa"/>
            </w:tcMar>
            <w:vAlign w:val="center"/>
          </w:tcPr>
          <w:p>
            <w:pPr>
              <w:pStyle w:val="TableContents"/>
              <w:bidi w:val="0"/>
              <w:spacing w:lineRule="auto" w:line="288" w:before="0" w:after="283"/>
              <w:jc w:val="left"/>
              <w:rPr>
                <w:color w:val="000000"/>
              </w:rPr>
            </w:pPr>
            <w:r>
              <w:rPr>
                <w:color w:val="000000"/>
              </w:rPr>
              <w:t>“</w:t>
            </w:r>
            <w:r>
              <w:rPr>
                <w:rFonts w:ascii="Arial;sans-serif" w:hAnsi="Arial;sans-serif"/>
                <w:b w:val="false"/>
                <w:color w:val="000000"/>
                <w:sz w:val="16"/>
              </w:rPr>
              <w:t xml:space="preserve">For” votes from the holders of a majority of shares present via webcast or represented by proxy and entitled to vote on the matter </w:t>
            </w:r>
          </w:p>
        </w:tc>
        <w:tc>
          <w:tcPr>
            <w:tcW w:w="327" w:type="dxa"/>
            <w:gridSpan w:val="3"/>
            <w:tcBorders>
              <w:bottom w:val="single" w:sz="12" w:space="0" w:color="74A333"/>
            </w:tcBorders>
            <w:shd w:fill="EDEDEE"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3"/>
            <w:tcBorders>
              <w:bottom w:val="single" w:sz="12" w:space="0" w:color="74A333"/>
            </w:tcBorders>
            <w:shd w:fill="EDEDEE" w:val="clear"/>
            <w:tcMar>
              <w:top w:w="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Against</w:t>
            </w:r>
          </w:p>
        </w:tc>
        <w:tc>
          <w:tcPr>
            <w:tcW w:w="327" w:type="dxa"/>
            <w:gridSpan w:val="3"/>
            <w:tcBorders>
              <w:bottom w:val="single" w:sz="12" w:space="0" w:color="74A333"/>
            </w:tcBorders>
            <w:shd w:fill="EDEDEE"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3"/>
            <w:tcBorders>
              <w:bottom w:val="single" w:sz="12" w:space="0" w:color="74A333"/>
            </w:tcBorders>
            <w:shd w:fill="EDEDEE" w:val="clear"/>
            <w:tcMar>
              <w:top w:w="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No effect</w:t>
            </w:r>
          </w:p>
        </w:tc>
      </w:tr>
    </w:tbl>
    <w:p>
      <w:pPr>
        <w:pStyle w:val="TextBody"/>
        <w:bidi w:val="0"/>
        <w:spacing w:lineRule="auto" w:line="288" w:before="240" w:after="140"/>
        <w:jc w:val="left"/>
        <w:rPr>
          <w:rFonts w:ascii="Arial;sans-serif" w:hAnsi="Arial;sans-serif"/>
          <w:b w:val="false"/>
          <w:color w:val="000000"/>
          <w:sz w:val="24"/>
        </w:rPr>
      </w:pPr>
      <w:r>
        <w:rPr>
          <w:rFonts w:ascii="Arial;sans-serif" w:hAnsi="Arial;sans-serif"/>
          <w:b w:val="false"/>
          <w:color w:val="000000"/>
          <w:sz w:val="24"/>
        </w:rPr>
        <w:t>WHAT IS THE QUORUM REQUIREMENT?</w:t>
      </w:r>
    </w:p>
    <w:p>
      <w:pPr>
        <w:pStyle w:val="TextBody"/>
        <w:bidi w:val="0"/>
        <w:spacing w:lineRule="auto" w:line="312" w:before="0" w:after="140"/>
        <w:jc w:val="left"/>
        <w:rPr>
          <w:rFonts w:ascii="Arial;sans-serif" w:hAnsi="Arial;sans-serif"/>
          <w:b w:val="false"/>
          <w:color w:val="000000"/>
          <w:sz w:val="18"/>
        </w:rPr>
      </w:pPr>
      <w:r>
        <w:rPr>
          <w:rFonts w:ascii="Arial;sans-serif" w:hAnsi="Arial;sans-serif"/>
          <w:b w:val="false"/>
          <w:color w:val="000000"/>
          <w:sz w:val="18"/>
        </w:rPr>
        <w:t>A quorum of stockholders is necessary to hold a valid meeting. A quorum will be present if stockholders holding at least a majority of the outstanding shares entitled to vote are present at the meeting via webcast or represented by proxy. On the record date, there were 42,529,059 shares outstanding and entitled to vote. Thus, the holders of 21,264,530 shares must be present via webcast or represented by proxy at the meeting to have a quorum.</w:t>
      </w:r>
    </w:p>
    <w:p>
      <w:pPr>
        <w:pStyle w:val="TextBody"/>
        <w:bidi w:val="0"/>
        <w:spacing w:lineRule="auto" w:line="312" w:before="0" w:after="140"/>
        <w:jc w:val="left"/>
        <w:rPr>
          <w:rFonts w:ascii="Arial;sans-serif" w:hAnsi="Arial;sans-serif"/>
          <w:b w:val="false"/>
          <w:color w:val="000000"/>
          <w:sz w:val="18"/>
        </w:rPr>
      </w:pPr>
      <w:r>
        <w:rPr>
          <w:rFonts w:ascii="Arial;sans-serif" w:hAnsi="Arial;sans-serif"/>
          <w:b w:val="false"/>
          <w:color w:val="000000"/>
          <w:sz w:val="18"/>
        </w:rPr>
        <w:t>If you are a stockholder of record your shares will be counted towards the quorum only if you submit a valid proxy (or one is submitted on your behalf by your broker, bank or other nominee) or if you vote via webcast at the meeting. Abstentions and broker non-votes will be counted towards the quorum requirement. If there is no quorum, the chairperson of the meeting or the holders of a majority of shares present at the meeting via webcast or represented by proxy may adjourn the meeting to another date.</w:t>
      </w:r>
    </w:p>
    <w:p>
      <w:pPr>
        <w:pStyle w:val="TextBody"/>
        <w:bidi w:val="0"/>
        <w:spacing w:lineRule="auto" w:line="288" w:before="240" w:after="140"/>
        <w:jc w:val="left"/>
        <w:rPr>
          <w:rFonts w:ascii="Arial;sans-serif" w:hAnsi="Arial;sans-serif"/>
          <w:b w:val="false"/>
          <w:color w:val="000000"/>
          <w:sz w:val="24"/>
        </w:rPr>
      </w:pPr>
      <w:r>
        <w:rPr>
          <w:rFonts w:ascii="Arial;sans-serif" w:hAnsi="Arial;sans-serif"/>
          <w:b w:val="false"/>
          <w:color w:val="000000"/>
          <w:sz w:val="24"/>
        </w:rPr>
        <w:t>HOW CAN I FIND OUT THE RESULTS OF THE VOTING AT THE ANNUAL MEETING?</w:t>
      </w:r>
    </w:p>
    <w:p>
      <w:pPr>
        <w:pStyle w:val="TextBody"/>
        <w:bidi w:val="0"/>
        <w:spacing w:lineRule="auto" w:line="312" w:before="0" w:after="140"/>
        <w:jc w:val="left"/>
        <w:rPr>
          <w:rFonts w:ascii="Arial;sans-serif" w:hAnsi="Arial;sans-serif"/>
          <w:b w:val="false"/>
          <w:color w:val="000000"/>
          <w:sz w:val="18"/>
        </w:rPr>
      </w:pPr>
      <w:r>
        <w:rPr>
          <w:rFonts w:ascii="Arial;sans-serif" w:hAnsi="Arial;sans-serif"/>
          <w:b w:val="false"/>
          <w:color w:val="000000"/>
          <w:sz w:val="18"/>
        </w:rPr>
        <w:t>Preliminary voting results will be announced at the Annual Meeting. In addition, final voting results will be published in a current report on Form 8-K that we expect to file within four business days after the Annual Meeting. If final voting results are not available to us in time to file a Form 8-K within four business days after the meeting, we intend to file a Form 8-K to publish preliminary results and, within four business days after the final results are known to us, file an additional Form 8-K to publish the final results.</w:t>
      </w:r>
    </w:p>
    <w:p>
      <w:pPr>
        <w:pStyle w:val="TextBody"/>
        <w:bidi w:val="0"/>
        <w:spacing w:lineRule="auto" w:line="288" w:before="240" w:after="180"/>
        <w:jc w:val="left"/>
        <w:rPr>
          <w:rFonts w:ascii="Arial;sans-serif" w:hAnsi="Arial;sans-serif"/>
          <w:b w:val="false"/>
          <w:color w:val="000000"/>
          <w:sz w:val="24"/>
        </w:rPr>
      </w:pPr>
      <w:r>
        <w:rPr>
          <w:rFonts w:ascii="Arial;sans-serif" w:hAnsi="Arial;sans-serif"/>
          <w:b w:val="false"/>
          <w:color w:val="000000"/>
          <w:sz w:val="24"/>
        </w:rPr>
        <w:t>WHAT PROXY MATERIALS ARE AVAILABLE ON THE INTERNET?</w:t>
      </w:r>
    </w:p>
    <w:p>
      <w:pPr>
        <w:pStyle w:val="TextBody"/>
        <w:bidi w:val="0"/>
        <w:spacing w:lineRule="auto" w:line="312" w:before="0" w:after="180"/>
        <w:jc w:val="left"/>
        <w:rPr>
          <w:rFonts w:ascii="Arial;sans-serif" w:hAnsi="Arial;sans-serif"/>
          <w:b w:val="false"/>
          <w:color w:val="000000"/>
          <w:sz w:val="18"/>
        </w:rPr>
      </w:pPr>
      <w:r>
        <w:rPr>
          <w:rFonts w:ascii="Arial;sans-serif" w:hAnsi="Arial;sans-serif"/>
          <w:b w:val="false"/>
          <w:color w:val="000000"/>
          <w:sz w:val="18"/>
        </w:rPr>
        <w:t>The proxy statement and Annual Report to Stockholders are available at www.proxyvote.com.</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739140"/>
                <wp:effectExtent l="0" t="0" r="0" b="0"/>
                <wp:wrapNone/>
                <wp:docPr id="18" name="Frame11"/>
                <a:graphic xmlns:a="http://schemas.openxmlformats.org/drawingml/2006/main">
                  <a:graphicData uri="http://schemas.microsoft.com/office/word/2010/wordprocessingShape">
                    <wps:wsp>
                      <wps:cNvSpPr txBox="1"/>
                      <wps:spPr>
                        <a:xfrm>
                          <a:off x="0" y="0"/>
                          <a:ext cx="6480175" cy="739140"/>
                        </a:xfrm>
                        <a:prstGeom prst="rect"/>
                        <a:solidFill>
                          <a:srgbClr val="FFFFFF"/>
                        </a:solidFill>
                      </wps:spPr>
                      <wps:txbx>
                        <w:txbxContent>
                          <w:tbl>
                            <w:tblPr>
                              <w:tblW w:w="3266" w:type="dxa"/>
                              <w:jc w:val="center"/>
                              <w:tblInd w:w="0" w:type="dxa"/>
                              <w:tblLayout w:type="fixed"/>
                              <w:tblCellMar>
                                <w:top w:w="28" w:type="dxa"/>
                                <w:left w:w="28" w:type="dxa"/>
                                <w:bottom w:w="28" w:type="dxa"/>
                                <w:right w:w="28" w:type="dxa"/>
                              </w:tblCellMar>
                            </w:tblPr>
                            <w:tblGrid>
                              <w:gridCol w:w="424"/>
                              <w:gridCol w:w="372"/>
                              <w:gridCol w:w="374"/>
                              <w:gridCol w:w="109"/>
                              <w:gridCol w:w="109"/>
                              <w:gridCol w:w="109"/>
                              <w:gridCol w:w="517"/>
                              <w:gridCol w:w="517"/>
                              <w:gridCol w:w="735"/>
                            </w:tblGrid>
                            <w:tr>
                              <w:trPr/>
                              <w:tc>
                                <w:tcPr>
                                  <w:tcW w:w="424"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r>
                            <w:tr>
                              <w:trPr/>
                              <w:tc>
                                <w:tcPr>
                                  <w:tcW w:w="1170"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6"/>
                                    </w:rPr>
                                  </w:pPr>
                                  <w:r>
                                    <w:rPr>
                                      <w:rFonts w:ascii="Arial;sans-serif" w:hAnsi="Arial;sans-serif"/>
                                      <w:b/>
                                      <w:color w:val="000000"/>
                                      <w:sz w:val="16"/>
                                    </w:rPr>
                                    <w:t>SI-BONE, Inc.</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000000"/>
                                      <w:sz w:val="16"/>
                                    </w:rPr>
                                  </w:pPr>
                                  <w:r>
                                    <w:rPr>
                                      <w:rFonts w:ascii="Arial;sans-serif" w:hAnsi="Arial;sans-serif"/>
                                      <w:b/>
                                      <w:color w:val="000000"/>
                                      <w:sz w:val="16"/>
                                    </w:rPr>
                                    <w:t>6</w:t>
                                  </w:r>
                                </w:p>
                              </w:tc>
                              <w:tc>
                                <w:tcPr>
                                  <w:tcW w:w="176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2025 Proxy Statement</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2pt;mso-wrap-distance-left:0pt;mso-wrap-distance-right:0pt;mso-wrap-distance-top:0pt;mso-wrap-distance-bottom:0pt;margin-top:0pt;mso-position-vertical:top;mso-position-vertical-relative:text;margin-left:0pt;mso-position-horizontal:left;mso-position-horizontal-relative:text">
                <v:textbox>
                  <w:txbxContent>
                    <w:tbl>
                      <w:tblPr>
                        <w:tblW w:w="3266" w:type="dxa"/>
                        <w:jc w:val="center"/>
                        <w:tblInd w:w="0" w:type="dxa"/>
                        <w:tblLayout w:type="fixed"/>
                        <w:tblCellMar>
                          <w:top w:w="28" w:type="dxa"/>
                          <w:left w:w="28" w:type="dxa"/>
                          <w:bottom w:w="28" w:type="dxa"/>
                          <w:right w:w="28" w:type="dxa"/>
                        </w:tblCellMar>
                      </w:tblPr>
                      <w:tblGrid>
                        <w:gridCol w:w="424"/>
                        <w:gridCol w:w="372"/>
                        <w:gridCol w:w="374"/>
                        <w:gridCol w:w="109"/>
                        <w:gridCol w:w="109"/>
                        <w:gridCol w:w="109"/>
                        <w:gridCol w:w="517"/>
                        <w:gridCol w:w="517"/>
                        <w:gridCol w:w="735"/>
                      </w:tblGrid>
                      <w:tr>
                        <w:trPr/>
                        <w:tc>
                          <w:tcPr>
                            <w:tcW w:w="424"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r>
                      <w:tr>
                        <w:trPr/>
                        <w:tc>
                          <w:tcPr>
                            <w:tcW w:w="1170"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6"/>
                              </w:rPr>
                            </w:pPr>
                            <w:r>
                              <w:rPr>
                                <w:rFonts w:ascii="Arial;sans-serif" w:hAnsi="Arial;sans-serif"/>
                                <w:b/>
                                <w:color w:val="000000"/>
                                <w:sz w:val="16"/>
                              </w:rPr>
                              <w:t>SI-BONE, Inc.</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000000"/>
                                <w:sz w:val="16"/>
                              </w:rPr>
                            </w:pPr>
                            <w:r>
                              <w:rPr>
                                <w:rFonts w:ascii="Arial;sans-serif" w:hAnsi="Arial;sans-serif"/>
                                <w:b/>
                                <w:color w:val="000000"/>
                                <w:sz w:val="16"/>
                              </w:rPr>
                              <w:t>6</w:t>
                            </w:r>
                          </w:p>
                        </w:tc>
                        <w:tc>
                          <w:tcPr>
                            <w:tcW w:w="176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2025 Proxy Statement</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right"/>
        <w:rPr>
          <w:rFonts w:ascii="Arial;sans-serif" w:hAnsi="Arial;sans-serif"/>
          <w:b w:val="false"/>
          <w:color w:val="000000"/>
          <w:sz w:val="16"/>
        </w:rPr>
      </w:pPr>
      <w:r>
        <w:rPr>
          <w:rFonts w:ascii="Arial;sans-serif" w:hAnsi="Arial;sans-serif"/>
          <w:b w:val="false"/>
          <w:color w:val="000000"/>
          <w:sz w:val="16"/>
        </w:rPr>
        <w:t>Table of Contents</w:t>
      </w:r>
    </w:p>
    <w:p>
      <w:pPr>
        <w:pStyle w:val="TextBody"/>
        <w:bidi w:val="0"/>
        <w:spacing w:lineRule="auto" w:line="288" w:before="0" w:after="0"/>
        <w:jc w:val="left"/>
        <w:rPr>
          <w:rFonts w:ascii="Arial;sans-serif" w:hAnsi="Arial;sans-serif"/>
          <w:b/>
          <w:color w:val="000000"/>
          <w:sz w:val="56"/>
        </w:rPr>
      </w:pPr>
      <w:r>
        <w:rPr>
          <w:rFonts w:ascii="Arial;sans-serif" w:hAnsi="Arial;sans-serif"/>
          <w:b/>
          <w:color w:val="000000"/>
          <w:sz w:val="56"/>
        </w:rPr>
        <w:t>Proposal No. 1</w:t>
      </w:r>
    </w:p>
    <w:p>
      <w:pPr>
        <w:pStyle w:val="TextBody"/>
        <w:bidi w:val="0"/>
        <w:spacing w:lineRule="auto" w:line="288" w:before="0" w:after="0"/>
        <w:jc w:val="left"/>
        <w:rPr>
          <w:rFonts w:ascii="Arial;sans-serif" w:hAnsi="Arial;sans-serif"/>
          <w:b/>
          <w:color w:val="000000"/>
          <w:sz w:val="56"/>
        </w:rPr>
      </w:pPr>
      <w:r>
        <w:rPr>
          <w:rFonts w:ascii="Arial;sans-serif" w:hAnsi="Arial;sans-serif"/>
          <w:b/>
          <w:color w:val="000000"/>
          <w:sz w:val="56"/>
        </w:rPr>
        <w:t>Election of Directors</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12" w:before="0" w:after="180"/>
        <w:jc w:val="left"/>
        <w:rPr>
          <w:rFonts w:ascii="Arial;sans-serif" w:hAnsi="Arial;sans-serif"/>
          <w:b w:val="false"/>
          <w:color w:val="000000"/>
          <w:sz w:val="18"/>
        </w:rPr>
      </w:pPr>
      <w:r>
        <w:rPr>
          <w:rFonts w:ascii="Arial;sans-serif" w:hAnsi="Arial;sans-serif"/>
          <w:b w:val="false"/>
          <w:color w:val="000000"/>
          <w:sz w:val="18"/>
        </w:rPr>
        <w:t>Our Board of Directors is divided into three classes. Each class consists, as nearly as possible, of one-third of the total number of directors, and each class has a three-year term. Vacancies on the Board may be filled only by persons elected by a majority of the remaining directors. A director elected by the Board of Directors to fill a vacancy in a class, including vacancies created by an increase in the number of directors, shall serve for the remainder of the full term of that class and until the director’s successor is duly elected and qualified.</w:t>
      </w:r>
    </w:p>
    <w:p>
      <w:pPr>
        <w:pStyle w:val="TextBody"/>
        <w:bidi w:val="0"/>
        <w:spacing w:lineRule="auto" w:line="312" w:before="0" w:after="180"/>
        <w:jc w:val="left"/>
        <w:rPr>
          <w:rFonts w:ascii="Arial;sans-serif" w:hAnsi="Arial;sans-serif"/>
          <w:b w:val="false"/>
          <w:color w:val="000000"/>
          <w:sz w:val="18"/>
        </w:rPr>
      </w:pPr>
      <w:r>
        <w:rPr>
          <w:rFonts w:ascii="Arial;sans-serif" w:hAnsi="Arial;sans-serif"/>
          <w:b w:val="false"/>
          <w:color w:val="000000"/>
          <w:sz w:val="18"/>
        </w:rPr>
        <w:t>Our Board of Directors currently has nine members. There are three directors in Class I, the class the term of which expires in 2025: Timothy E. Davis, Jr., Laura A. Francis, and Jeryl L. Hilleman. Each is currently a member of our Board of Directors. Mr. Davis, Ms. Francis, and Ms. Hilleman have been nominated for re-election as a director at the Annual Meeting. If elected at the Annual Meeting, each of the nominees would serve until the 2028 annual meeting and until his or her successor has been duly elected and qualified, or, if sooner, until the director’s death, resignation or removal. It is our policy to encourage directors and nominees for director to attend the Annual Meeting. Seven of our current directors attended our 2024 annual meeting of stockholders; two did not — Mr. Davis was unable to attend and Mr. Wolf was not yet a member of our Board of Directors.</w:t>
      </w:r>
    </w:p>
    <w:p>
      <w:pPr>
        <w:pStyle w:val="TextBody"/>
        <w:bidi w:val="0"/>
        <w:spacing w:lineRule="auto" w:line="312" w:before="0" w:after="180"/>
        <w:jc w:val="left"/>
        <w:rPr>
          <w:rFonts w:ascii="Arial;sans-serif" w:hAnsi="Arial;sans-serif"/>
          <w:b w:val="false"/>
          <w:color w:val="000000"/>
          <w:sz w:val="18"/>
        </w:rPr>
      </w:pPr>
      <w:r>
        <w:rPr>
          <w:rFonts w:ascii="Arial;sans-serif" w:hAnsi="Arial;sans-serif"/>
          <w:b w:val="false"/>
          <w:color w:val="000000"/>
          <w:sz w:val="18"/>
        </w:rPr>
        <w:t>Mr. Davis, Ms. Francis, and Ms. Hilleman were previously elected by our stockholders.</w:t>
      </w:r>
    </w:p>
    <w:p>
      <w:pPr>
        <w:pStyle w:val="TextBody"/>
        <w:bidi w:val="0"/>
        <w:spacing w:lineRule="auto" w:line="312" w:before="0" w:after="180"/>
        <w:jc w:val="left"/>
        <w:rPr>
          <w:rFonts w:ascii="Arial;sans-serif" w:hAnsi="Arial;sans-serif"/>
          <w:b w:val="false"/>
          <w:color w:val="000000"/>
          <w:sz w:val="18"/>
        </w:rPr>
      </w:pPr>
      <w:r>
        <w:rPr>
          <w:rFonts w:ascii="Arial;sans-serif" w:hAnsi="Arial;sans-serif"/>
          <w:b w:val="false"/>
          <w:color w:val="000000"/>
          <w:sz w:val="18"/>
        </w:rPr>
        <w:t>The following table presents, for the Class I nominees for election at the Annual Meeting and our other directors who will continue in office after the Annual Meeting, their independence and position or office held, as well as their age as of March 31, 2025:</w:t>
      </w:r>
    </w:p>
    <w:tbl>
      <w:tblPr>
        <w:tblW w:w="4845" w:type="dxa"/>
        <w:jc w:val="left"/>
        <w:tblInd w:w="0" w:type="dxa"/>
        <w:tblLayout w:type="fixed"/>
        <w:tblCellMar>
          <w:top w:w="28" w:type="dxa"/>
          <w:left w:w="28" w:type="dxa"/>
          <w:bottom w:w="28" w:type="dxa"/>
          <w:right w:w="28" w:type="dxa"/>
        </w:tblCellMar>
      </w:tblPr>
      <w:tblGrid>
        <w:gridCol w:w="652"/>
        <w:gridCol w:w="569"/>
        <w:gridCol w:w="578"/>
        <w:gridCol w:w="140"/>
        <w:gridCol w:w="140"/>
        <w:gridCol w:w="141"/>
        <w:gridCol w:w="677"/>
        <w:gridCol w:w="677"/>
        <w:gridCol w:w="685"/>
        <w:gridCol w:w="171"/>
        <w:gridCol w:w="171"/>
        <w:gridCol w:w="244"/>
      </w:tblGrid>
      <w:tr>
        <w:trPr/>
        <w:tc>
          <w:tcPr>
            <w:tcW w:w="652"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578"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r>
      <w:tr>
        <w:trPr/>
        <w:tc>
          <w:tcPr>
            <w:tcW w:w="179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6"/>
              </w:rPr>
            </w:pPr>
            <w:r>
              <w:rPr>
                <w:rFonts w:ascii="Arial;sans-serif" w:hAnsi="Arial;sans-serif"/>
                <w:b/>
                <w:color w:val="000000"/>
                <w:sz w:val="16"/>
              </w:rPr>
              <w:t>Name</w:t>
            </w:r>
          </w:p>
        </w:tc>
        <w:tc>
          <w:tcPr>
            <w:tcW w:w="42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Age</w:t>
            </w:r>
          </w:p>
        </w:tc>
        <w:tc>
          <w:tcPr>
            <w:tcW w:w="203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6"/>
              </w:rPr>
            </w:pPr>
            <w:r>
              <w:rPr>
                <w:rFonts w:ascii="Arial;sans-serif" w:hAnsi="Arial;sans-serif"/>
                <w:b/>
                <w:color w:val="000000"/>
                <w:sz w:val="16"/>
              </w:rPr>
              <w:t>Position</w:t>
            </w:r>
          </w:p>
        </w:tc>
        <w:tc>
          <w:tcPr>
            <w:tcW w:w="58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Class</w:t>
            </w:r>
          </w:p>
        </w:tc>
      </w:tr>
      <w:tr>
        <w:trPr/>
        <w:tc>
          <w:tcPr>
            <w:tcW w:w="17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99" w:type="dxa"/>
            <w:gridSpan w:val="3"/>
            <w:tcBorders/>
            <w:shd w:fill="EDEDEE"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74A333"/>
                <w:sz w:val="16"/>
              </w:rPr>
            </w:pPr>
            <w:r>
              <w:rPr>
                <w:rFonts w:ascii="Arial;sans-serif" w:hAnsi="Arial;sans-serif"/>
                <w:b/>
                <w:color w:val="74A333"/>
                <w:sz w:val="16"/>
              </w:rPr>
              <w:t>Timothy E. Davis, Jr.</w:t>
            </w:r>
          </w:p>
        </w:tc>
        <w:tc>
          <w:tcPr>
            <w:tcW w:w="421" w:type="dxa"/>
            <w:gridSpan w:val="3"/>
            <w:tcBorders/>
            <w:shd w:fill="EDEDEE"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55</w:t>
            </w:r>
          </w:p>
        </w:tc>
        <w:tc>
          <w:tcPr>
            <w:tcW w:w="2039" w:type="dxa"/>
            <w:gridSpan w:val="3"/>
            <w:tcBorders/>
            <w:shd w:fill="EDEDEE"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Lead Independent Director</w:t>
            </w:r>
          </w:p>
        </w:tc>
        <w:tc>
          <w:tcPr>
            <w:tcW w:w="586" w:type="dxa"/>
            <w:gridSpan w:val="3"/>
            <w:tcBorders/>
            <w:shd w:fill="EDEDEE"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I</w:t>
            </w:r>
          </w:p>
        </w:tc>
      </w:tr>
      <w:tr>
        <w:trPr/>
        <w:tc>
          <w:tcPr>
            <w:tcW w:w="17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74A333"/>
                <w:sz w:val="16"/>
              </w:rPr>
            </w:pPr>
            <w:r>
              <w:rPr>
                <w:rFonts w:ascii="Arial;sans-serif" w:hAnsi="Arial;sans-serif"/>
                <w:b/>
                <w:color w:val="74A333"/>
                <w:sz w:val="16"/>
              </w:rPr>
              <w:t>Laura A. Francis</w:t>
            </w:r>
          </w:p>
        </w:tc>
        <w:tc>
          <w:tcPr>
            <w:tcW w:w="42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58</w:t>
            </w:r>
          </w:p>
        </w:tc>
        <w:tc>
          <w:tcPr>
            <w:tcW w:w="20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CEO</w:t>
            </w:r>
          </w:p>
        </w:tc>
        <w:tc>
          <w:tcPr>
            <w:tcW w:w="58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I</w:t>
            </w:r>
          </w:p>
        </w:tc>
      </w:tr>
      <w:tr>
        <w:trPr/>
        <w:tc>
          <w:tcPr>
            <w:tcW w:w="1799" w:type="dxa"/>
            <w:gridSpan w:val="3"/>
            <w:tcBorders/>
            <w:shd w:fill="EDEDEE"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74A333"/>
                <w:sz w:val="16"/>
              </w:rPr>
            </w:pPr>
            <w:r>
              <w:rPr>
                <w:rFonts w:ascii="Arial;sans-serif" w:hAnsi="Arial;sans-serif"/>
                <w:b/>
                <w:color w:val="74A333"/>
                <w:sz w:val="16"/>
              </w:rPr>
              <w:t>Jeryl L. Hilleman</w:t>
            </w:r>
          </w:p>
        </w:tc>
        <w:tc>
          <w:tcPr>
            <w:tcW w:w="421" w:type="dxa"/>
            <w:gridSpan w:val="3"/>
            <w:tcBorders/>
            <w:shd w:fill="EDEDEE"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67</w:t>
            </w:r>
          </w:p>
        </w:tc>
        <w:tc>
          <w:tcPr>
            <w:tcW w:w="2039" w:type="dxa"/>
            <w:gridSpan w:val="3"/>
            <w:tcBorders/>
            <w:shd w:fill="EDEDEE"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Director</w:t>
            </w:r>
          </w:p>
        </w:tc>
        <w:tc>
          <w:tcPr>
            <w:tcW w:w="586" w:type="dxa"/>
            <w:gridSpan w:val="3"/>
            <w:tcBorders/>
            <w:shd w:fill="EDEDEE"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I</w:t>
            </w:r>
          </w:p>
        </w:tc>
      </w:tr>
      <w:tr>
        <w:trPr/>
        <w:tc>
          <w:tcPr>
            <w:tcW w:w="17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74A333"/>
                <w:sz w:val="16"/>
              </w:rPr>
            </w:pPr>
            <w:r>
              <w:rPr>
                <w:rFonts w:ascii="Arial;sans-serif" w:hAnsi="Arial;sans-serif"/>
                <w:b/>
                <w:color w:val="74A333"/>
                <w:sz w:val="16"/>
              </w:rPr>
              <w:t>Jeffrey W. Dunn</w:t>
            </w:r>
          </w:p>
        </w:tc>
        <w:tc>
          <w:tcPr>
            <w:tcW w:w="42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70</w:t>
            </w:r>
          </w:p>
        </w:tc>
        <w:tc>
          <w:tcPr>
            <w:tcW w:w="20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Chairperson</w:t>
            </w:r>
          </w:p>
        </w:tc>
        <w:tc>
          <w:tcPr>
            <w:tcW w:w="58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II</w:t>
            </w:r>
          </w:p>
        </w:tc>
      </w:tr>
      <w:tr>
        <w:trPr/>
        <w:tc>
          <w:tcPr>
            <w:tcW w:w="1799" w:type="dxa"/>
            <w:gridSpan w:val="3"/>
            <w:tcBorders/>
            <w:shd w:fill="EDEDEE"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74A333"/>
                <w:sz w:val="16"/>
              </w:rPr>
            </w:pPr>
            <w:r>
              <w:rPr>
                <w:rFonts w:ascii="Arial;sans-serif" w:hAnsi="Arial;sans-serif"/>
                <w:b/>
                <w:color w:val="74A333"/>
                <w:sz w:val="16"/>
              </w:rPr>
              <w:t>John G. Freund, M.D.</w:t>
            </w:r>
          </w:p>
        </w:tc>
        <w:tc>
          <w:tcPr>
            <w:tcW w:w="421" w:type="dxa"/>
            <w:gridSpan w:val="3"/>
            <w:tcBorders/>
            <w:shd w:fill="EDEDEE"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71</w:t>
            </w:r>
          </w:p>
        </w:tc>
        <w:tc>
          <w:tcPr>
            <w:tcW w:w="2039" w:type="dxa"/>
            <w:gridSpan w:val="3"/>
            <w:tcBorders/>
            <w:shd w:fill="EDEDEE"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Director</w:t>
            </w:r>
          </w:p>
        </w:tc>
        <w:tc>
          <w:tcPr>
            <w:tcW w:w="586" w:type="dxa"/>
            <w:gridSpan w:val="3"/>
            <w:tcBorders/>
            <w:shd w:fill="EDEDEE"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II</w:t>
            </w:r>
          </w:p>
        </w:tc>
      </w:tr>
      <w:tr>
        <w:trPr/>
        <w:tc>
          <w:tcPr>
            <w:tcW w:w="17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74A333"/>
                <w:sz w:val="16"/>
              </w:rPr>
            </w:pPr>
            <w:r>
              <w:rPr>
                <w:rFonts w:ascii="Arial;sans-serif" w:hAnsi="Arial;sans-serif"/>
                <w:b/>
                <w:color w:val="74A333"/>
                <w:sz w:val="16"/>
              </w:rPr>
              <w:t>Gregory K. Hinckley</w:t>
            </w:r>
          </w:p>
        </w:tc>
        <w:tc>
          <w:tcPr>
            <w:tcW w:w="42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78</w:t>
            </w:r>
          </w:p>
        </w:tc>
        <w:tc>
          <w:tcPr>
            <w:tcW w:w="20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Director</w:t>
            </w:r>
          </w:p>
        </w:tc>
        <w:tc>
          <w:tcPr>
            <w:tcW w:w="58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II</w:t>
            </w:r>
          </w:p>
        </w:tc>
      </w:tr>
      <w:tr>
        <w:trPr/>
        <w:tc>
          <w:tcPr>
            <w:tcW w:w="1799" w:type="dxa"/>
            <w:gridSpan w:val="3"/>
            <w:tcBorders/>
            <w:shd w:fill="EDEDEE"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74A333"/>
                <w:sz w:val="16"/>
              </w:rPr>
            </w:pPr>
            <w:r>
              <w:rPr>
                <w:rFonts w:ascii="Arial;sans-serif" w:hAnsi="Arial;sans-serif"/>
                <w:b/>
                <w:color w:val="74A333"/>
                <w:sz w:val="16"/>
              </w:rPr>
              <w:t>Mika Nishimura</w:t>
            </w:r>
          </w:p>
        </w:tc>
        <w:tc>
          <w:tcPr>
            <w:tcW w:w="421" w:type="dxa"/>
            <w:gridSpan w:val="3"/>
            <w:tcBorders/>
            <w:shd w:fill="EDEDEE"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61</w:t>
            </w:r>
          </w:p>
        </w:tc>
        <w:tc>
          <w:tcPr>
            <w:tcW w:w="2039" w:type="dxa"/>
            <w:gridSpan w:val="3"/>
            <w:tcBorders/>
            <w:shd w:fill="EDEDEE"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Director</w:t>
            </w:r>
          </w:p>
        </w:tc>
        <w:tc>
          <w:tcPr>
            <w:tcW w:w="586" w:type="dxa"/>
            <w:gridSpan w:val="3"/>
            <w:tcBorders/>
            <w:shd w:fill="EDEDEE"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III</w:t>
            </w:r>
          </w:p>
        </w:tc>
      </w:tr>
      <w:tr>
        <w:trPr/>
        <w:tc>
          <w:tcPr>
            <w:tcW w:w="17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74A333"/>
                <w:sz w:val="16"/>
              </w:rPr>
            </w:pPr>
            <w:r>
              <w:rPr>
                <w:rFonts w:ascii="Arial;sans-serif" w:hAnsi="Arial;sans-serif"/>
                <w:b/>
                <w:color w:val="74A333"/>
                <w:sz w:val="16"/>
              </w:rPr>
              <w:t>Thomas A. West</w:t>
            </w:r>
          </w:p>
        </w:tc>
        <w:tc>
          <w:tcPr>
            <w:tcW w:w="42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61</w:t>
            </w:r>
          </w:p>
        </w:tc>
        <w:tc>
          <w:tcPr>
            <w:tcW w:w="20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Director</w:t>
            </w:r>
          </w:p>
        </w:tc>
        <w:tc>
          <w:tcPr>
            <w:tcW w:w="58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III</w:t>
            </w:r>
          </w:p>
        </w:tc>
      </w:tr>
      <w:tr>
        <w:trPr/>
        <w:tc>
          <w:tcPr>
            <w:tcW w:w="1799" w:type="dxa"/>
            <w:gridSpan w:val="3"/>
            <w:tcBorders>
              <w:bottom w:val="single" w:sz="12" w:space="0" w:color="74A333"/>
            </w:tcBorders>
            <w:shd w:fill="EDEDEE" w:val="clear"/>
            <w:tcMar>
              <w:top w:w="0" w:type="dxa"/>
              <w:left w:w="0" w:type="dxa"/>
              <w:bottom w:w="30" w:type="dxa"/>
              <w:right w:w="0" w:type="dxa"/>
            </w:tcMar>
            <w:vAlign w:val="center"/>
          </w:tcPr>
          <w:p>
            <w:pPr>
              <w:pStyle w:val="TableContents"/>
              <w:bidi w:val="0"/>
              <w:spacing w:lineRule="auto" w:line="288" w:before="0" w:after="283"/>
              <w:jc w:val="left"/>
              <w:rPr>
                <w:rFonts w:ascii="Arial;sans-serif" w:hAnsi="Arial;sans-serif"/>
                <w:b/>
                <w:color w:val="74A333"/>
                <w:sz w:val="16"/>
              </w:rPr>
            </w:pPr>
            <w:r>
              <w:rPr>
                <w:rFonts w:ascii="Arial;sans-serif" w:hAnsi="Arial;sans-serif"/>
                <w:b/>
                <w:color w:val="74A333"/>
                <w:sz w:val="16"/>
              </w:rPr>
              <w:t>Daniel W. Wolf</w:t>
            </w:r>
          </w:p>
        </w:tc>
        <w:tc>
          <w:tcPr>
            <w:tcW w:w="421" w:type="dxa"/>
            <w:gridSpan w:val="3"/>
            <w:tcBorders>
              <w:bottom w:val="single" w:sz="12" w:space="0" w:color="74A333"/>
            </w:tcBorders>
            <w:shd w:fill="EDEDEE" w:val="clear"/>
            <w:tcMar>
              <w:top w:w="0" w:type="dxa"/>
              <w:left w:w="0" w:type="dxa"/>
              <w:bottom w:w="3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41</w:t>
            </w:r>
          </w:p>
        </w:tc>
        <w:tc>
          <w:tcPr>
            <w:tcW w:w="2039" w:type="dxa"/>
            <w:gridSpan w:val="3"/>
            <w:tcBorders>
              <w:bottom w:val="single" w:sz="12" w:space="0" w:color="74A333"/>
            </w:tcBorders>
            <w:shd w:fill="EDEDEE" w:val="clear"/>
            <w:tcMar>
              <w:top w:w="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Director</w:t>
            </w:r>
          </w:p>
        </w:tc>
        <w:tc>
          <w:tcPr>
            <w:tcW w:w="586" w:type="dxa"/>
            <w:gridSpan w:val="3"/>
            <w:tcBorders>
              <w:bottom w:val="single" w:sz="12" w:space="0" w:color="74A333"/>
            </w:tcBorders>
            <w:shd w:fill="EDEDEE" w:val="clear"/>
            <w:tcMar>
              <w:top w:w="0" w:type="dxa"/>
              <w:left w:w="0" w:type="dxa"/>
              <w:bottom w:w="3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III</w:t>
            </w:r>
          </w:p>
        </w:tc>
      </w:tr>
    </w:tbl>
    <w:p>
      <w:pPr>
        <w:pStyle w:val="TextBody"/>
        <w:bidi w:val="0"/>
        <w:spacing w:lineRule="auto" w:line="312" w:before="0" w:after="180"/>
        <w:jc w:val="left"/>
        <w:rPr>
          <w:rFonts w:ascii="Arial;sans-serif" w:hAnsi="Arial;sans-serif"/>
          <w:b w:val="false"/>
          <w:color w:val="000000"/>
          <w:sz w:val="18"/>
        </w:rPr>
      </w:pPr>
      <w:r>
        <w:rPr>
          <w:rFonts w:ascii="Arial;sans-serif" w:hAnsi="Arial;sans-serif"/>
          <w:b w:val="false"/>
          <w:color w:val="000000"/>
          <w:sz w:val="18"/>
        </w:rPr>
        <w:t>The following is a brief biography of each nominee and each director whose term will continue after the Annual Meeting.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739140"/>
                <wp:effectExtent l="0" t="0" r="0" b="0"/>
                <wp:wrapNone/>
                <wp:docPr id="19" name="Frame12"/>
                <a:graphic xmlns:a="http://schemas.openxmlformats.org/drawingml/2006/main">
                  <a:graphicData uri="http://schemas.microsoft.com/office/word/2010/wordprocessingShape">
                    <wps:wsp>
                      <wps:cNvSpPr txBox="1"/>
                      <wps:spPr>
                        <a:xfrm>
                          <a:off x="0" y="0"/>
                          <a:ext cx="6480175" cy="739140"/>
                        </a:xfrm>
                        <a:prstGeom prst="rect"/>
                        <a:solidFill>
                          <a:srgbClr val="FFFFFF"/>
                        </a:solidFill>
                      </wps:spPr>
                      <wps:txbx>
                        <w:txbxContent>
                          <w:tbl>
                            <w:tblPr>
                              <w:tblW w:w="3266" w:type="dxa"/>
                              <w:jc w:val="center"/>
                              <w:tblInd w:w="0" w:type="dxa"/>
                              <w:tblLayout w:type="fixed"/>
                              <w:tblCellMar>
                                <w:top w:w="28" w:type="dxa"/>
                                <w:left w:w="28" w:type="dxa"/>
                                <w:bottom w:w="28" w:type="dxa"/>
                                <w:right w:w="28" w:type="dxa"/>
                              </w:tblCellMar>
                            </w:tblPr>
                            <w:tblGrid>
                              <w:gridCol w:w="424"/>
                              <w:gridCol w:w="372"/>
                              <w:gridCol w:w="374"/>
                              <w:gridCol w:w="109"/>
                              <w:gridCol w:w="109"/>
                              <w:gridCol w:w="109"/>
                              <w:gridCol w:w="517"/>
                              <w:gridCol w:w="517"/>
                              <w:gridCol w:w="735"/>
                            </w:tblGrid>
                            <w:tr>
                              <w:trPr/>
                              <w:tc>
                                <w:tcPr>
                                  <w:tcW w:w="424"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r>
                            <w:tr>
                              <w:trPr/>
                              <w:tc>
                                <w:tcPr>
                                  <w:tcW w:w="1170"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6"/>
                                    </w:rPr>
                                  </w:pPr>
                                  <w:r>
                                    <w:rPr>
                                      <w:rFonts w:ascii="Arial;sans-serif" w:hAnsi="Arial;sans-serif"/>
                                      <w:b/>
                                      <w:color w:val="000000"/>
                                      <w:sz w:val="16"/>
                                    </w:rPr>
                                    <w:t>SI-BONE, Inc.</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000000"/>
                                      <w:sz w:val="16"/>
                                    </w:rPr>
                                  </w:pPr>
                                  <w:r>
                                    <w:rPr>
                                      <w:rFonts w:ascii="Arial;sans-serif" w:hAnsi="Arial;sans-serif"/>
                                      <w:b/>
                                      <w:color w:val="000000"/>
                                      <w:sz w:val="16"/>
                                    </w:rPr>
                                    <w:t>7</w:t>
                                  </w:r>
                                </w:p>
                              </w:tc>
                              <w:tc>
                                <w:tcPr>
                                  <w:tcW w:w="176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2025 Proxy Statement</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2pt;mso-wrap-distance-left:0pt;mso-wrap-distance-right:0pt;mso-wrap-distance-top:0pt;mso-wrap-distance-bottom:0pt;margin-top:0pt;mso-position-vertical:top;mso-position-vertical-relative:text;margin-left:0pt;mso-position-horizontal:left;mso-position-horizontal-relative:text">
                <v:textbox>
                  <w:txbxContent>
                    <w:tbl>
                      <w:tblPr>
                        <w:tblW w:w="3266" w:type="dxa"/>
                        <w:jc w:val="center"/>
                        <w:tblInd w:w="0" w:type="dxa"/>
                        <w:tblLayout w:type="fixed"/>
                        <w:tblCellMar>
                          <w:top w:w="28" w:type="dxa"/>
                          <w:left w:w="28" w:type="dxa"/>
                          <w:bottom w:w="28" w:type="dxa"/>
                          <w:right w:w="28" w:type="dxa"/>
                        </w:tblCellMar>
                      </w:tblPr>
                      <w:tblGrid>
                        <w:gridCol w:w="424"/>
                        <w:gridCol w:w="372"/>
                        <w:gridCol w:w="374"/>
                        <w:gridCol w:w="109"/>
                        <w:gridCol w:w="109"/>
                        <w:gridCol w:w="109"/>
                        <w:gridCol w:w="517"/>
                        <w:gridCol w:w="517"/>
                        <w:gridCol w:w="735"/>
                      </w:tblGrid>
                      <w:tr>
                        <w:trPr/>
                        <w:tc>
                          <w:tcPr>
                            <w:tcW w:w="424"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r>
                      <w:tr>
                        <w:trPr/>
                        <w:tc>
                          <w:tcPr>
                            <w:tcW w:w="1170"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6"/>
                              </w:rPr>
                            </w:pPr>
                            <w:r>
                              <w:rPr>
                                <w:rFonts w:ascii="Arial;sans-serif" w:hAnsi="Arial;sans-serif"/>
                                <w:b/>
                                <w:color w:val="000000"/>
                                <w:sz w:val="16"/>
                              </w:rPr>
                              <w:t>SI-BONE, Inc.</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000000"/>
                                <w:sz w:val="16"/>
                              </w:rPr>
                            </w:pPr>
                            <w:r>
                              <w:rPr>
                                <w:rFonts w:ascii="Arial;sans-serif" w:hAnsi="Arial;sans-serif"/>
                                <w:b/>
                                <w:color w:val="000000"/>
                                <w:sz w:val="16"/>
                              </w:rPr>
                              <w:t>7</w:t>
                            </w:r>
                          </w:p>
                        </w:tc>
                        <w:tc>
                          <w:tcPr>
                            <w:tcW w:w="176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2025 Proxy Statement</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right"/>
        <w:rPr>
          <w:rFonts w:ascii="Arial;sans-serif" w:hAnsi="Arial;sans-serif"/>
          <w:b w:val="false"/>
          <w:color w:val="000000"/>
          <w:sz w:val="16"/>
        </w:rPr>
      </w:pPr>
      <w:r>
        <w:rPr>
          <w:rFonts w:ascii="Arial;sans-serif" w:hAnsi="Arial;sans-serif"/>
          <w:b w:val="false"/>
          <w:color w:val="000000"/>
          <w:sz w:val="16"/>
        </w:rPr>
        <w:t>Table of Contents</w:t>
      </w:r>
    </w:p>
    <w:p>
      <w:pPr>
        <w:pStyle w:val="TextBody"/>
        <w:bidi w:val="0"/>
        <w:spacing w:lineRule="auto" w:line="288" w:before="240" w:after="180"/>
        <w:jc w:val="left"/>
        <w:rPr>
          <w:rFonts w:ascii="Arial;sans-serif" w:hAnsi="Arial;sans-serif"/>
          <w:b w:val="false"/>
          <w:color w:val="000000"/>
          <w:sz w:val="24"/>
        </w:rPr>
      </w:pPr>
      <w:r>
        <w:rPr>
          <w:rFonts w:ascii="Arial;sans-serif" w:hAnsi="Arial;sans-serif"/>
          <w:b w:val="false"/>
          <w:color w:val="000000"/>
          <w:sz w:val="24"/>
        </w:rPr>
        <w:t>NOMINEES FOR ELECTION FOR A THREE-YEAR TERM EXPIRING AT THE 2028 ANNUAL MEETING</w:t>
      </w:r>
    </w:p>
    <w:p>
      <w:pPr>
        <w:pStyle w:val="TextBody"/>
        <w:bidi w:val="0"/>
        <w:spacing w:before="0" w:after="180"/>
        <w:jc w:val="both"/>
        <w:rPr/>
      </w:pPr>
      <w:r>
        <w:rPr/>
        <w:drawing>
          <wp:inline distT="0" distB="0" distL="0" distR="0">
            <wp:extent cx="1552575" cy="1552575"/>
            <wp:effectExtent l="0" t="0" r="0" b="0"/>
            <wp:docPr id="20"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8" descr=""/>
                    <pic:cNvPicPr>
                      <a:picLocks noChangeAspect="1" noChangeArrowheads="1"/>
                    </pic:cNvPicPr>
                  </pic:nvPicPr>
                  <pic:blipFill>
                    <a:blip r:embed="rId9"/>
                    <a:stretch>
                      <a:fillRect/>
                    </a:stretch>
                  </pic:blipFill>
                  <pic:spPr bwMode="auto">
                    <a:xfrm>
                      <a:off x="0" y="0"/>
                      <a:ext cx="1552575" cy="1552575"/>
                    </a:xfrm>
                    <a:prstGeom prst="rect">
                      <a:avLst/>
                    </a:prstGeom>
                  </pic:spPr>
                </pic:pic>
              </a:graphicData>
            </a:graphic>
          </wp:inline>
        </w:drawing>
      </w:r>
    </w:p>
    <w:p>
      <w:pPr>
        <w:pStyle w:val="TextBody"/>
        <w:bidi w:val="0"/>
        <w:spacing w:lineRule="auto" w:line="288" w:before="0" w:after="0"/>
        <w:jc w:val="left"/>
        <w:rPr>
          <w:rFonts w:ascii="Arial;sans-serif" w:hAnsi="Arial;sans-serif"/>
          <w:b/>
          <w:color w:val="74A333"/>
          <w:sz w:val="36"/>
        </w:rPr>
      </w:pPr>
      <w:r>
        <w:rPr>
          <w:rFonts w:ascii="Arial;sans-serif" w:hAnsi="Arial;sans-serif"/>
          <w:b/>
          <w:color w:val="74A333"/>
          <w:sz w:val="36"/>
        </w:rPr>
        <w:t>Timothy E. Davis, Jr.</w:t>
      </w:r>
    </w:p>
    <w:p>
      <w:pPr>
        <w:pStyle w:val="TextBody"/>
        <w:bidi w:val="0"/>
        <w:spacing w:lineRule="auto" w:line="288" w:before="0" w:after="180"/>
        <w:jc w:val="left"/>
        <w:rPr>
          <w:rFonts w:ascii="Arial;sans-serif" w:hAnsi="Arial;sans-serif"/>
          <w:b w:val="false"/>
          <w:color w:val="000000"/>
          <w:sz w:val="24"/>
        </w:rPr>
      </w:pPr>
      <w:r>
        <w:rPr>
          <w:rFonts w:ascii="Arial;sans-serif" w:hAnsi="Arial;sans-serif"/>
          <w:b w:val="false"/>
          <w:color w:val="000000"/>
          <w:sz w:val="24"/>
        </w:rPr>
        <w:t>Lead Independent Director | Age: 55 | Director Since: 2008</w:t>
      </w:r>
    </w:p>
    <w:p>
      <w:pPr>
        <w:pStyle w:val="TextBody"/>
        <w:bidi w:val="0"/>
        <w:spacing w:lineRule="auto" w:line="312" w:before="0" w:after="180"/>
        <w:jc w:val="left"/>
        <w:rPr/>
      </w:pPr>
      <w:r>
        <w:rPr>
          <w:rFonts w:ascii="Arial;sans-serif" w:hAnsi="Arial;sans-serif"/>
          <w:b/>
          <w:color w:val="74A333"/>
          <w:sz w:val="18"/>
        </w:rPr>
        <w:t>Timothy E. Davis, Jr.</w:t>
      </w:r>
      <w:r>
        <w:rPr>
          <w:color w:val="000000"/>
        </w:rPr>
        <w:t xml:space="preserve"> </w:t>
      </w:r>
      <w:r>
        <w:rPr>
          <w:rFonts w:ascii="Arial;sans-serif" w:hAnsi="Arial;sans-serif"/>
          <w:b w:val="false"/>
          <w:color w:val="000000"/>
          <w:sz w:val="18"/>
        </w:rPr>
        <w:t xml:space="preserve">has served as a member of our Board of Directors since our inception in April 2008. Mr. Davis has served as President and Chief Executive Officer of BioTissue Holdings Inc., a privately held company focusing on the development and clinical application of human birth tissue-based products for the ocular and surgical clinical markets, since January 2022. From February 2017 through December 2021, Mr. Davis served as President and Chief Executive Officer of Active Implants, LLC, a company that provides orthopedic implant solutions. From January 2014 through September 2015, Mr. Davis served as Chief Executive Officer of MicroPort Orthopedics, Inc., a multinational producer of orthopedic products, following the purchase of Wright Medical Group’s OrthoRecon business in January 2014. From December 2006 to January 2014, Mr. Davis served in a number of executive positions for Wright Medical Technology, Inc., a subsidiary of Wright Medical Group, Inc., including President of the OrthoRecon business. From 2004 to 2006, Mr. Davis was a Partner with MB Venture Partners, LLC, a medical technology and life sciences venture capital firm. From 1997 to 2004, Mr. Davis held various positions, ultimately serving as Vice President, with Vector Fund Management, a healthcare and life sciences focused venture capital fund. Early in his career, Mr. Davis worked in the healthcare management consulting and pharmaceutical industries. Mr. Davis received a B.E. degree in Biomedical Engineering from Vanderbilt University and an M.B.A. from the J.L. Kellogg Graduate School of Management at Northwestern University. </w:t>
      </w:r>
    </w:p>
    <w:tbl>
      <w:tblPr>
        <w:tblW w:w="10205" w:type="dxa"/>
        <w:jc w:val="left"/>
        <w:tblInd w:w="0" w:type="dxa"/>
        <w:tblLayout w:type="fixed"/>
        <w:tblCellMar>
          <w:top w:w="28" w:type="dxa"/>
          <w:left w:w="28" w:type="dxa"/>
          <w:bottom w:w="28" w:type="dxa"/>
          <w:right w:w="28" w:type="dxa"/>
        </w:tblCellMar>
      </w:tblPr>
      <w:tblGrid>
        <w:gridCol w:w="124"/>
        <w:gridCol w:w="109"/>
        <w:gridCol w:w="109"/>
        <w:gridCol w:w="3161"/>
        <w:gridCol w:w="3161"/>
        <w:gridCol w:w="3168"/>
        <w:gridCol w:w="109"/>
        <w:gridCol w:w="109"/>
        <w:gridCol w:w="15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61" w:type="dxa"/>
            <w:tcBorders/>
            <w:vAlign w:val="center"/>
          </w:tcPr>
          <w:p>
            <w:pPr>
              <w:pStyle w:val="TableContents"/>
              <w:bidi w:val="0"/>
              <w:spacing w:before="0" w:after="283"/>
              <w:jc w:val="left"/>
              <w:rPr>
                <w:sz w:val="4"/>
                <w:szCs w:val="4"/>
              </w:rPr>
            </w:pPr>
            <w:r>
              <w:rPr>
                <w:sz w:val="4"/>
                <w:szCs w:val="4"/>
              </w:rPr>
            </w:r>
          </w:p>
        </w:tc>
        <w:tc>
          <w:tcPr>
            <w:tcW w:w="3161" w:type="dxa"/>
            <w:tcBorders/>
            <w:vAlign w:val="center"/>
          </w:tcPr>
          <w:p>
            <w:pPr>
              <w:pStyle w:val="TableContents"/>
              <w:bidi w:val="0"/>
              <w:spacing w:before="0" w:after="283"/>
              <w:jc w:val="left"/>
              <w:rPr>
                <w:sz w:val="4"/>
                <w:szCs w:val="4"/>
              </w:rPr>
            </w:pPr>
            <w:r>
              <w:rPr>
                <w:sz w:val="4"/>
                <w:szCs w:val="4"/>
              </w:rPr>
            </w:r>
          </w:p>
        </w:tc>
        <w:tc>
          <w:tcPr>
            <w:tcW w:w="31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74A33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0" w:type="dxa"/>
            <w:gridSpan w:val="3"/>
            <w:tcBorders/>
            <w:shd w:fill="74A33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shd w:fill="74A33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74A33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0" w:type="dxa"/>
            <w:gridSpan w:val="3"/>
            <w:tcBorders/>
            <w:shd w:fill="74A333" w:val="clear"/>
            <w:tcMar>
              <w:top w:w="0" w:type="dxa"/>
              <w:left w:w="0" w:type="dxa"/>
              <w:bottom w:w="0" w:type="dxa"/>
              <w:right w:w="0" w:type="dxa"/>
            </w:tcMar>
            <w:vAlign w:val="center"/>
          </w:tcPr>
          <w:p>
            <w:pPr>
              <w:pStyle w:val="TableContents"/>
              <w:bidi w:val="0"/>
              <w:spacing w:lineRule="auto" w:line="312" w:before="0" w:after="283"/>
              <w:jc w:val="left"/>
              <w:rPr>
                <w:rFonts w:ascii="Arial;sans-serif" w:hAnsi="Arial;sans-serif"/>
                <w:b/>
                <w:color w:val="FFFFFF"/>
                <w:sz w:val="18"/>
              </w:rPr>
            </w:pPr>
            <w:r>
              <w:rPr>
                <w:rFonts w:ascii="Arial;sans-serif" w:hAnsi="Arial;sans-serif"/>
                <w:b/>
                <w:color w:val="FFFFFF"/>
                <w:sz w:val="18"/>
              </w:rPr>
              <w:t>We believe Mr. Davis’s experience in the industry, his experience in compensation matters, and his knowledge of our company enable him to make valuable contributions to our Board of Directors.</w:t>
            </w:r>
          </w:p>
        </w:tc>
        <w:tc>
          <w:tcPr>
            <w:tcW w:w="373" w:type="dxa"/>
            <w:gridSpan w:val="3"/>
            <w:tcBorders/>
            <w:shd w:fill="74A33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74A33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0" w:type="dxa"/>
            <w:gridSpan w:val="3"/>
            <w:tcBorders/>
            <w:shd w:fill="74A33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shd w:fill="74A33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300"/>
        <w:jc w:val="left"/>
        <w:rPr/>
      </w:pPr>
      <w:r>
        <w:rPr/>
        <w:drawing>
          <wp:inline distT="0" distB="0" distL="0" distR="0">
            <wp:extent cx="1552575" cy="1552575"/>
            <wp:effectExtent l="0" t="0" r="0" b="0"/>
            <wp:docPr id="21"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9" descr=""/>
                    <pic:cNvPicPr>
                      <a:picLocks noChangeAspect="1" noChangeArrowheads="1"/>
                    </pic:cNvPicPr>
                  </pic:nvPicPr>
                  <pic:blipFill>
                    <a:blip r:embed="rId10"/>
                    <a:stretch>
                      <a:fillRect/>
                    </a:stretch>
                  </pic:blipFill>
                  <pic:spPr bwMode="auto">
                    <a:xfrm>
                      <a:off x="0" y="0"/>
                      <a:ext cx="1552575" cy="1552575"/>
                    </a:xfrm>
                    <a:prstGeom prst="rect">
                      <a:avLst/>
                    </a:prstGeom>
                  </pic:spPr>
                </pic:pic>
              </a:graphicData>
            </a:graphic>
          </wp:inline>
        </w:drawing>
      </w:r>
    </w:p>
    <w:p>
      <w:pPr>
        <w:pStyle w:val="TextBody"/>
        <w:bidi w:val="0"/>
        <w:spacing w:lineRule="auto" w:line="288" w:before="0" w:after="0"/>
        <w:jc w:val="left"/>
        <w:rPr>
          <w:rFonts w:ascii="Arial;sans-serif" w:hAnsi="Arial;sans-serif"/>
          <w:b/>
          <w:color w:val="74A333"/>
          <w:sz w:val="36"/>
        </w:rPr>
      </w:pPr>
      <w:r>
        <w:rPr>
          <w:rFonts w:ascii="Arial;sans-serif" w:hAnsi="Arial;sans-serif"/>
          <w:b/>
          <w:color w:val="74A333"/>
          <w:sz w:val="36"/>
        </w:rPr>
        <w:t>Laura A. Francis</w:t>
      </w:r>
    </w:p>
    <w:p>
      <w:pPr>
        <w:pStyle w:val="TextBody"/>
        <w:bidi w:val="0"/>
        <w:spacing w:lineRule="auto" w:line="288" w:before="0" w:after="180"/>
        <w:jc w:val="left"/>
        <w:rPr>
          <w:rFonts w:ascii="Arial;sans-serif" w:hAnsi="Arial;sans-serif"/>
          <w:b w:val="false"/>
          <w:color w:val="000000"/>
          <w:sz w:val="24"/>
        </w:rPr>
      </w:pPr>
      <w:r>
        <w:rPr>
          <w:rFonts w:ascii="Arial;sans-serif" w:hAnsi="Arial;sans-serif"/>
          <w:b w:val="false"/>
          <w:color w:val="000000"/>
          <w:sz w:val="24"/>
        </w:rPr>
        <w:t>CEO | Age: 58 | Director Since: 2021</w:t>
      </w:r>
    </w:p>
    <w:p>
      <w:pPr>
        <w:pStyle w:val="TextBody"/>
        <w:bidi w:val="0"/>
        <w:spacing w:lineRule="auto" w:line="312" w:before="0" w:after="180"/>
        <w:jc w:val="left"/>
        <w:rPr/>
      </w:pPr>
      <w:r>
        <w:rPr>
          <w:rFonts w:ascii="Arial;sans-serif" w:hAnsi="Arial;sans-serif"/>
          <w:b/>
          <w:color w:val="74A333"/>
          <w:sz w:val="18"/>
        </w:rPr>
        <w:t xml:space="preserve">Laura A. Francis </w:t>
      </w:r>
      <w:r>
        <w:rPr>
          <w:rFonts w:ascii="Arial;sans-serif" w:hAnsi="Arial;sans-serif"/>
          <w:b w:val="false"/>
          <w:color w:val="000000"/>
          <w:sz w:val="18"/>
        </w:rPr>
        <w:t>has served as our Chief Executive Officer and as a member of our Board of Directors since April 2021. Previously, she served as our Chief Operating Officer from July 2019 to April 2021, and as our Chief Financial Officer from May 2015 to April 2021. Prior to joining us, Ms. Francis was the Chief Financial Officer for Auxogyn, Inc., a women’s health company, from December 2012 to September 2014. From September 2004 to December 2012, Ms. Francis served as Vice President of Finance, Chief Financial Officer and Treasurer for Promega Corporation, a life science reagent company. From March 2002 to September 2004, Ms. Francis served as the Chief Financial Officer of Bruker BioSciences Corporation, a public life science instrumentation company. From May 2001 to March 2002, Ms. Francis served as Chief Operating Officer and Chief Financial Officer of Nutra-Park Inc., an agricultural biotechnology company. From April 1999 to May 2001, Ms. Francis was Chief Financial Officer of Hypercosm, Inc., a software company. From October 1995 to April 1999, Ms. Francis was an engagement manager with McKinsey &amp; Company, a consulting firm. Early in her career, Ms. Francis was an audit manager with Coopers &amp; Lybrand, an accounting firm. Ms. Francis received a B.B.A. from the University of Wisconsin and an M.B.A. from Stanford University. She is a Certified Public Accountant (inactive) in the State of California.</w:t>
      </w:r>
    </w:p>
    <w:tbl>
      <w:tblPr>
        <w:tblW w:w="10205" w:type="dxa"/>
        <w:jc w:val="left"/>
        <w:tblInd w:w="0" w:type="dxa"/>
        <w:tblLayout w:type="fixed"/>
        <w:tblCellMar>
          <w:top w:w="28" w:type="dxa"/>
          <w:left w:w="28" w:type="dxa"/>
          <w:bottom w:w="28" w:type="dxa"/>
          <w:right w:w="28" w:type="dxa"/>
        </w:tblCellMar>
      </w:tblPr>
      <w:tblGrid>
        <w:gridCol w:w="124"/>
        <w:gridCol w:w="109"/>
        <w:gridCol w:w="109"/>
        <w:gridCol w:w="3161"/>
        <w:gridCol w:w="3161"/>
        <w:gridCol w:w="3168"/>
        <w:gridCol w:w="109"/>
        <w:gridCol w:w="109"/>
        <w:gridCol w:w="15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61" w:type="dxa"/>
            <w:tcBorders/>
            <w:vAlign w:val="center"/>
          </w:tcPr>
          <w:p>
            <w:pPr>
              <w:pStyle w:val="TableContents"/>
              <w:bidi w:val="0"/>
              <w:spacing w:before="0" w:after="283"/>
              <w:jc w:val="left"/>
              <w:rPr>
                <w:sz w:val="4"/>
                <w:szCs w:val="4"/>
              </w:rPr>
            </w:pPr>
            <w:r>
              <w:rPr>
                <w:sz w:val="4"/>
                <w:szCs w:val="4"/>
              </w:rPr>
            </w:r>
          </w:p>
        </w:tc>
        <w:tc>
          <w:tcPr>
            <w:tcW w:w="3161" w:type="dxa"/>
            <w:tcBorders/>
            <w:vAlign w:val="center"/>
          </w:tcPr>
          <w:p>
            <w:pPr>
              <w:pStyle w:val="TableContents"/>
              <w:bidi w:val="0"/>
              <w:spacing w:before="0" w:after="283"/>
              <w:jc w:val="left"/>
              <w:rPr>
                <w:sz w:val="4"/>
                <w:szCs w:val="4"/>
              </w:rPr>
            </w:pPr>
            <w:r>
              <w:rPr>
                <w:sz w:val="4"/>
                <w:szCs w:val="4"/>
              </w:rPr>
            </w:r>
          </w:p>
        </w:tc>
        <w:tc>
          <w:tcPr>
            <w:tcW w:w="31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74A33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0" w:type="dxa"/>
            <w:gridSpan w:val="3"/>
            <w:tcBorders/>
            <w:shd w:fill="74A33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shd w:fill="74A33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74A33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0" w:type="dxa"/>
            <w:gridSpan w:val="3"/>
            <w:tcBorders/>
            <w:shd w:fill="74A333" w:val="clear"/>
            <w:tcMar>
              <w:top w:w="0" w:type="dxa"/>
              <w:left w:w="0" w:type="dxa"/>
              <w:bottom w:w="0" w:type="dxa"/>
              <w:right w:w="0" w:type="dxa"/>
            </w:tcMar>
            <w:vAlign w:val="center"/>
          </w:tcPr>
          <w:p>
            <w:pPr>
              <w:pStyle w:val="TableContents"/>
              <w:bidi w:val="0"/>
              <w:spacing w:lineRule="auto" w:line="312" w:before="0" w:after="283"/>
              <w:jc w:val="left"/>
              <w:rPr>
                <w:rFonts w:ascii="Arial;sans-serif" w:hAnsi="Arial;sans-serif"/>
                <w:b/>
                <w:color w:val="FFFFFF"/>
                <w:sz w:val="18"/>
              </w:rPr>
            </w:pPr>
            <w:r>
              <w:rPr>
                <w:rFonts w:ascii="Arial;sans-serif" w:hAnsi="Arial;sans-serif"/>
                <w:b/>
                <w:color w:val="FFFFFF"/>
                <w:sz w:val="18"/>
              </w:rPr>
              <w:t>We believe Ms. Francis’s experience in the industry, her role as our Chief Executive Officer, and her knowledge of our company enable her to make valuable contributions to our Board of Directors.</w:t>
            </w:r>
          </w:p>
        </w:tc>
        <w:tc>
          <w:tcPr>
            <w:tcW w:w="373" w:type="dxa"/>
            <w:gridSpan w:val="3"/>
            <w:tcBorders/>
            <w:shd w:fill="74A33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74A33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0" w:type="dxa"/>
            <w:gridSpan w:val="3"/>
            <w:tcBorders/>
            <w:shd w:fill="74A33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shd w:fill="74A33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300"/>
        <w:jc w:val="left"/>
        <w:rPr/>
      </w:pPr>
      <w:r>
        <w:rPr/>
        <w:drawing>
          <wp:inline distT="0" distB="0" distL="0" distR="0">
            <wp:extent cx="1552575" cy="1552575"/>
            <wp:effectExtent l="0" t="0" r="0" b="0"/>
            <wp:docPr id="22"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10" descr=""/>
                    <pic:cNvPicPr>
                      <a:picLocks noChangeAspect="1" noChangeArrowheads="1"/>
                    </pic:cNvPicPr>
                  </pic:nvPicPr>
                  <pic:blipFill>
                    <a:blip r:embed="rId11"/>
                    <a:stretch>
                      <a:fillRect/>
                    </a:stretch>
                  </pic:blipFill>
                  <pic:spPr bwMode="auto">
                    <a:xfrm>
                      <a:off x="0" y="0"/>
                      <a:ext cx="1552575" cy="1552575"/>
                    </a:xfrm>
                    <a:prstGeom prst="rect">
                      <a:avLst/>
                    </a:prstGeom>
                  </pic:spPr>
                </pic:pic>
              </a:graphicData>
            </a:graphic>
          </wp:inline>
        </w:drawing>
      </w:r>
    </w:p>
    <w:p>
      <w:pPr>
        <w:pStyle w:val="TextBody"/>
        <w:bidi w:val="0"/>
        <w:spacing w:lineRule="auto" w:line="288" w:before="0" w:after="0"/>
        <w:jc w:val="left"/>
        <w:rPr>
          <w:rFonts w:ascii="Arial;sans-serif" w:hAnsi="Arial;sans-serif"/>
          <w:b/>
          <w:color w:val="74A333"/>
          <w:sz w:val="36"/>
        </w:rPr>
      </w:pPr>
      <w:r>
        <w:rPr>
          <w:rFonts w:ascii="Arial;sans-serif" w:hAnsi="Arial;sans-serif"/>
          <w:b/>
          <w:color w:val="74A333"/>
          <w:sz w:val="36"/>
        </w:rPr>
        <w:t>Jeryl L. Hilleman</w:t>
      </w:r>
    </w:p>
    <w:p>
      <w:pPr>
        <w:pStyle w:val="TextBody"/>
        <w:bidi w:val="0"/>
        <w:spacing w:lineRule="auto" w:line="288" w:before="0" w:after="180"/>
        <w:jc w:val="left"/>
        <w:rPr>
          <w:rFonts w:ascii="Arial;sans-serif" w:hAnsi="Arial;sans-serif"/>
          <w:b w:val="false"/>
          <w:color w:val="000000"/>
          <w:sz w:val="24"/>
        </w:rPr>
      </w:pPr>
      <w:r>
        <w:rPr>
          <w:rFonts w:ascii="Arial;sans-serif" w:hAnsi="Arial;sans-serif"/>
          <w:b w:val="false"/>
          <w:color w:val="000000"/>
          <w:sz w:val="24"/>
        </w:rPr>
        <w:t>Director | Age: 67 | Director Since: 2019</w:t>
      </w:r>
    </w:p>
    <w:p>
      <w:pPr>
        <w:pStyle w:val="TextBody"/>
        <w:bidi w:val="0"/>
        <w:spacing w:lineRule="auto" w:line="312" w:before="0" w:after="180"/>
        <w:jc w:val="left"/>
        <w:rPr/>
      </w:pPr>
      <w:r>
        <w:rPr>
          <w:rFonts w:ascii="Arial;sans-serif" w:hAnsi="Arial;sans-serif"/>
          <w:b/>
          <w:color w:val="74A333"/>
          <w:sz w:val="18"/>
        </w:rPr>
        <w:t>Jeryl L. Hilleman</w:t>
      </w:r>
      <w:r>
        <w:rPr>
          <w:color w:val="000000"/>
        </w:rPr>
        <w:t xml:space="preserve"> </w:t>
      </w:r>
      <w:r>
        <w:rPr>
          <w:rFonts w:ascii="Arial;sans-serif" w:hAnsi="Arial;sans-serif"/>
          <w:b w:val="false"/>
          <w:color w:val="000000"/>
          <w:sz w:val="18"/>
        </w:rPr>
        <w:t>has served as a member of our Board of Directors since December 2019. Ms. Hilleman brings extensive experience in life sciences and served as a public company CFO for close to 20 years. Most recently, from June 2014 to November 2019, Ms. Hilleman served as the Chief Financial Officer for Intersect ENT, Inc., a commercial medical device company. Prior to Intersect ENT, Ms. Hilleman served as Chief Financial Officer of several other public healthcare companies. Ms. Hilleman has served as a member of the board of directors and the chair of the Audit Committee of NovoCure, Limited, a global oncology company, since July 2018 and HilleVax, Inc., a biopharmaceutical company, since March 2021. Ms. Hilleman previously served as a member of the board of directors of Cutera, Inc. from July 2024 to February 2025, Minerva Neurosciences, Inc. from July 2018 to August 2024, Talis Biomedical Corporation from February 2021 to June 2022, and Xenoport, Inc. from January 2005 to July 2016. Ms. Hilleman received a B.A. in History from Brown University and an M.B.A. from the Wharton School at the University of Pennsylvania.</w:t>
      </w:r>
    </w:p>
    <w:tbl>
      <w:tblPr>
        <w:tblW w:w="10205" w:type="dxa"/>
        <w:jc w:val="left"/>
        <w:tblInd w:w="0" w:type="dxa"/>
        <w:tblLayout w:type="fixed"/>
        <w:tblCellMar>
          <w:top w:w="28" w:type="dxa"/>
          <w:left w:w="28" w:type="dxa"/>
          <w:bottom w:w="28" w:type="dxa"/>
          <w:right w:w="28" w:type="dxa"/>
        </w:tblCellMar>
      </w:tblPr>
      <w:tblGrid>
        <w:gridCol w:w="124"/>
        <w:gridCol w:w="109"/>
        <w:gridCol w:w="109"/>
        <w:gridCol w:w="3161"/>
        <w:gridCol w:w="3161"/>
        <w:gridCol w:w="3168"/>
        <w:gridCol w:w="109"/>
        <w:gridCol w:w="109"/>
        <w:gridCol w:w="15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61" w:type="dxa"/>
            <w:tcBorders/>
            <w:vAlign w:val="center"/>
          </w:tcPr>
          <w:p>
            <w:pPr>
              <w:pStyle w:val="TableContents"/>
              <w:bidi w:val="0"/>
              <w:spacing w:before="0" w:after="283"/>
              <w:jc w:val="left"/>
              <w:rPr>
                <w:sz w:val="4"/>
                <w:szCs w:val="4"/>
              </w:rPr>
            </w:pPr>
            <w:r>
              <w:rPr>
                <w:sz w:val="4"/>
                <w:szCs w:val="4"/>
              </w:rPr>
            </w:r>
          </w:p>
        </w:tc>
        <w:tc>
          <w:tcPr>
            <w:tcW w:w="3161" w:type="dxa"/>
            <w:tcBorders/>
            <w:vAlign w:val="center"/>
          </w:tcPr>
          <w:p>
            <w:pPr>
              <w:pStyle w:val="TableContents"/>
              <w:bidi w:val="0"/>
              <w:spacing w:before="0" w:after="283"/>
              <w:jc w:val="left"/>
              <w:rPr>
                <w:sz w:val="4"/>
                <w:szCs w:val="4"/>
              </w:rPr>
            </w:pPr>
            <w:r>
              <w:rPr>
                <w:sz w:val="4"/>
                <w:szCs w:val="4"/>
              </w:rPr>
            </w:r>
          </w:p>
        </w:tc>
        <w:tc>
          <w:tcPr>
            <w:tcW w:w="31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74A33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0" w:type="dxa"/>
            <w:gridSpan w:val="3"/>
            <w:tcBorders/>
            <w:shd w:fill="74A33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shd w:fill="74A33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74A33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0" w:type="dxa"/>
            <w:gridSpan w:val="3"/>
            <w:tcBorders/>
            <w:shd w:fill="74A333" w:val="clear"/>
            <w:tcMar>
              <w:top w:w="0" w:type="dxa"/>
              <w:left w:w="0" w:type="dxa"/>
              <w:bottom w:w="0" w:type="dxa"/>
              <w:right w:w="0" w:type="dxa"/>
            </w:tcMar>
            <w:vAlign w:val="center"/>
          </w:tcPr>
          <w:p>
            <w:pPr>
              <w:pStyle w:val="TableContents"/>
              <w:bidi w:val="0"/>
              <w:spacing w:lineRule="auto" w:line="312" w:before="0" w:after="283"/>
              <w:jc w:val="left"/>
              <w:rPr>
                <w:rFonts w:ascii="Arial;sans-serif" w:hAnsi="Arial;sans-serif"/>
                <w:b/>
                <w:color w:val="FFFFFF"/>
                <w:sz w:val="18"/>
              </w:rPr>
            </w:pPr>
            <w:r>
              <w:rPr>
                <w:rFonts w:ascii="Arial;sans-serif" w:hAnsi="Arial;sans-serif"/>
                <w:b/>
                <w:color w:val="FFFFFF"/>
                <w:sz w:val="18"/>
              </w:rPr>
              <w:t>We believe Ms. Hilleman’s financial experience, experience with medical device companies, and her knowledge of our company enable her to make valuable contributions to our Board of Directors.</w:t>
            </w:r>
          </w:p>
        </w:tc>
        <w:tc>
          <w:tcPr>
            <w:tcW w:w="373" w:type="dxa"/>
            <w:gridSpan w:val="3"/>
            <w:tcBorders/>
            <w:shd w:fill="74A33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74A33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0" w:type="dxa"/>
            <w:gridSpan w:val="3"/>
            <w:tcBorders/>
            <w:shd w:fill="74A33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shd w:fill="74A33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7499" w:type="dxa"/>
        <w:jc w:val="left"/>
        <w:tblInd w:w="0" w:type="dxa"/>
        <w:tblLayout w:type="fixed"/>
        <w:tblCellMar>
          <w:top w:w="28" w:type="dxa"/>
          <w:left w:w="28" w:type="dxa"/>
          <w:bottom w:w="28" w:type="dxa"/>
          <w:right w:w="28" w:type="dxa"/>
        </w:tblCellMar>
      </w:tblPr>
      <w:tblGrid>
        <w:gridCol w:w="2400"/>
        <w:gridCol w:w="2107"/>
        <w:gridCol w:w="2992"/>
      </w:tblGrid>
      <w:tr>
        <w:trPr/>
        <w:tc>
          <w:tcPr>
            <w:tcW w:w="2400" w:type="dxa"/>
            <w:tcBorders/>
            <w:vAlign w:val="center"/>
          </w:tcPr>
          <w:p>
            <w:pPr>
              <w:pStyle w:val="TableContents"/>
              <w:bidi w:val="0"/>
              <w:spacing w:before="0" w:after="283"/>
              <w:jc w:val="left"/>
              <w:rPr>
                <w:sz w:val="4"/>
                <w:szCs w:val="4"/>
              </w:rPr>
            </w:pPr>
            <w:r>
              <w:rPr>
                <w:sz w:val="4"/>
                <w:szCs w:val="4"/>
              </w:rPr>
            </w:r>
          </w:p>
        </w:tc>
        <w:tc>
          <w:tcPr>
            <w:tcW w:w="2107" w:type="dxa"/>
            <w:tcBorders/>
            <w:vAlign w:val="center"/>
          </w:tcPr>
          <w:p>
            <w:pPr>
              <w:pStyle w:val="TableContents"/>
              <w:bidi w:val="0"/>
              <w:spacing w:before="0" w:after="283"/>
              <w:jc w:val="left"/>
              <w:rPr>
                <w:sz w:val="4"/>
                <w:szCs w:val="4"/>
              </w:rPr>
            </w:pPr>
            <w:r>
              <w:rPr>
                <w:sz w:val="4"/>
                <w:szCs w:val="4"/>
              </w:rPr>
            </w:r>
          </w:p>
        </w:tc>
        <w:tc>
          <w:tcPr>
            <w:tcW w:w="2992" w:type="dxa"/>
            <w:tcBorders/>
            <w:vAlign w:val="center"/>
          </w:tcPr>
          <w:p>
            <w:pPr>
              <w:pStyle w:val="TableContents"/>
              <w:bidi w:val="0"/>
              <w:spacing w:before="0" w:after="283"/>
              <w:jc w:val="left"/>
              <w:rPr>
                <w:sz w:val="4"/>
                <w:szCs w:val="4"/>
              </w:rPr>
            </w:pPr>
            <w:r>
              <w:rPr>
                <w:sz w:val="4"/>
                <w:szCs w:val="4"/>
              </w:rPr>
            </w:r>
          </w:p>
        </w:tc>
      </w:tr>
      <w:tr>
        <w:trPr/>
        <w:tc>
          <w:tcPr>
            <w:tcW w:w="7499" w:type="dxa"/>
            <w:gridSpan w:val="3"/>
            <w:tcBorders/>
            <w:shd w:fill="74A333"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FFFFFF"/>
                <w:sz w:val="20"/>
              </w:rPr>
            </w:pPr>
            <w:r>
              <w:rPr>
                <w:rFonts w:ascii="Arial;sans-serif" w:hAnsi="Arial;sans-serif"/>
                <w:b/>
                <w:color w:val="FFFFFF"/>
                <w:sz w:val="20"/>
              </w:rPr>
              <w:t>The Board of Directors recommends a vote IN FAVOR of each named nominee.</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739140"/>
                <wp:effectExtent l="0" t="0" r="0" b="0"/>
                <wp:wrapNone/>
                <wp:docPr id="23" name="Frame13"/>
                <a:graphic xmlns:a="http://schemas.openxmlformats.org/drawingml/2006/main">
                  <a:graphicData uri="http://schemas.microsoft.com/office/word/2010/wordprocessingShape">
                    <wps:wsp>
                      <wps:cNvSpPr txBox="1"/>
                      <wps:spPr>
                        <a:xfrm>
                          <a:off x="0" y="0"/>
                          <a:ext cx="6480175" cy="739140"/>
                        </a:xfrm>
                        <a:prstGeom prst="rect"/>
                        <a:solidFill>
                          <a:srgbClr val="FFFFFF"/>
                        </a:solidFill>
                      </wps:spPr>
                      <wps:txbx>
                        <w:txbxContent>
                          <w:tbl>
                            <w:tblPr>
                              <w:tblW w:w="3266" w:type="dxa"/>
                              <w:jc w:val="center"/>
                              <w:tblInd w:w="0" w:type="dxa"/>
                              <w:tblLayout w:type="fixed"/>
                              <w:tblCellMar>
                                <w:top w:w="28" w:type="dxa"/>
                                <w:left w:w="28" w:type="dxa"/>
                                <w:bottom w:w="28" w:type="dxa"/>
                                <w:right w:w="28" w:type="dxa"/>
                              </w:tblCellMar>
                            </w:tblPr>
                            <w:tblGrid>
                              <w:gridCol w:w="424"/>
                              <w:gridCol w:w="372"/>
                              <w:gridCol w:w="374"/>
                              <w:gridCol w:w="109"/>
                              <w:gridCol w:w="109"/>
                              <w:gridCol w:w="109"/>
                              <w:gridCol w:w="517"/>
                              <w:gridCol w:w="517"/>
                              <w:gridCol w:w="735"/>
                            </w:tblGrid>
                            <w:tr>
                              <w:trPr/>
                              <w:tc>
                                <w:tcPr>
                                  <w:tcW w:w="424"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r>
                            <w:tr>
                              <w:trPr/>
                              <w:tc>
                                <w:tcPr>
                                  <w:tcW w:w="1170"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6"/>
                                    </w:rPr>
                                  </w:pPr>
                                  <w:r>
                                    <w:rPr>
                                      <w:rFonts w:ascii="Arial;sans-serif" w:hAnsi="Arial;sans-serif"/>
                                      <w:b/>
                                      <w:color w:val="000000"/>
                                      <w:sz w:val="16"/>
                                    </w:rPr>
                                    <w:t>SI-BONE, Inc.</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000000"/>
                                      <w:sz w:val="16"/>
                                    </w:rPr>
                                  </w:pPr>
                                  <w:r>
                                    <w:rPr>
                                      <w:rFonts w:ascii="Arial;sans-serif" w:hAnsi="Arial;sans-serif"/>
                                      <w:b/>
                                      <w:color w:val="000000"/>
                                      <w:sz w:val="16"/>
                                    </w:rPr>
                                    <w:t>8</w:t>
                                  </w:r>
                                </w:p>
                              </w:tc>
                              <w:tc>
                                <w:tcPr>
                                  <w:tcW w:w="176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2025 Proxy Statement</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2pt;mso-wrap-distance-left:0pt;mso-wrap-distance-right:0pt;mso-wrap-distance-top:0pt;mso-wrap-distance-bottom:0pt;margin-top:0pt;mso-position-vertical:top;mso-position-vertical-relative:text;margin-left:0pt;mso-position-horizontal:left;mso-position-horizontal-relative:text">
                <v:textbox>
                  <w:txbxContent>
                    <w:tbl>
                      <w:tblPr>
                        <w:tblW w:w="3266" w:type="dxa"/>
                        <w:jc w:val="center"/>
                        <w:tblInd w:w="0" w:type="dxa"/>
                        <w:tblLayout w:type="fixed"/>
                        <w:tblCellMar>
                          <w:top w:w="28" w:type="dxa"/>
                          <w:left w:w="28" w:type="dxa"/>
                          <w:bottom w:w="28" w:type="dxa"/>
                          <w:right w:w="28" w:type="dxa"/>
                        </w:tblCellMar>
                      </w:tblPr>
                      <w:tblGrid>
                        <w:gridCol w:w="424"/>
                        <w:gridCol w:w="372"/>
                        <w:gridCol w:w="374"/>
                        <w:gridCol w:w="109"/>
                        <w:gridCol w:w="109"/>
                        <w:gridCol w:w="109"/>
                        <w:gridCol w:w="517"/>
                        <w:gridCol w:w="517"/>
                        <w:gridCol w:w="735"/>
                      </w:tblGrid>
                      <w:tr>
                        <w:trPr/>
                        <w:tc>
                          <w:tcPr>
                            <w:tcW w:w="424"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r>
                      <w:tr>
                        <w:trPr/>
                        <w:tc>
                          <w:tcPr>
                            <w:tcW w:w="1170"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6"/>
                              </w:rPr>
                            </w:pPr>
                            <w:r>
                              <w:rPr>
                                <w:rFonts w:ascii="Arial;sans-serif" w:hAnsi="Arial;sans-serif"/>
                                <w:b/>
                                <w:color w:val="000000"/>
                                <w:sz w:val="16"/>
                              </w:rPr>
                              <w:t>SI-BONE, Inc.</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000000"/>
                                <w:sz w:val="16"/>
                              </w:rPr>
                            </w:pPr>
                            <w:r>
                              <w:rPr>
                                <w:rFonts w:ascii="Arial;sans-serif" w:hAnsi="Arial;sans-serif"/>
                                <w:b/>
                                <w:color w:val="000000"/>
                                <w:sz w:val="16"/>
                              </w:rPr>
                              <w:t>8</w:t>
                            </w:r>
                          </w:p>
                        </w:tc>
                        <w:tc>
                          <w:tcPr>
                            <w:tcW w:w="176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2025 Proxy Statement</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right"/>
        <w:rPr>
          <w:rFonts w:ascii="Arial;sans-serif" w:hAnsi="Arial;sans-serif"/>
          <w:b w:val="false"/>
          <w:color w:val="000000"/>
          <w:sz w:val="16"/>
        </w:rPr>
      </w:pPr>
      <w:r>
        <w:rPr>
          <w:rFonts w:ascii="Arial;sans-serif" w:hAnsi="Arial;sans-serif"/>
          <w:b w:val="false"/>
          <w:color w:val="000000"/>
          <w:sz w:val="16"/>
        </w:rPr>
        <w:t>Table of Contents</w:t>
      </w:r>
    </w:p>
    <w:p>
      <w:pPr>
        <w:pStyle w:val="TextBody"/>
        <w:bidi w:val="0"/>
        <w:spacing w:lineRule="auto" w:line="288" w:before="240" w:after="180"/>
        <w:jc w:val="left"/>
        <w:rPr>
          <w:rFonts w:ascii="Arial;sans-serif" w:hAnsi="Arial;sans-serif"/>
          <w:b w:val="false"/>
          <w:color w:val="000000"/>
          <w:sz w:val="24"/>
        </w:rPr>
      </w:pPr>
      <w:r>
        <w:rPr>
          <w:rFonts w:ascii="Arial;sans-serif" w:hAnsi="Arial;sans-serif"/>
          <w:b w:val="false"/>
          <w:color w:val="000000"/>
          <w:sz w:val="24"/>
        </w:rPr>
        <w:t>DIRECTORS CONTINUING IN OFFICE UNTIL THE 2026 ANNUAL MEETING</w:t>
      </w:r>
    </w:p>
    <w:p>
      <w:pPr>
        <w:pStyle w:val="TextBody"/>
        <w:bidi w:val="0"/>
        <w:spacing w:before="0" w:after="300"/>
        <w:jc w:val="left"/>
        <w:rPr/>
      </w:pPr>
      <w:r>
        <w:rPr/>
        <w:drawing>
          <wp:inline distT="0" distB="0" distL="0" distR="0">
            <wp:extent cx="1552575" cy="1552575"/>
            <wp:effectExtent l="0" t="0" r="0" b="0"/>
            <wp:docPr id="24"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11" descr=""/>
                    <pic:cNvPicPr>
                      <a:picLocks noChangeAspect="1" noChangeArrowheads="1"/>
                    </pic:cNvPicPr>
                  </pic:nvPicPr>
                  <pic:blipFill>
                    <a:blip r:embed="rId12"/>
                    <a:stretch>
                      <a:fillRect/>
                    </a:stretch>
                  </pic:blipFill>
                  <pic:spPr bwMode="auto">
                    <a:xfrm>
                      <a:off x="0" y="0"/>
                      <a:ext cx="1552575" cy="1552575"/>
                    </a:xfrm>
                    <a:prstGeom prst="rect">
                      <a:avLst/>
                    </a:prstGeom>
                  </pic:spPr>
                </pic:pic>
              </a:graphicData>
            </a:graphic>
          </wp:inline>
        </w:drawing>
      </w:r>
    </w:p>
    <w:p>
      <w:pPr>
        <w:pStyle w:val="TextBody"/>
        <w:bidi w:val="0"/>
        <w:spacing w:lineRule="auto" w:line="288" w:before="0" w:after="0"/>
        <w:jc w:val="left"/>
        <w:rPr>
          <w:rFonts w:ascii="Arial;sans-serif" w:hAnsi="Arial;sans-serif"/>
          <w:b/>
          <w:color w:val="74A333"/>
          <w:sz w:val="36"/>
        </w:rPr>
      </w:pPr>
      <w:r>
        <w:rPr>
          <w:rFonts w:ascii="Arial;sans-serif" w:hAnsi="Arial;sans-serif"/>
          <w:b/>
          <w:color w:val="74A333"/>
          <w:sz w:val="36"/>
        </w:rPr>
        <w:t>Jeffrey W. Dunn</w:t>
      </w:r>
    </w:p>
    <w:p>
      <w:pPr>
        <w:pStyle w:val="TextBody"/>
        <w:bidi w:val="0"/>
        <w:spacing w:lineRule="auto" w:line="288" w:before="0" w:after="180"/>
        <w:jc w:val="left"/>
        <w:rPr>
          <w:rFonts w:ascii="Arial;sans-serif" w:hAnsi="Arial;sans-serif"/>
          <w:b w:val="false"/>
          <w:color w:val="000000"/>
          <w:sz w:val="24"/>
        </w:rPr>
      </w:pPr>
      <w:r>
        <w:rPr>
          <w:rFonts w:ascii="Arial;sans-serif" w:hAnsi="Arial;sans-serif"/>
          <w:b w:val="false"/>
          <w:color w:val="000000"/>
          <w:sz w:val="24"/>
        </w:rPr>
        <w:t>Chairperson | Age: 70 | Director Since: 2008</w:t>
      </w:r>
    </w:p>
    <w:p>
      <w:pPr>
        <w:pStyle w:val="TextBody"/>
        <w:bidi w:val="0"/>
        <w:spacing w:lineRule="auto" w:line="312" w:before="0" w:after="180"/>
        <w:jc w:val="left"/>
        <w:rPr/>
      </w:pPr>
      <w:r>
        <w:rPr>
          <w:rFonts w:ascii="Arial;sans-serif" w:hAnsi="Arial;sans-serif"/>
          <w:b/>
          <w:color w:val="74A333"/>
          <w:sz w:val="18"/>
        </w:rPr>
        <w:t>Jeffrey W. Dunn</w:t>
      </w:r>
      <w:r>
        <w:rPr>
          <w:color w:val="000000"/>
        </w:rPr>
        <w:t xml:space="preserve"> </w:t>
      </w:r>
      <w:r>
        <w:rPr>
          <w:rFonts w:ascii="Arial;sans-serif" w:hAnsi="Arial;sans-serif"/>
          <w:b w:val="false"/>
          <w:color w:val="000000"/>
          <w:sz w:val="18"/>
        </w:rPr>
        <w:t xml:space="preserve">has served as our Chairperson since May 2023, as Executive Chairperson since April 2021, and as Chairperson of our Board of Directors, our President, and Chief Executive Officer since our inception in April 2008 until April 2021. Prior to joining us, Mr. Dunn served as Chief Executive Officer of INBONE Technologies, Inc., an ankle replacement and small bone fusion medical device company, from December 2006 to April 2008, until its sale to Wright Medical Technology, Inc. in April 2008. From August 2000 to June 2006, Mr. Dunn was the Chief Executive Officer of Active Decisions, Inc., a software as a service business, until its sale to Knova Software, Inc. From December 1999 to June 2000, Mr. Dunn was the Chief Executive Officer of Velogic, Inc., an internet performance testing software company, until its sale to Keynote Systems Inc. From June 1999 to December 1999, Mr. Dunn was the Chief Executive Officer of EnterpriseLink Inc., a provider of enterprise Internet enablement software, until its sale to Merant, Inc. From November 1994 to June 1998, Mr. Dunn was Chief Executive Officer of Accel Graphics Inc., a 3D graphics system supplier, until its sale to Evans and Sutherland Computer Corporation. During his career, Mr. Dunn held executive positions with Evans and Sutherland, Cygnet Systems, Inc., Avnet, Inc. and Xerox Corporation. Mr. Dunn received a B.A. from Colgate University and an M.B.A. from Babson College. </w:t>
      </w:r>
    </w:p>
    <w:tbl>
      <w:tblPr>
        <w:tblW w:w="10205" w:type="dxa"/>
        <w:jc w:val="left"/>
        <w:tblInd w:w="0" w:type="dxa"/>
        <w:tblLayout w:type="fixed"/>
        <w:tblCellMar>
          <w:top w:w="28" w:type="dxa"/>
          <w:left w:w="28" w:type="dxa"/>
          <w:bottom w:w="28" w:type="dxa"/>
          <w:right w:w="28" w:type="dxa"/>
        </w:tblCellMar>
      </w:tblPr>
      <w:tblGrid>
        <w:gridCol w:w="124"/>
        <w:gridCol w:w="109"/>
        <w:gridCol w:w="109"/>
        <w:gridCol w:w="3161"/>
        <w:gridCol w:w="3161"/>
        <w:gridCol w:w="3168"/>
        <w:gridCol w:w="109"/>
        <w:gridCol w:w="109"/>
        <w:gridCol w:w="15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61" w:type="dxa"/>
            <w:tcBorders/>
            <w:vAlign w:val="center"/>
          </w:tcPr>
          <w:p>
            <w:pPr>
              <w:pStyle w:val="TableContents"/>
              <w:bidi w:val="0"/>
              <w:spacing w:before="0" w:after="283"/>
              <w:jc w:val="left"/>
              <w:rPr>
                <w:sz w:val="4"/>
                <w:szCs w:val="4"/>
              </w:rPr>
            </w:pPr>
            <w:r>
              <w:rPr>
                <w:sz w:val="4"/>
                <w:szCs w:val="4"/>
              </w:rPr>
            </w:r>
          </w:p>
        </w:tc>
        <w:tc>
          <w:tcPr>
            <w:tcW w:w="3161" w:type="dxa"/>
            <w:tcBorders/>
            <w:vAlign w:val="center"/>
          </w:tcPr>
          <w:p>
            <w:pPr>
              <w:pStyle w:val="TableContents"/>
              <w:bidi w:val="0"/>
              <w:spacing w:before="0" w:after="283"/>
              <w:jc w:val="left"/>
              <w:rPr>
                <w:sz w:val="4"/>
                <w:szCs w:val="4"/>
              </w:rPr>
            </w:pPr>
            <w:r>
              <w:rPr>
                <w:sz w:val="4"/>
                <w:szCs w:val="4"/>
              </w:rPr>
            </w:r>
          </w:p>
        </w:tc>
        <w:tc>
          <w:tcPr>
            <w:tcW w:w="31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74A33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0" w:type="dxa"/>
            <w:gridSpan w:val="3"/>
            <w:tcBorders/>
            <w:shd w:fill="74A33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shd w:fill="74A33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74A33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0" w:type="dxa"/>
            <w:gridSpan w:val="3"/>
            <w:tcBorders/>
            <w:shd w:fill="74A333" w:val="clear"/>
            <w:tcMar>
              <w:top w:w="0" w:type="dxa"/>
              <w:left w:w="0" w:type="dxa"/>
              <w:bottom w:w="0" w:type="dxa"/>
              <w:right w:w="0" w:type="dxa"/>
            </w:tcMar>
            <w:vAlign w:val="center"/>
          </w:tcPr>
          <w:p>
            <w:pPr>
              <w:pStyle w:val="TableContents"/>
              <w:bidi w:val="0"/>
              <w:spacing w:lineRule="auto" w:line="312" w:before="0" w:after="283"/>
              <w:jc w:val="left"/>
              <w:rPr>
                <w:rFonts w:ascii="Arial;sans-serif" w:hAnsi="Arial;sans-serif"/>
                <w:b/>
                <w:color w:val="FFFFFF"/>
                <w:sz w:val="18"/>
              </w:rPr>
            </w:pPr>
            <w:r>
              <w:rPr>
                <w:rFonts w:ascii="Arial;sans-serif" w:hAnsi="Arial;sans-serif"/>
                <w:b/>
                <w:color w:val="FFFFFF"/>
                <w:sz w:val="18"/>
              </w:rPr>
              <w:t>We believe Mr. Dunn’s experience in the industry, his prior role as our President and Chief Executive Officer, and his knowledge of our company enable him to make valuable contributions to our Board of Directors.</w:t>
            </w:r>
          </w:p>
        </w:tc>
        <w:tc>
          <w:tcPr>
            <w:tcW w:w="373" w:type="dxa"/>
            <w:gridSpan w:val="3"/>
            <w:tcBorders/>
            <w:shd w:fill="74A33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74A33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0" w:type="dxa"/>
            <w:gridSpan w:val="3"/>
            <w:tcBorders/>
            <w:shd w:fill="74A33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shd w:fill="74A33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300"/>
        <w:jc w:val="left"/>
        <w:rPr/>
      </w:pPr>
      <w:r>
        <w:rPr/>
        <w:drawing>
          <wp:inline distT="0" distB="0" distL="0" distR="0">
            <wp:extent cx="1552575" cy="1552575"/>
            <wp:effectExtent l="0" t="0" r="0" b="0"/>
            <wp:docPr id="25"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12" descr=""/>
                    <pic:cNvPicPr>
                      <a:picLocks noChangeAspect="1" noChangeArrowheads="1"/>
                    </pic:cNvPicPr>
                  </pic:nvPicPr>
                  <pic:blipFill>
                    <a:blip r:embed="rId13"/>
                    <a:stretch>
                      <a:fillRect/>
                    </a:stretch>
                  </pic:blipFill>
                  <pic:spPr bwMode="auto">
                    <a:xfrm>
                      <a:off x="0" y="0"/>
                      <a:ext cx="1552575" cy="1552575"/>
                    </a:xfrm>
                    <a:prstGeom prst="rect">
                      <a:avLst/>
                    </a:prstGeom>
                  </pic:spPr>
                </pic:pic>
              </a:graphicData>
            </a:graphic>
          </wp:inline>
        </w:drawing>
      </w:r>
    </w:p>
    <w:p>
      <w:pPr>
        <w:pStyle w:val="TextBody"/>
        <w:bidi w:val="0"/>
        <w:spacing w:lineRule="auto" w:line="288" w:before="0" w:after="0"/>
        <w:jc w:val="left"/>
        <w:rPr>
          <w:rFonts w:ascii="Arial;sans-serif" w:hAnsi="Arial;sans-serif"/>
          <w:b/>
          <w:color w:val="74A333"/>
          <w:sz w:val="36"/>
        </w:rPr>
      </w:pPr>
      <w:r>
        <w:rPr>
          <w:rFonts w:ascii="Arial;sans-serif" w:hAnsi="Arial;sans-serif"/>
          <w:b/>
          <w:color w:val="74A333"/>
          <w:sz w:val="36"/>
        </w:rPr>
        <w:t>John G. Freund, M.D.</w:t>
      </w:r>
    </w:p>
    <w:p>
      <w:pPr>
        <w:pStyle w:val="TextBody"/>
        <w:bidi w:val="0"/>
        <w:spacing w:lineRule="auto" w:line="288" w:before="0" w:after="180"/>
        <w:jc w:val="left"/>
        <w:rPr>
          <w:rFonts w:ascii="Arial;sans-serif" w:hAnsi="Arial;sans-serif"/>
          <w:b w:val="false"/>
          <w:color w:val="000000"/>
          <w:sz w:val="24"/>
        </w:rPr>
      </w:pPr>
      <w:r>
        <w:rPr>
          <w:rFonts w:ascii="Arial;sans-serif" w:hAnsi="Arial;sans-serif"/>
          <w:b w:val="false"/>
          <w:color w:val="000000"/>
          <w:sz w:val="24"/>
        </w:rPr>
        <w:t>Director | Age: 71 | Director Since: 2013</w:t>
      </w:r>
    </w:p>
    <w:p>
      <w:pPr>
        <w:pStyle w:val="TextBody"/>
        <w:bidi w:val="0"/>
        <w:spacing w:lineRule="auto" w:line="312" w:before="0" w:after="180"/>
        <w:jc w:val="left"/>
        <w:rPr/>
      </w:pPr>
      <w:r>
        <w:rPr>
          <w:rFonts w:ascii="Arial;sans-serif" w:hAnsi="Arial;sans-serif"/>
          <w:b/>
          <w:color w:val="74A333"/>
          <w:sz w:val="18"/>
        </w:rPr>
        <w:t xml:space="preserve">John G. Freund, M.D., </w:t>
      </w:r>
      <w:r>
        <w:rPr>
          <w:rFonts w:ascii="Arial;sans-serif" w:hAnsi="Arial;sans-serif"/>
          <w:b w:val="false"/>
          <w:color w:val="000000"/>
          <w:sz w:val="18"/>
        </w:rPr>
        <w:t xml:space="preserve">has served as a member of our Board of Directors since January 2013. Dr. Freund founded Skyline Ventures, a venture capital firm, in October 1997 and served as a Managing Director until December 2022. In 2016, Dr. Freund co-founded and was Chief Executive Officer of Arixa Pharmaceuticals, Inc. an antibiotic company, which was acquired by Pfizer in October 2020. Prior to founding Skyline, Dr. Freund served as Managing Director in the private equity group of Chancellor Capital Management, a private capital investment firm. In November 1995, Dr. Freund co-founded Intuitive Surgical, Inc., a medical device company, and served on its board of directors until March 2000. From 1988 to 1994, he held various positions at Acuson Corporation, a maker of ultrasound equipment that was acquired by Siemens, most recently as Executive Vice President. Prior to joining Acuson, Dr. Freund was a general partner of Morgan Stanley Venture Partners from 1987 to 1988. From 1982 to 1988, Dr. Freund was at Morgan Stanley &amp; Co., an investment banking company, where he co-founded the Healthcare Group in the Corporate Finance Department in 1983. Dr. Freund has served on the board of directors of both Collegium Pharmaceuticals, Inc., a biotechnology company, and Sutro Biopharma, Inc., a biotechnology company, since 2014. Dr. Freund also serves on the board of directors of a number of U.S. registered investment funds managed by affiliates of the Capital Group, Inc. He also previously served on the board of directors of a number of publicly traded companies, including Tetraphase Pharmaceuticals, Inc., a biopharmaceutical company, Map Pharmaceuticals, Inc., a biopharmaceutical company, MAKO Surgical Corp., a medical device company, Proteon Therapeutics, Inc., a biotechnology company, Concert Pharmaceuticals, Inc., a biopharmaceutical company and XenoPort, Inc., a biopharmaceutical company, where he served as Chairman. Dr. Freund is a member of the Advisory Board for the Harvard Business School Healthcare Initiative. Dr. Freund received a B.A. in History from Harvard College, an M.D. from Harvard Medical School, and an M.B.A. from Harvard Business School, where he was a Baker Scholar. </w:t>
      </w:r>
    </w:p>
    <w:tbl>
      <w:tblPr>
        <w:tblW w:w="10205" w:type="dxa"/>
        <w:jc w:val="left"/>
        <w:tblInd w:w="0" w:type="dxa"/>
        <w:tblLayout w:type="fixed"/>
        <w:tblCellMar>
          <w:top w:w="28" w:type="dxa"/>
          <w:left w:w="28" w:type="dxa"/>
          <w:bottom w:w="28" w:type="dxa"/>
          <w:right w:w="28" w:type="dxa"/>
        </w:tblCellMar>
      </w:tblPr>
      <w:tblGrid>
        <w:gridCol w:w="124"/>
        <w:gridCol w:w="109"/>
        <w:gridCol w:w="109"/>
        <w:gridCol w:w="3161"/>
        <w:gridCol w:w="3161"/>
        <w:gridCol w:w="3168"/>
        <w:gridCol w:w="109"/>
        <w:gridCol w:w="109"/>
        <w:gridCol w:w="15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61" w:type="dxa"/>
            <w:tcBorders/>
            <w:vAlign w:val="center"/>
          </w:tcPr>
          <w:p>
            <w:pPr>
              <w:pStyle w:val="TableContents"/>
              <w:bidi w:val="0"/>
              <w:spacing w:before="0" w:after="283"/>
              <w:jc w:val="left"/>
              <w:rPr>
                <w:sz w:val="4"/>
                <w:szCs w:val="4"/>
              </w:rPr>
            </w:pPr>
            <w:r>
              <w:rPr>
                <w:sz w:val="4"/>
                <w:szCs w:val="4"/>
              </w:rPr>
            </w:r>
          </w:p>
        </w:tc>
        <w:tc>
          <w:tcPr>
            <w:tcW w:w="3161" w:type="dxa"/>
            <w:tcBorders/>
            <w:vAlign w:val="center"/>
          </w:tcPr>
          <w:p>
            <w:pPr>
              <w:pStyle w:val="TableContents"/>
              <w:bidi w:val="0"/>
              <w:spacing w:before="0" w:after="283"/>
              <w:jc w:val="left"/>
              <w:rPr>
                <w:sz w:val="4"/>
                <w:szCs w:val="4"/>
              </w:rPr>
            </w:pPr>
            <w:r>
              <w:rPr>
                <w:sz w:val="4"/>
                <w:szCs w:val="4"/>
              </w:rPr>
            </w:r>
          </w:p>
        </w:tc>
        <w:tc>
          <w:tcPr>
            <w:tcW w:w="31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74A33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0" w:type="dxa"/>
            <w:gridSpan w:val="3"/>
            <w:tcBorders/>
            <w:shd w:fill="74A33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shd w:fill="74A33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74A33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0" w:type="dxa"/>
            <w:gridSpan w:val="3"/>
            <w:tcBorders/>
            <w:shd w:fill="74A333" w:val="clear"/>
            <w:tcMar>
              <w:top w:w="0" w:type="dxa"/>
              <w:left w:w="0" w:type="dxa"/>
              <w:bottom w:w="0" w:type="dxa"/>
              <w:right w:w="0" w:type="dxa"/>
            </w:tcMar>
            <w:vAlign w:val="center"/>
          </w:tcPr>
          <w:p>
            <w:pPr>
              <w:pStyle w:val="TableContents"/>
              <w:bidi w:val="0"/>
              <w:spacing w:lineRule="auto" w:line="312" w:before="0" w:after="283"/>
              <w:jc w:val="left"/>
              <w:rPr>
                <w:rFonts w:ascii="Arial;sans-serif" w:hAnsi="Arial;sans-serif"/>
                <w:b/>
                <w:color w:val="FFFFFF"/>
                <w:sz w:val="18"/>
              </w:rPr>
            </w:pPr>
            <w:r>
              <w:rPr>
                <w:rFonts w:ascii="Arial;sans-serif" w:hAnsi="Arial;sans-serif"/>
                <w:b/>
                <w:color w:val="FFFFFF"/>
                <w:sz w:val="18"/>
              </w:rPr>
              <w:t>We believe Dr. Freund’s experience with medical device companies, his role in the venture capital industry, and his knowledge of our company enable him to make valuable contributions to our Board of Directors.</w:t>
            </w:r>
          </w:p>
        </w:tc>
        <w:tc>
          <w:tcPr>
            <w:tcW w:w="373" w:type="dxa"/>
            <w:gridSpan w:val="3"/>
            <w:tcBorders/>
            <w:shd w:fill="74A33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74A33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0" w:type="dxa"/>
            <w:gridSpan w:val="3"/>
            <w:tcBorders/>
            <w:shd w:fill="74A33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shd w:fill="74A33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300"/>
        <w:jc w:val="left"/>
        <w:rPr/>
      </w:pPr>
      <w:r>
        <w:rPr/>
      </w:r>
    </w:p>
    <w:p>
      <w:pPr>
        <w:pStyle w:val="TextBody"/>
        <w:bidi w:val="0"/>
        <w:spacing w:before="0" w:after="300"/>
        <w:jc w:val="left"/>
        <w:rPr/>
      </w:pPr>
      <w:r>
        <w:rPr/>
        <w:drawing>
          <wp:inline distT="0" distB="0" distL="0" distR="0">
            <wp:extent cx="1552575" cy="1552575"/>
            <wp:effectExtent l="0" t="0" r="0" b="0"/>
            <wp:docPr id="26"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13" descr=""/>
                    <pic:cNvPicPr>
                      <a:picLocks noChangeAspect="1" noChangeArrowheads="1"/>
                    </pic:cNvPicPr>
                  </pic:nvPicPr>
                  <pic:blipFill>
                    <a:blip r:embed="rId14"/>
                    <a:stretch>
                      <a:fillRect/>
                    </a:stretch>
                  </pic:blipFill>
                  <pic:spPr bwMode="auto">
                    <a:xfrm>
                      <a:off x="0" y="0"/>
                      <a:ext cx="1552575" cy="1552575"/>
                    </a:xfrm>
                    <a:prstGeom prst="rect">
                      <a:avLst/>
                    </a:prstGeom>
                  </pic:spPr>
                </pic:pic>
              </a:graphicData>
            </a:graphic>
          </wp:inline>
        </w:drawing>
      </w:r>
    </w:p>
    <w:p>
      <w:pPr>
        <w:pStyle w:val="TextBody"/>
        <w:bidi w:val="0"/>
        <w:spacing w:lineRule="auto" w:line="288" w:before="0" w:after="0"/>
        <w:jc w:val="left"/>
        <w:rPr>
          <w:rFonts w:ascii="Arial;sans-serif" w:hAnsi="Arial;sans-serif"/>
          <w:b/>
          <w:color w:val="74A333"/>
          <w:sz w:val="36"/>
        </w:rPr>
      </w:pPr>
      <w:r>
        <w:rPr>
          <w:rFonts w:ascii="Arial;sans-serif" w:hAnsi="Arial;sans-serif"/>
          <w:b/>
          <w:color w:val="74A333"/>
          <w:sz w:val="36"/>
        </w:rPr>
        <w:t>Gregory K. Hinckley</w:t>
      </w:r>
    </w:p>
    <w:p>
      <w:pPr>
        <w:pStyle w:val="TextBody"/>
        <w:bidi w:val="0"/>
        <w:spacing w:lineRule="auto" w:line="288" w:before="0" w:after="180"/>
        <w:jc w:val="left"/>
        <w:rPr>
          <w:rFonts w:ascii="Arial;sans-serif" w:hAnsi="Arial;sans-serif"/>
          <w:b w:val="false"/>
          <w:color w:val="000000"/>
          <w:sz w:val="24"/>
        </w:rPr>
      </w:pPr>
      <w:r>
        <w:rPr>
          <w:rFonts w:ascii="Arial;sans-serif" w:hAnsi="Arial;sans-serif"/>
          <w:b w:val="false"/>
          <w:color w:val="000000"/>
          <w:sz w:val="24"/>
        </w:rPr>
        <w:t>Director | Age: 78 | Director Since: 2011</w:t>
      </w:r>
    </w:p>
    <w:p>
      <w:pPr>
        <w:pStyle w:val="TextBody"/>
        <w:bidi w:val="0"/>
        <w:spacing w:lineRule="auto" w:line="312" w:before="0" w:after="180"/>
        <w:jc w:val="left"/>
        <w:rPr/>
      </w:pPr>
      <w:r>
        <w:rPr>
          <w:rFonts w:ascii="Arial;sans-serif" w:hAnsi="Arial;sans-serif"/>
          <w:b/>
          <w:color w:val="74A333"/>
          <w:sz w:val="18"/>
        </w:rPr>
        <w:t xml:space="preserve">Gregory K. Hinckley </w:t>
      </w:r>
      <w:r>
        <w:rPr>
          <w:rFonts w:ascii="Arial;sans-serif" w:hAnsi="Arial;sans-serif"/>
          <w:b w:val="false"/>
          <w:color w:val="000000"/>
          <w:sz w:val="18"/>
        </w:rPr>
        <w:t xml:space="preserve">has served as a member of our Board of Directors since January 2011. Mr. Hinckley served as President of Mentor Graphics Corporation, an electronic design automation company, from November 2000 until his retirement in July 2017,and served on the board of directors from January 1999 to June 2016. From January 1997 to November 2000, he served as Executive Vice President. He has also served as the Chief Financial Officer of Mentor Graphics, first from January 1997 to July 2007 and again from December 2008 to July 2017. Previously, he served on the board of directors of Super Micro Computer, Inc., a manufacturer of servers, from January 2009 to February 2015; Intermec, Inc., a developer of automated identification and data collection solutions, from July 2004 to September 2013; and Amkor Technology, a semiconductor test and assembly company, from November 1997 to July 2007. From August 1992 to January 1997, Mr. Hinckley served as Senior Vice President, Finance of VLSI Technology, Inc., a designer and manufacturer of custom and semi-custom integrated circuits. From January 1989 to November 1991, he served as Senior Vice President and Chief Financial Officer of Crowley Maritime Corporation, a marine solutions, transportation, and logistics company. From February 1983 to January 1989, Mr. Hinckley served as Vice President and Chief Financial Officer, and since April 2017, Mr. Hinckley has served on the board of directors of Bio-Rad Laboratories, a manufacturer and supplier of products and systems for the life science research and healthcare markets. Previously, Mr. Hinckley held a number of senior officer positions with Raychem Corporation, a developer of products and services for the aerospace, automotive and telecommunications industries. Mr. Hinckley received a B.A. in Physics and Mathematics from Claremont McKenna College and was a Fulbright Scholar in applied mathematics at Nottingham University. He received an M.S.in Applied Physics from the University of California, San Diego and an M.B.A. from Harvard Business School. </w:t>
      </w:r>
    </w:p>
    <w:tbl>
      <w:tblPr>
        <w:tblW w:w="10205" w:type="dxa"/>
        <w:jc w:val="left"/>
        <w:tblInd w:w="0" w:type="dxa"/>
        <w:tblLayout w:type="fixed"/>
        <w:tblCellMar>
          <w:top w:w="28" w:type="dxa"/>
          <w:left w:w="28" w:type="dxa"/>
          <w:bottom w:w="28" w:type="dxa"/>
          <w:right w:w="28" w:type="dxa"/>
        </w:tblCellMar>
      </w:tblPr>
      <w:tblGrid>
        <w:gridCol w:w="124"/>
        <w:gridCol w:w="109"/>
        <w:gridCol w:w="109"/>
        <w:gridCol w:w="3161"/>
        <w:gridCol w:w="3161"/>
        <w:gridCol w:w="3168"/>
        <w:gridCol w:w="109"/>
        <w:gridCol w:w="109"/>
        <w:gridCol w:w="15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61" w:type="dxa"/>
            <w:tcBorders/>
            <w:vAlign w:val="center"/>
          </w:tcPr>
          <w:p>
            <w:pPr>
              <w:pStyle w:val="TableContents"/>
              <w:bidi w:val="0"/>
              <w:spacing w:before="0" w:after="283"/>
              <w:jc w:val="left"/>
              <w:rPr>
                <w:sz w:val="4"/>
                <w:szCs w:val="4"/>
              </w:rPr>
            </w:pPr>
            <w:r>
              <w:rPr>
                <w:sz w:val="4"/>
                <w:szCs w:val="4"/>
              </w:rPr>
            </w:r>
          </w:p>
        </w:tc>
        <w:tc>
          <w:tcPr>
            <w:tcW w:w="3161" w:type="dxa"/>
            <w:tcBorders/>
            <w:vAlign w:val="center"/>
          </w:tcPr>
          <w:p>
            <w:pPr>
              <w:pStyle w:val="TableContents"/>
              <w:bidi w:val="0"/>
              <w:spacing w:before="0" w:after="283"/>
              <w:jc w:val="left"/>
              <w:rPr>
                <w:sz w:val="4"/>
                <w:szCs w:val="4"/>
              </w:rPr>
            </w:pPr>
            <w:r>
              <w:rPr>
                <w:sz w:val="4"/>
                <w:szCs w:val="4"/>
              </w:rPr>
            </w:r>
          </w:p>
        </w:tc>
        <w:tc>
          <w:tcPr>
            <w:tcW w:w="31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74A33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0" w:type="dxa"/>
            <w:gridSpan w:val="3"/>
            <w:tcBorders/>
            <w:shd w:fill="74A33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shd w:fill="74A33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74A33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0" w:type="dxa"/>
            <w:gridSpan w:val="3"/>
            <w:tcBorders/>
            <w:shd w:fill="74A333" w:val="clear"/>
            <w:tcMar>
              <w:top w:w="0" w:type="dxa"/>
              <w:left w:w="0" w:type="dxa"/>
              <w:bottom w:w="0" w:type="dxa"/>
              <w:right w:w="0" w:type="dxa"/>
            </w:tcMar>
            <w:vAlign w:val="center"/>
          </w:tcPr>
          <w:p>
            <w:pPr>
              <w:pStyle w:val="TableContents"/>
              <w:bidi w:val="0"/>
              <w:spacing w:lineRule="auto" w:line="312" w:before="0" w:after="283"/>
              <w:jc w:val="left"/>
              <w:rPr>
                <w:rFonts w:ascii="Arial;sans-serif" w:hAnsi="Arial;sans-serif"/>
                <w:b/>
                <w:color w:val="FFFFFF"/>
                <w:sz w:val="18"/>
              </w:rPr>
            </w:pPr>
            <w:r>
              <w:rPr>
                <w:rFonts w:ascii="Arial;sans-serif" w:hAnsi="Arial;sans-serif"/>
                <w:b/>
                <w:color w:val="FFFFFF"/>
                <w:sz w:val="18"/>
              </w:rPr>
              <w:t>We believe Mr. Hinckley’s financial experience, his familiarity of serving on the boards of public companies, and his knowledge of our company enable him to make valuable contributions to our Board of Directors.</w:t>
            </w:r>
          </w:p>
        </w:tc>
        <w:tc>
          <w:tcPr>
            <w:tcW w:w="373" w:type="dxa"/>
            <w:gridSpan w:val="3"/>
            <w:tcBorders/>
            <w:shd w:fill="74A33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74A33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0" w:type="dxa"/>
            <w:gridSpan w:val="3"/>
            <w:tcBorders/>
            <w:shd w:fill="74A33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shd w:fill="74A33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240" w:after="180"/>
        <w:jc w:val="left"/>
        <w:rPr/>
      </w:pPr>
      <w:r>
        <w:rPr/>
      </w:r>
    </w:p>
    <w:p>
      <w:pPr>
        <w:pStyle w:val="TextBody"/>
        <w:bidi w:val="0"/>
        <w:spacing w:lineRule="auto" w:line="288" w:before="240" w:after="180"/>
        <w:jc w:val="left"/>
        <w:rPr>
          <w:rFonts w:ascii="Arial;sans-serif" w:hAnsi="Arial;sans-serif"/>
          <w:b w:val="false"/>
          <w:color w:val="000000"/>
          <w:sz w:val="24"/>
        </w:rPr>
      </w:pPr>
      <w:r>
        <w:rPr>
          <w:rFonts w:ascii="Arial;sans-serif" w:hAnsi="Arial;sans-serif"/>
          <w:b w:val="false"/>
          <w:color w:val="000000"/>
          <w:sz w:val="24"/>
        </w:rPr>
        <w:t>DIRECTORS CONTINUING IN OFFICE UNTIL THE 2027 ANNUAL MEETING</w:t>
      </w:r>
    </w:p>
    <w:p>
      <w:pPr>
        <w:pStyle w:val="TextBody"/>
        <w:bidi w:val="0"/>
        <w:spacing w:before="0" w:after="300"/>
        <w:jc w:val="left"/>
        <w:rPr/>
      </w:pPr>
      <w:r>
        <w:rPr/>
        <w:drawing>
          <wp:inline distT="0" distB="0" distL="0" distR="0">
            <wp:extent cx="1552575" cy="1552575"/>
            <wp:effectExtent l="0" t="0" r="0" b="0"/>
            <wp:docPr id="27"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14" descr=""/>
                    <pic:cNvPicPr>
                      <a:picLocks noChangeAspect="1" noChangeArrowheads="1"/>
                    </pic:cNvPicPr>
                  </pic:nvPicPr>
                  <pic:blipFill>
                    <a:blip r:embed="rId15"/>
                    <a:stretch>
                      <a:fillRect/>
                    </a:stretch>
                  </pic:blipFill>
                  <pic:spPr bwMode="auto">
                    <a:xfrm>
                      <a:off x="0" y="0"/>
                      <a:ext cx="1552575" cy="1552575"/>
                    </a:xfrm>
                    <a:prstGeom prst="rect">
                      <a:avLst/>
                    </a:prstGeom>
                  </pic:spPr>
                </pic:pic>
              </a:graphicData>
            </a:graphic>
          </wp:inline>
        </w:drawing>
      </w:r>
    </w:p>
    <w:p>
      <w:pPr>
        <w:pStyle w:val="TextBody"/>
        <w:bidi w:val="0"/>
        <w:spacing w:lineRule="auto" w:line="312" w:before="0" w:after="300"/>
        <w:jc w:val="left"/>
        <w:rPr>
          <w:rFonts w:ascii="Arial;sans-serif" w:hAnsi="Arial;sans-serif"/>
          <w:b/>
          <w:color w:val="74A333"/>
          <w:sz w:val="36"/>
        </w:rPr>
      </w:pPr>
      <w:r>
        <w:rPr>
          <w:rFonts w:ascii="Arial;sans-serif" w:hAnsi="Arial;sans-serif"/>
          <w:b/>
          <w:color w:val="74A333"/>
          <w:sz w:val="36"/>
        </w:rPr>
        <w:t>Mika Nishimura</w:t>
      </w:r>
    </w:p>
    <w:p>
      <w:pPr>
        <w:pStyle w:val="TextBody"/>
        <w:bidi w:val="0"/>
        <w:spacing w:lineRule="auto" w:line="312" w:before="0" w:after="180"/>
        <w:jc w:val="left"/>
        <w:rPr>
          <w:rFonts w:ascii="Arial;sans-serif" w:hAnsi="Arial;sans-serif"/>
          <w:b w:val="false"/>
          <w:color w:val="000000"/>
          <w:sz w:val="24"/>
        </w:rPr>
      </w:pPr>
      <w:r>
        <w:rPr>
          <w:rFonts w:ascii="Arial;sans-serif" w:hAnsi="Arial;sans-serif"/>
          <w:b w:val="false"/>
          <w:color w:val="000000"/>
          <w:sz w:val="24"/>
        </w:rPr>
        <w:t>Director | Age: 61 | Director Since: 2021</w:t>
      </w:r>
    </w:p>
    <w:p>
      <w:pPr>
        <w:pStyle w:val="TextBody"/>
        <w:bidi w:val="0"/>
        <w:spacing w:lineRule="auto" w:line="312" w:before="0" w:after="180"/>
        <w:jc w:val="left"/>
        <w:rPr/>
      </w:pPr>
      <w:r>
        <w:rPr>
          <w:rFonts w:ascii="Arial;sans-serif" w:hAnsi="Arial;sans-serif"/>
          <w:b/>
          <w:color w:val="74A333"/>
          <w:sz w:val="18"/>
        </w:rPr>
        <w:t>Mika Nishimura</w:t>
      </w:r>
      <w:r>
        <w:rPr>
          <w:color w:val="000000"/>
        </w:rPr>
        <w:t xml:space="preserve"> </w:t>
      </w:r>
      <w:r>
        <w:rPr>
          <w:rFonts w:ascii="Arial;sans-serif" w:hAnsi="Arial;sans-serif"/>
          <w:b w:val="false"/>
          <w:color w:val="000000"/>
          <w:sz w:val="18"/>
        </w:rPr>
        <w:t xml:space="preserve">has served as a member of our Board of Directors since March 2021. Since 2011, Ms. Nishimura has served as an Operational Partner with Gilde Healthcare Partners, a life-science venture fund. Ms. Nishimura has served as a board member and the chair of the Nominating and Corporate Governance Committee for Accuray, Incorporated, a radiation therapy company since August 2021, and has served as a board advisor to Tristel, plc, a UK-based company since January 2021. Since June 2022, Ms. Nishimura has served as a member of the board of directors and the Audit, Compensation, and Nominating committees, and is the chair of the Healthcare Compliance Committee of HOYA Corporation. From 2016 to April 2020, Ms. Nishimura was Vice President, Commercialization at nVision Medical Corporation, an early clinical-stage company focused on early detection of ovarian cancer acquired by Boston Scientific. From 2011 to 2015, Ms. Nishimura was Vice President, Commercial Development at Auxogyn, which was acquired by Progyny, Inc. in 2015. Earlier in her career, Ms. Nishimura was Vice President, International Sales Operations and Marketing at ev3 Inc. Ms. Nishimura has a BA in Economics from Yale University and an MBA from Harvard Graduate School of Business Administration. </w:t>
      </w:r>
    </w:p>
    <w:tbl>
      <w:tblPr>
        <w:tblW w:w="10205" w:type="dxa"/>
        <w:jc w:val="left"/>
        <w:tblInd w:w="0" w:type="dxa"/>
        <w:tblLayout w:type="fixed"/>
        <w:tblCellMar>
          <w:top w:w="28" w:type="dxa"/>
          <w:left w:w="28" w:type="dxa"/>
          <w:bottom w:w="28" w:type="dxa"/>
          <w:right w:w="28" w:type="dxa"/>
        </w:tblCellMar>
      </w:tblPr>
      <w:tblGrid>
        <w:gridCol w:w="124"/>
        <w:gridCol w:w="109"/>
        <w:gridCol w:w="109"/>
        <w:gridCol w:w="3161"/>
        <w:gridCol w:w="3161"/>
        <w:gridCol w:w="3167"/>
        <w:gridCol w:w="109"/>
        <w:gridCol w:w="109"/>
        <w:gridCol w:w="15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61" w:type="dxa"/>
            <w:tcBorders/>
            <w:vAlign w:val="center"/>
          </w:tcPr>
          <w:p>
            <w:pPr>
              <w:pStyle w:val="TableContents"/>
              <w:bidi w:val="0"/>
              <w:spacing w:before="0" w:after="283"/>
              <w:jc w:val="left"/>
              <w:rPr>
                <w:sz w:val="4"/>
                <w:szCs w:val="4"/>
              </w:rPr>
            </w:pPr>
            <w:r>
              <w:rPr>
                <w:sz w:val="4"/>
                <w:szCs w:val="4"/>
              </w:rPr>
            </w:r>
          </w:p>
        </w:tc>
        <w:tc>
          <w:tcPr>
            <w:tcW w:w="3161" w:type="dxa"/>
            <w:tcBorders/>
            <w:vAlign w:val="center"/>
          </w:tcPr>
          <w:p>
            <w:pPr>
              <w:pStyle w:val="TableContents"/>
              <w:bidi w:val="0"/>
              <w:spacing w:before="0" w:after="283"/>
              <w:jc w:val="left"/>
              <w:rPr>
                <w:sz w:val="4"/>
                <w:szCs w:val="4"/>
              </w:rPr>
            </w:pPr>
            <w:r>
              <w:rPr>
                <w:sz w:val="4"/>
                <w:szCs w:val="4"/>
              </w:rPr>
            </w:r>
          </w:p>
        </w:tc>
        <w:tc>
          <w:tcPr>
            <w:tcW w:w="31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74A33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9" w:type="dxa"/>
            <w:gridSpan w:val="3"/>
            <w:tcBorders/>
            <w:shd w:fill="74A33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shd w:fill="74A33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74A33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9" w:type="dxa"/>
            <w:gridSpan w:val="3"/>
            <w:tcBorders/>
            <w:shd w:fill="74A333" w:val="clear"/>
            <w:tcMar>
              <w:top w:w="0" w:type="dxa"/>
              <w:left w:w="0" w:type="dxa"/>
              <w:bottom w:w="0" w:type="dxa"/>
              <w:right w:w="0" w:type="dxa"/>
            </w:tcMar>
            <w:vAlign w:val="center"/>
          </w:tcPr>
          <w:p>
            <w:pPr>
              <w:pStyle w:val="TableContents"/>
              <w:bidi w:val="0"/>
              <w:spacing w:lineRule="auto" w:line="312" w:before="0" w:after="283"/>
              <w:jc w:val="left"/>
              <w:rPr>
                <w:rFonts w:ascii="Arial;sans-serif" w:hAnsi="Arial;sans-serif"/>
                <w:b/>
                <w:color w:val="FFFFFF"/>
                <w:sz w:val="18"/>
              </w:rPr>
            </w:pPr>
            <w:r>
              <w:rPr>
                <w:rFonts w:ascii="Arial;sans-serif" w:hAnsi="Arial;sans-serif"/>
                <w:b/>
                <w:color w:val="FFFFFF"/>
                <w:sz w:val="18"/>
              </w:rPr>
              <w:t>We believe that Ms. Nishimura’s experience working for medical device companies across multiple phases of commercialization will enable her to make valuable contributions to our Board of Directors.</w:t>
            </w:r>
          </w:p>
        </w:tc>
        <w:tc>
          <w:tcPr>
            <w:tcW w:w="374" w:type="dxa"/>
            <w:gridSpan w:val="3"/>
            <w:tcBorders/>
            <w:shd w:fill="74A33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74A33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9" w:type="dxa"/>
            <w:gridSpan w:val="3"/>
            <w:tcBorders/>
            <w:shd w:fill="74A33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shd w:fill="74A33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drawing>
          <wp:inline distT="0" distB="0" distL="0" distR="0">
            <wp:extent cx="1552575" cy="1552575"/>
            <wp:effectExtent l="0" t="0" r="0" b="0"/>
            <wp:docPr id="28"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15" descr=""/>
                    <pic:cNvPicPr>
                      <a:picLocks noChangeAspect="1" noChangeArrowheads="1"/>
                    </pic:cNvPicPr>
                  </pic:nvPicPr>
                  <pic:blipFill>
                    <a:blip r:embed="rId16"/>
                    <a:stretch>
                      <a:fillRect/>
                    </a:stretch>
                  </pic:blipFill>
                  <pic:spPr bwMode="auto">
                    <a:xfrm>
                      <a:off x="0" y="0"/>
                      <a:ext cx="1552575" cy="1552575"/>
                    </a:xfrm>
                    <a:prstGeom prst="rect">
                      <a:avLst/>
                    </a:prstGeom>
                  </pic:spPr>
                </pic:pic>
              </a:graphicData>
            </a:graphic>
          </wp:inline>
        </w:drawing>
      </w:r>
    </w:p>
    <w:p>
      <w:pPr>
        <w:pStyle w:val="TextBody"/>
        <w:bidi w:val="0"/>
        <w:spacing w:lineRule="auto" w:line="288" w:before="0" w:after="600"/>
        <w:jc w:val="left"/>
        <w:rPr>
          <w:rFonts w:ascii="Arial;sans-serif" w:hAnsi="Arial;sans-serif"/>
          <w:b/>
          <w:color w:val="74A333"/>
          <w:sz w:val="36"/>
        </w:rPr>
      </w:pPr>
      <w:r>
        <w:rPr>
          <w:rFonts w:ascii="Arial;sans-serif" w:hAnsi="Arial;sans-serif"/>
          <w:b/>
          <w:color w:val="74A333"/>
          <w:sz w:val="36"/>
        </w:rPr>
        <w:t>Thomas A. West</w:t>
      </w:r>
    </w:p>
    <w:p>
      <w:pPr>
        <w:pStyle w:val="TextBody"/>
        <w:bidi w:val="0"/>
        <w:spacing w:lineRule="auto" w:line="288" w:before="0" w:after="180"/>
        <w:jc w:val="left"/>
        <w:rPr>
          <w:rFonts w:ascii="Arial;sans-serif" w:hAnsi="Arial;sans-serif"/>
          <w:b w:val="false"/>
          <w:color w:val="000000"/>
          <w:sz w:val="24"/>
        </w:rPr>
      </w:pPr>
      <w:r>
        <w:rPr>
          <w:rFonts w:ascii="Arial;sans-serif" w:hAnsi="Arial;sans-serif"/>
          <w:b w:val="false"/>
          <w:color w:val="000000"/>
          <w:sz w:val="24"/>
        </w:rPr>
        <w:t>Director | Age: 61 | Director Since: 2024</w:t>
      </w:r>
    </w:p>
    <w:p>
      <w:pPr>
        <w:pStyle w:val="TextBody"/>
        <w:bidi w:val="0"/>
        <w:spacing w:lineRule="auto" w:line="312" w:before="0" w:after="180"/>
        <w:jc w:val="left"/>
        <w:rPr/>
      </w:pPr>
      <w:r>
        <w:rPr>
          <w:rFonts w:ascii="Arial;sans-serif" w:hAnsi="Arial;sans-serif"/>
          <w:b/>
          <w:color w:val="74A333"/>
          <w:sz w:val="18"/>
        </w:rPr>
        <w:t>Thomas A. West</w:t>
      </w:r>
      <w:r>
        <w:rPr>
          <w:color w:val="000000"/>
        </w:rPr>
        <w:t xml:space="preserve"> </w:t>
      </w:r>
      <w:r>
        <w:rPr>
          <w:rFonts w:ascii="Arial;sans-serif" w:hAnsi="Arial;sans-serif"/>
          <w:b w:val="false"/>
          <w:color w:val="000000"/>
          <w:sz w:val="18"/>
        </w:rPr>
        <w:t>has served as a member of our Board of Directors since June 2024. Mr. West is the President, Chief Executive Officer and a member of the Board of Directors of Nalu Medical, Inc., a privately held medical device company focused on developing and commercializing innovative and minimally invasive neurostimulation solutions for chronic intractable pain. He has led Nalu since August 2022. Before joining Nalu, from 2019 to 2022, Mr. West served as President, Chief Executive Officer and Director at Intersect ENT, Inc., a medical device company in the sinus surgery space, that was acquired by Medtronic in May 2022. Prior to Intersect, Mr. West served as Worldwide President, Diagnostic Solutions at Hologic, Inc., a medical technology company, from 2015 to 2019. Mr. West began his healthcare career at Johnson &amp; Johnson, where he assumed roles of increasing responsibility over a twenty-three-year tenure including Worldwide President of Strategy and Business Development for the Johnson &amp; Johnson Family of Diabetes Solutions Companies, Division President of LifeScan North America and Division President of LifeScan Europe, Middle East and Africa. Mr. West previously served as a member of the Board of Director at Inogen, Inc., a medical device company in the respiratory field, and Orthofix Medical, Inc., a medical device company in the orthopedics and spine space. He has also previously served as a member of the Board of Directors of the medical technology trade associations, AdvaMed, and Biocom California. Mr. West received a B.A. in Politics and Economics from Princeton University and an MBA from the University of Pennsylvania, Wharton School.</w:t>
      </w:r>
    </w:p>
    <w:tbl>
      <w:tblPr>
        <w:tblW w:w="10205" w:type="dxa"/>
        <w:jc w:val="left"/>
        <w:tblInd w:w="0" w:type="dxa"/>
        <w:tblLayout w:type="fixed"/>
        <w:tblCellMar>
          <w:top w:w="28" w:type="dxa"/>
          <w:left w:w="28" w:type="dxa"/>
          <w:bottom w:w="28" w:type="dxa"/>
          <w:right w:w="28" w:type="dxa"/>
        </w:tblCellMar>
      </w:tblPr>
      <w:tblGrid>
        <w:gridCol w:w="124"/>
        <w:gridCol w:w="109"/>
        <w:gridCol w:w="109"/>
        <w:gridCol w:w="3160"/>
        <w:gridCol w:w="3160"/>
        <w:gridCol w:w="3169"/>
        <w:gridCol w:w="109"/>
        <w:gridCol w:w="109"/>
        <w:gridCol w:w="15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60" w:type="dxa"/>
            <w:tcBorders/>
            <w:vAlign w:val="center"/>
          </w:tcPr>
          <w:p>
            <w:pPr>
              <w:pStyle w:val="TableContents"/>
              <w:bidi w:val="0"/>
              <w:spacing w:before="0" w:after="283"/>
              <w:jc w:val="left"/>
              <w:rPr>
                <w:sz w:val="4"/>
                <w:szCs w:val="4"/>
              </w:rPr>
            </w:pPr>
            <w:r>
              <w:rPr>
                <w:sz w:val="4"/>
                <w:szCs w:val="4"/>
              </w:rPr>
            </w:r>
          </w:p>
        </w:tc>
        <w:tc>
          <w:tcPr>
            <w:tcW w:w="3160" w:type="dxa"/>
            <w:tcBorders/>
            <w:vAlign w:val="center"/>
          </w:tcPr>
          <w:p>
            <w:pPr>
              <w:pStyle w:val="TableContents"/>
              <w:bidi w:val="0"/>
              <w:spacing w:before="0" w:after="283"/>
              <w:jc w:val="left"/>
              <w:rPr>
                <w:sz w:val="4"/>
                <w:szCs w:val="4"/>
              </w:rPr>
            </w:pPr>
            <w:r>
              <w:rPr>
                <w:sz w:val="4"/>
                <w:szCs w:val="4"/>
              </w:rPr>
            </w:r>
          </w:p>
        </w:tc>
        <w:tc>
          <w:tcPr>
            <w:tcW w:w="31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74A33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9" w:type="dxa"/>
            <w:gridSpan w:val="3"/>
            <w:tcBorders/>
            <w:shd w:fill="74A33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shd w:fill="74A33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74A33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9" w:type="dxa"/>
            <w:gridSpan w:val="3"/>
            <w:tcBorders/>
            <w:shd w:fill="74A333" w:val="clear"/>
            <w:tcMar>
              <w:top w:w="0" w:type="dxa"/>
              <w:left w:w="0" w:type="dxa"/>
              <w:bottom w:w="0" w:type="dxa"/>
              <w:right w:w="0" w:type="dxa"/>
            </w:tcMar>
            <w:vAlign w:val="center"/>
          </w:tcPr>
          <w:p>
            <w:pPr>
              <w:pStyle w:val="TableContents"/>
              <w:bidi w:val="0"/>
              <w:spacing w:lineRule="auto" w:line="312" w:before="0" w:after="283"/>
              <w:jc w:val="left"/>
              <w:rPr>
                <w:rFonts w:ascii="Arial;sans-serif" w:hAnsi="Arial;sans-serif"/>
                <w:b/>
                <w:color w:val="FFFFFF"/>
                <w:sz w:val="18"/>
              </w:rPr>
            </w:pPr>
            <w:r>
              <w:rPr>
                <w:rFonts w:ascii="Arial;sans-serif" w:hAnsi="Arial;sans-serif"/>
                <w:b/>
                <w:color w:val="FFFFFF"/>
                <w:sz w:val="18"/>
              </w:rPr>
              <w:t>We believe that Mr. West’s extensive experience in the medical device industry will enable him to make valuable contributions to our Board of Directors.</w:t>
            </w:r>
          </w:p>
        </w:tc>
        <w:tc>
          <w:tcPr>
            <w:tcW w:w="374" w:type="dxa"/>
            <w:gridSpan w:val="3"/>
            <w:tcBorders/>
            <w:shd w:fill="74A33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74A33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9" w:type="dxa"/>
            <w:gridSpan w:val="3"/>
            <w:tcBorders/>
            <w:shd w:fill="74A33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shd w:fill="74A33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300"/>
        <w:jc w:val="left"/>
        <w:rPr/>
      </w:pPr>
      <w:r>
        <w:rPr/>
        <w:drawing>
          <wp:inline distT="0" distB="0" distL="0" distR="0">
            <wp:extent cx="1552575" cy="1552575"/>
            <wp:effectExtent l="0" t="0" r="0" b="0"/>
            <wp:docPr id="29"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16" descr=""/>
                    <pic:cNvPicPr>
                      <a:picLocks noChangeAspect="1" noChangeArrowheads="1"/>
                    </pic:cNvPicPr>
                  </pic:nvPicPr>
                  <pic:blipFill>
                    <a:blip r:embed="rId17"/>
                    <a:stretch>
                      <a:fillRect/>
                    </a:stretch>
                  </pic:blipFill>
                  <pic:spPr bwMode="auto">
                    <a:xfrm>
                      <a:off x="0" y="0"/>
                      <a:ext cx="1552575" cy="1552575"/>
                    </a:xfrm>
                    <a:prstGeom prst="rect">
                      <a:avLst/>
                    </a:prstGeom>
                  </pic:spPr>
                </pic:pic>
              </a:graphicData>
            </a:graphic>
          </wp:inline>
        </w:drawing>
      </w:r>
    </w:p>
    <w:p>
      <w:pPr>
        <w:pStyle w:val="TextBody"/>
        <w:bidi w:val="0"/>
        <w:spacing w:lineRule="auto" w:line="288" w:before="0" w:after="0"/>
        <w:jc w:val="left"/>
        <w:rPr>
          <w:rFonts w:ascii="Arial;sans-serif" w:hAnsi="Arial;sans-serif"/>
          <w:b/>
          <w:color w:val="74A333"/>
          <w:sz w:val="36"/>
        </w:rPr>
      </w:pPr>
      <w:r>
        <w:rPr>
          <w:rFonts w:ascii="Arial;sans-serif" w:hAnsi="Arial;sans-serif"/>
          <w:b/>
          <w:color w:val="74A333"/>
          <w:sz w:val="36"/>
        </w:rPr>
        <w:t>Daniel W. Wolf</w:t>
      </w:r>
    </w:p>
    <w:p>
      <w:pPr>
        <w:pStyle w:val="TextBody"/>
        <w:bidi w:val="0"/>
        <w:spacing w:lineRule="auto" w:line="312" w:before="0" w:after="180"/>
        <w:jc w:val="left"/>
        <w:rPr>
          <w:rFonts w:ascii="Arial;sans-serif" w:hAnsi="Arial;sans-serif"/>
          <w:b w:val="false"/>
          <w:color w:val="000000"/>
          <w:sz w:val="24"/>
        </w:rPr>
      </w:pPr>
      <w:r>
        <w:rPr>
          <w:rFonts w:ascii="Arial;sans-serif" w:hAnsi="Arial;sans-serif"/>
          <w:b w:val="false"/>
          <w:color w:val="000000"/>
          <w:sz w:val="24"/>
        </w:rPr>
        <w:t>Director | Age: 41 | Director Since: 2024</w:t>
      </w:r>
    </w:p>
    <w:p>
      <w:pPr>
        <w:pStyle w:val="TextBody"/>
        <w:bidi w:val="0"/>
        <w:spacing w:lineRule="auto" w:line="312" w:before="0" w:after="180"/>
        <w:jc w:val="left"/>
        <w:rPr/>
      </w:pPr>
      <w:r>
        <w:rPr>
          <w:rFonts w:ascii="Arial;sans-serif" w:hAnsi="Arial;sans-serif"/>
          <w:b/>
          <w:color w:val="74A333"/>
          <w:sz w:val="18"/>
        </w:rPr>
        <w:t>Daniel W. Wolf</w:t>
      </w:r>
      <w:r>
        <w:rPr>
          <w:color w:val="000000"/>
        </w:rPr>
        <w:t xml:space="preserve"> </w:t>
      </w:r>
      <w:r>
        <w:rPr>
          <w:rFonts w:ascii="Arial;sans-serif" w:hAnsi="Arial;sans-serif"/>
          <w:b w:val="false"/>
          <w:color w:val="000000"/>
          <w:sz w:val="18"/>
        </w:rPr>
        <w:t xml:space="preserve">has served as a member of our Board of Directors since August 2024. Since April 2025, Mr. Wolf has served as Chief Financial Officer of Theradaptive, Inc., a company developing next generation biologics to facilitate bone healing and re-growth. Since 2024, Mr. Wolf has also served as Chief Executive Officer and founder of Wolf Rock Capital, a corporate development consulting firm for healthcare companies. From 2022 to 2024, Mr. Wolf served as Senior Vice President, Chief Strategy and M&amp;A Officer at Baxter International Inc., a multinational healthcare company. From July 2010 to August 2022, Mr. Wolf served in various leadership roles with Medtronic plc., a medical device company, including in strategy, business development and healthcare economics, as well as in corporate development and national and strategic accounts. Mr. Wolf began his career as a healthcare investment banking analyst at Piper Jaffray Companies (now known as Piper Sandler Companies), an investment bank and institutional securities firm. Mr. Wolf received his bachelor's degree in economics, with a minor in mathematics, from Bowdoin College, a master's degree in business administration from the Harvard Business School and a master’s degree in health sciences &amp; technology from Massachusetts Institute of Technology. </w:t>
      </w:r>
    </w:p>
    <w:tbl>
      <w:tblPr>
        <w:tblW w:w="10205" w:type="dxa"/>
        <w:jc w:val="left"/>
        <w:tblInd w:w="0" w:type="dxa"/>
        <w:tblLayout w:type="fixed"/>
        <w:tblCellMar>
          <w:top w:w="28" w:type="dxa"/>
          <w:left w:w="28" w:type="dxa"/>
          <w:bottom w:w="28" w:type="dxa"/>
          <w:right w:w="28" w:type="dxa"/>
        </w:tblCellMar>
      </w:tblPr>
      <w:tblGrid>
        <w:gridCol w:w="124"/>
        <w:gridCol w:w="109"/>
        <w:gridCol w:w="109"/>
        <w:gridCol w:w="3160"/>
        <w:gridCol w:w="3160"/>
        <w:gridCol w:w="3169"/>
        <w:gridCol w:w="109"/>
        <w:gridCol w:w="109"/>
        <w:gridCol w:w="15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60" w:type="dxa"/>
            <w:tcBorders/>
            <w:vAlign w:val="center"/>
          </w:tcPr>
          <w:p>
            <w:pPr>
              <w:pStyle w:val="TableContents"/>
              <w:bidi w:val="0"/>
              <w:spacing w:before="0" w:after="283"/>
              <w:jc w:val="left"/>
              <w:rPr>
                <w:sz w:val="4"/>
                <w:szCs w:val="4"/>
              </w:rPr>
            </w:pPr>
            <w:r>
              <w:rPr>
                <w:sz w:val="4"/>
                <w:szCs w:val="4"/>
              </w:rPr>
            </w:r>
          </w:p>
        </w:tc>
        <w:tc>
          <w:tcPr>
            <w:tcW w:w="3160" w:type="dxa"/>
            <w:tcBorders/>
            <w:vAlign w:val="center"/>
          </w:tcPr>
          <w:p>
            <w:pPr>
              <w:pStyle w:val="TableContents"/>
              <w:bidi w:val="0"/>
              <w:spacing w:before="0" w:after="283"/>
              <w:jc w:val="left"/>
              <w:rPr>
                <w:sz w:val="4"/>
                <w:szCs w:val="4"/>
              </w:rPr>
            </w:pPr>
            <w:r>
              <w:rPr>
                <w:sz w:val="4"/>
                <w:szCs w:val="4"/>
              </w:rPr>
            </w:r>
          </w:p>
        </w:tc>
        <w:tc>
          <w:tcPr>
            <w:tcW w:w="31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74A33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9" w:type="dxa"/>
            <w:gridSpan w:val="3"/>
            <w:tcBorders/>
            <w:shd w:fill="74A33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shd w:fill="74A33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74A33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9" w:type="dxa"/>
            <w:gridSpan w:val="3"/>
            <w:tcBorders/>
            <w:shd w:fill="74A333" w:val="clear"/>
            <w:tcMar>
              <w:top w:w="0" w:type="dxa"/>
              <w:left w:w="0" w:type="dxa"/>
              <w:bottom w:w="0" w:type="dxa"/>
              <w:right w:w="0" w:type="dxa"/>
            </w:tcMar>
            <w:vAlign w:val="center"/>
          </w:tcPr>
          <w:p>
            <w:pPr>
              <w:pStyle w:val="TableContents"/>
              <w:bidi w:val="0"/>
              <w:spacing w:lineRule="auto" w:line="312" w:before="0" w:after="283"/>
              <w:jc w:val="left"/>
              <w:rPr>
                <w:rFonts w:ascii="Arial;sans-serif" w:hAnsi="Arial;sans-serif"/>
                <w:b/>
                <w:color w:val="FFFFFF"/>
                <w:sz w:val="18"/>
              </w:rPr>
            </w:pPr>
            <w:r>
              <w:rPr>
                <w:rFonts w:ascii="Arial;sans-serif" w:hAnsi="Arial;sans-serif"/>
                <w:b/>
                <w:color w:val="FFFFFF"/>
                <w:sz w:val="18"/>
              </w:rPr>
              <w:t>We believe Mr. Wolf's strategic experience, experience with medical device companies, and his knowledge of our company enable him to make valuable contributions to our Board of Directors.</w:t>
            </w:r>
          </w:p>
        </w:tc>
        <w:tc>
          <w:tcPr>
            <w:tcW w:w="374" w:type="dxa"/>
            <w:gridSpan w:val="3"/>
            <w:tcBorders/>
            <w:shd w:fill="74A33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74A33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9" w:type="dxa"/>
            <w:gridSpan w:val="3"/>
            <w:tcBorders/>
            <w:shd w:fill="74A33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shd w:fill="74A33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12" w:before="0" w:after="180"/>
        <w:jc w:val="left"/>
        <w:rPr>
          <w:rFonts w:ascii="Arial;sans-serif" w:hAnsi="Arial;sans-serif"/>
          <w:b w:val="false"/>
          <w:color w:val="000000"/>
          <w:sz w:val="18"/>
        </w:rPr>
      </w:pPr>
      <w:r>
        <w:rPr>
          <w:rFonts w:ascii="Arial;sans-serif" w:hAnsi="Arial;sans-serif"/>
          <w:b w:val="false"/>
          <w:color w:val="000000"/>
          <w:sz w:val="18"/>
        </w:rPr>
        <w:t>Each of our directors, other than Mr. Dunn and Ms. Francis, is independent as defined under the Nasdaq Global Market listing standards. See “Independence of the Board of Directors” immediately below.</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739140"/>
                <wp:effectExtent l="0" t="0" r="0" b="0"/>
                <wp:wrapNone/>
                <wp:docPr id="30" name="Frame14"/>
                <a:graphic xmlns:a="http://schemas.openxmlformats.org/drawingml/2006/main">
                  <a:graphicData uri="http://schemas.microsoft.com/office/word/2010/wordprocessingShape">
                    <wps:wsp>
                      <wps:cNvSpPr txBox="1"/>
                      <wps:spPr>
                        <a:xfrm>
                          <a:off x="0" y="0"/>
                          <a:ext cx="6480175" cy="739140"/>
                        </a:xfrm>
                        <a:prstGeom prst="rect"/>
                        <a:solidFill>
                          <a:srgbClr val="FFFFFF"/>
                        </a:solidFill>
                      </wps:spPr>
                      <wps:txbx>
                        <w:txbxContent>
                          <w:tbl>
                            <w:tblPr>
                              <w:tblW w:w="3266" w:type="dxa"/>
                              <w:jc w:val="center"/>
                              <w:tblInd w:w="0" w:type="dxa"/>
                              <w:tblLayout w:type="fixed"/>
                              <w:tblCellMar>
                                <w:top w:w="28" w:type="dxa"/>
                                <w:left w:w="28" w:type="dxa"/>
                                <w:bottom w:w="28" w:type="dxa"/>
                                <w:right w:w="28" w:type="dxa"/>
                              </w:tblCellMar>
                            </w:tblPr>
                            <w:tblGrid>
                              <w:gridCol w:w="424"/>
                              <w:gridCol w:w="372"/>
                              <w:gridCol w:w="374"/>
                              <w:gridCol w:w="109"/>
                              <w:gridCol w:w="109"/>
                              <w:gridCol w:w="109"/>
                              <w:gridCol w:w="517"/>
                              <w:gridCol w:w="517"/>
                              <w:gridCol w:w="735"/>
                            </w:tblGrid>
                            <w:tr>
                              <w:trPr/>
                              <w:tc>
                                <w:tcPr>
                                  <w:tcW w:w="424"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r>
                            <w:tr>
                              <w:trPr/>
                              <w:tc>
                                <w:tcPr>
                                  <w:tcW w:w="1170"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6"/>
                                    </w:rPr>
                                  </w:pPr>
                                  <w:r>
                                    <w:rPr>
                                      <w:rFonts w:ascii="Arial;sans-serif" w:hAnsi="Arial;sans-serif"/>
                                      <w:b/>
                                      <w:color w:val="000000"/>
                                      <w:sz w:val="16"/>
                                    </w:rPr>
                                    <w:t>SI-BONE, Inc.</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000000"/>
                                      <w:sz w:val="16"/>
                                    </w:rPr>
                                  </w:pPr>
                                  <w:r>
                                    <w:rPr>
                                      <w:rFonts w:ascii="Arial;sans-serif" w:hAnsi="Arial;sans-serif"/>
                                      <w:b/>
                                      <w:color w:val="000000"/>
                                      <w:sz w:val="16"/>
                                    </w:rPr>
                                    <w:t>9</w:t>
                                  </w:r>
                                </w:p>
                              </w:tc>
                              <w:tc>
                                <w:tcPr>
                                  <w:tcW w:w="176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2025 Proxy Statement</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2pt;mso-wrap-distance-left:0pt;mso-wrap-distance-right:0pt;mso-wrap-distance-top:0pt;mso-wrap-distance-bottom:0pt;margin-top:0pt;mso-position-vertical:top;mso-position-vertical-relative:text;margin-left:0pt;mso-position-horizontal:left;mso-position-horizontal-relative:text">
                <v:textbox>
                  <w:txbxContent>
                    <w:tbl>
                      <w:tblPr>
                        <w:tblW w:w="3266" w:type="dxa"/>
                        <w:jc w:val="center"/>
                        <w:tblInd w:w="0" w:type="dxa"/>
                        <w:tblLayout w:type="fixed"/>
                        <w:tblCellMar>
                          <w:top w:w="28" w:type="dxa"/>
                          <w:left w:w="28" w:type="dxa"/>
                          <w:bottom w:w="28" w:type="dxa"/>
                          <w:right w:w="28" w:type="dxa"/>
                        </w:tblCellMar>
                      </w:tblPr>
                      <w:tblGrid>
                        <w:gridCol w:w="424"/>
                        <w:gridCol w:w="372"/>
                        <w:gridCol w:w="374"/>
                        <w:gridCol w:w="109"/>
                        <w:gridCol w:w="109"/>
                        <w:gridCol w:w="109"/>
                        <w:gridCol w:w="517"/>
                        <w:gridCol w:w="517"/>
                        <w:gridCol w:w="735"/>
                      </w:tblGrid>
                      <w:tr>
                        <w:trPr/>
                        <w:tc>
                          <w:tcPr>
                            <w:tcW w:w="424"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r>
                      <w:tr>
                        <w:trPr/>
                        <w:tc>
                          <w:tcPr>
                            <w:tcW w:w="1170"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6"/>
                              </w:rPr>
                            </w:pPr>
                            <w:r>
                              <w:rPr>
                                <w:rFonts w:ascii="Arial;sans-serif" w:hAnsi="Arial;sans-serif"/>
                                <w:b/>
                                <w:color w:val="000000"/>
                                <w:sz w:val="16"/>
                              </w:rPr>
                              <w:t>SI-BONE, Inc.</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000000"/>
                                <w:sz w:val="16"/>
                              </w:rPr>
                            </w:pPr>
                            <w:r>
                              <w:rPr>
                                <w:rFonts w:ascii="Arial;sans-serif" w:hAnsi="Arial;sans-serif"/>
                                <w:b/>
                                <w:color w:val="000000"/>
                                <w:sz w:val="16"/>
                              </w:rPr>
                              <w:t>9</w:t>
                            </w:r>
                          </w:p>
                        </w:tc>
                        <w:tc>
                          <w:tcPr>
                            <w:tcW w:w="176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2025 Proxy Statement</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right"/>
        <w:rPr>
          <w:rFonts w:ascii="Arial;sans-serif" w:hAnsi="Arial;sans-serif"/>
          <w:b w:val="false"/>
          <w:color w:val="000000"/>
          <w:sz w:val="16"/>
        </w:rPr>
      </w:pPr>
      <w:r>
        <w:rPr>
          <w:rFonts w:ascii="Arial;sans-serif" w:hAnsi="Arial;sans-serif"/>
          <w:b w:val="false"/>
          <w:color w:val="000000"/>
          <w:sz w:val="16"/>
        </w:rPr>
        <w:t>Table of Contents</w:t>
      </w:r>
    </w:p>
    <w:p>
      <w:pPr>
        <w:pStyle w:val="TextBody"/>
        <w:bidi w:val="0"/>
        <w:spacing w:lineRule="auto" w:line="288" w:before="0" w:after="0"/>
        <w:jc w:val="left"/>
        <w:rPr>
          <w:rFonts w:ascii="Arial;sans-serif" w:hAnsi="Arial;sans-serif"/>
          <w:b/>
          <w:color w:val="000000"/>
          <w:sz w:val="56"/>
        </w:rPr>
      </w:pPr>
      <w:r>
        <w:rPr>
          <w:rFonts w:ascii="Arial;sans-serif" w:hAnsi="Arial;sans-serif"/>
          <w:b/>
          <w:color w:val="000000"/>
          <w:sz w:val="56"/>
        </w:rPr>
        <w:t>Information Regarding the Board of Directors and Corporate Governance</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80"/>
        <w:jc w:val="left"/>
        <w:rPr>
          <w:rFonts w:ascii="Arial;sans-serif" w:hAnsi="Arial;sans-serif"/>
          <w:b w:val="false"/>
          <w:color w:val="000000"/>
          <w:sz w:val="24"/>
        </w:rPr>
      </w:pPr>
      <w:r>
        <w:rPr>
          <w:rFonts w:ascii="Arial;sans-serif" w:hAnsi="Arial;sans-serif"/>
          <w:b w:val="false"/>
          <w:color w:val="000000"/>
          <w:sz w:val="24"/>
        </w:rPr>
        <w:t>FAMILY RELATIONSHIPS</w:t>
      </w:r>
    </w:p>
    <w:p>
      <w:pPr>
        <w:pStyle w:val="TextBody"/>
        <w:bidi w:val="0"/>
        <w:spacing w:lineRule="auto" w:line="312" w:before="0" w:after="180"/>
        <w:jc w:val="left"/>
        <w:rPr>
          <w:rFonts w:ascii="Arial;sans-serif" w:hAnsi="Arial;sans-serif"/>
          <w:b w:val="false"/>
          <w:color w:val="000000"/>
          <w:sz w:val="18"/>
        </w:rPr>
      </w:pPr>
      <w:r>
        <w:rPr>
          <w:rFonts w:ascii="Arial;sans-serif" w:hAnsi="Arial;sans-serif"/>
          <w:b w:val="false"/>
          <w:color w:val="000000"/>
          <w:sz w:val="18"/>
        </w:rPr>
        <w:t>There are no family relationships among the directors and executive officers.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80"/>
        <w:jc w:val="left"/>
        <w:rPr>
          <w:rFonts w:ascii="Arial;sans-serif" w:hAnsi="Arial;sans-serif"/>
          <w:b w:val="false"/>
          <w:color w:val="000000"/>
          <w:sz w:val="24"/>
        </w:rPr>
      </w:pPr>
      <w:r>
        <w:rPr>
          <w:rFonts w:ascii="Arial;sans-serif" w:hAnsi="Arial;sans-serif"/>
          <w:b w:val="false"/>
          <w:color w:val="000000"/>
          <w:sz w:val="24"/>
        </w:rPr>
        <w:t>INDEPENDENCE OF THE BOARD OF DIRECTORS</w:t>
      </w:r>
    </w:p>
    <w:p>
      <w:pPr>
        <w:pStyle w:val="TextBody"/>
        <w:bidi w:val="0"/>
        <w:spacing w:lineRule="auto" w:line="312" w:before="0" w:after="180"/>
        <w:jc w:val="left"/>
        <w:rPr>
          <w:rFonts w:ascii="Arial;sans-serif" w:hAnsi="Arial;sans-serif"/>
          <w:b w:val="false"/>
          <w:color w:val="000000"/>
          <w:sz w:val="18"/>
        </w:rPr>
      </w:pPr>
      <w:r>
        <w:rPr>
          <w:rFonts w:ascii="Arial;sans-serif" w:hAnsi="Arial;sans-serif"/>
          <w:b w:val="false"/>
          <w:color w:val="000000"/>
          <w:sz w:val="18"/>
        </w:rPr>
        <w:t>As required under the Nasdaq Global Market (“Nasdaq”) listing standards, a majority of the members of a listed company’s Board of Directors must qualify as “independent,” as affirmatively determined by the Board of Directors. The Board of Directors consults with SI-BONE’s counsel to ensure that the Board of Directors’ determinations are consistent with relevant securities and other laws and regulations regarding the definition of “independent,” including those set forth in pertinent listing standards of Nasdaq, as in effect from time to time.</w:t>
      </w:r>
    </w:p>
    <w:p>
      <w:pPr>
        <w:pStyle w:val="TextBody"/>
        <w:bidi w:val="0"/>
        <w:spacing w:lineRule="auto" w:line="312" w:before="0" w:after="180"/>
        <w:jc w:val="left"/>
        <w:rPr>
          <w:rFonts w:ascii="Arial;sans-serif" w:hAnsi="Arial;sans-serif"/>
          <w:b w:val="false"/>
          <w:color w:val="000000"/>
          <w:sz w:val="18"/>
        </w:rPr>
      </w:pPr>
      <w:r>
        <w:rPr>
          <w:rFonts w:ascii="Arial;sans-serif" w:hAnsi="Arial;sans-serif"/>
          <w:b w:val="false"/>
          <w:color w:val="000000"/>
          <w:sz w:val="18"/>
        </w:rPr>
        <w:t>Consistent with these considerations, after review of all relevant identified transactions or relationships between each director, or any of his or her family members, and SI-BONE, its senior management and its independent auditors, the Board of Directors has affirmatively determined that (1) the following seven current directors are independent directors within the meaning of the applicable Nasdaq listing standards: Mr. Davis, Dr. Freund, Ms. Hilleman, Mr. Hinckley, Ms. Nishimura, Mr. West, and Mr. Wolf, and (ii) the following nominees for director are each an independent director within the meaning of the applicable Nasdaq listing standards: Mr. Davis and Ms. Hilleman. In making this determination, the Board of Directors found that none of the directors or nominees for director other than Mr. Dunn and Ms. Francis had a material or other disqualifying relationship with SI-BONE and that each of these directors is “independent” as that term is defined under the rules of the Nasdaq Global Market. Mr. Dunn is not independent given his position as our former President and Chief Executive Officer, and Ms. Francis is not independent given her position as our Chief Executive Officer. Accordingly, a majority of our directors are independent, as required under applicable Nasdaq listing rules.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80"/>
        <w:jc w:val="left"/>
        <w:rPr>
          <w:rFonts w:ascii="Arial;sans-serif" w:hAnsi="Arial;sans-serif"/>
          <w:b w:val="false"/>
          <w:color w:val="000000"/>
          <w:sz w:val="24"/>
        </w:rPr>
      </w:pPr>
      <w:r>
        <w:rPr>
          <w:rFonts w:ascii="Arial;sans-serif" w:hAnsi="Arial;sans-serif"/>
          <w:b w:val="false"/>
          <w:color w:val="000000"/>
          <w:sz w:val="24"/>
        </w:rPr>
        <w:t>TERM OF SERVICE OF DIRECTORS</w:t>
      </w:r>
    </w:p>
    <w:p>
      <w:pPr>
        <w:pStyle w:val="TextBody"/>
        <w:bidi w:val="0"/>
        <w:spacing w:lineRule="auto" w:line="312" w:before="0" w:after="180"/>
        <w:jc w:val="left"/>
        <w:rPr/>
      </w:pPr>
      <w:r>
        <w:rPr>
          <w:rFonts w:ascii="Arial;sans-serif" w:hAnsi="Arial;sans-serif"/>
          <w:b w:val="false"/>
          <w:color w:val="000000"/>
          <w:sz w:val="18"/>
        </w:rPr>
        <w:t>As described in Proposal No. 1 above, our directors serve for staggered three-year terms. We believe that a classified board, with a supermajority vote of our stockholders required to amend our certificate of incorporation and bylaws and thereby change this structure and/or to take other significant stockholder actions, is in the best long-term interest of our stockholders because it improves board stability and encourages long-term planning. These governance structures are also shared among a majority of our peer companies, including among our compensation peer groups described below. As our company matures, we will continue to evaluate this and other decisions we have made regarding our corporate governance structures. Members of our leadership team hold regular meetings with investors and their governance representatives to discuss their views. While some stockholders have, as a matter of general application, a preference for one-year terms for directors and simple majority voting to amend our certificate of incorporation or bylaws, we have not generally encountered significant or specific objections to the corporate governance decisions we have made</w:t>
      </w:r>
      <w:r>
        <w:rPr>
          <w:rFonts w:ascii="Times New Roman;sans-serif" w:hAnsi="Times New Roman;sans-serif"/>
          <w:b w:val="false"/>
          <w:color w:val="FF0090"/>
          <w:sz w:val="20"/>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80"/>
        <w:jc w:val="left"/>
        <w:rPr>
          <w:rFonts w:ascii="Arial;sans-serif" w:hAnsi="Arial;sans-serif"/>
          <w:b w:val="false"/>
          <w:color w:val="000000"/>
          <w:sz w:val="24"/>
        </w:rPr>
      </w:pPr>
      <w:r>
        <w:rPr>
          <w:rFonts w:ascii="Arial;sans-serif" w:hAnsi="Arial;sans-serif"/>
          <w:b w:val="false"/>
          <w:color w:val="000000"/>
          <w:sz w:val="24"/>
        </w:rPr>
        <w:t>BOARD SKILLS AND ATTRIBUTES</w:t>
      </w:r>
    </w:p>
    <w:p>
      <w:pPr>
        <w:pStyle w:val="TextBody"/>
        <w:bidi w:val="0"/>
        <w:spacing w:lineRule="auto" w:line="312" w:before="0" w:after="180"/>
        <w:jc w:val="left"/>
        <w:rPr>
          <w:rFonts w:ascii="Arial;sans-serif" w:hAnsi="Arial;sans-serif"/>
          <w:b w:val="false"/>
          <w:color w:val="000000"/>
          <w:sz w:val="18"/>
        </w:rPr>
      </w:pPr>
      <w:r>
        <w:rPr>
          <w:rFonts w:ascii="Arial;sans-serif" w:hAnsi="Arial;sans-serif"/>
          <w:b w:val="false"/>
          <w:color w:val="000000"/>
          <w:sz w:val="18"/>
        </w:rPr>
        <w:t xml:space="preserve">The following matrix provides information regarding the members of our Board of Directors, including certain types of knowledge, skills, experiences and attributes possessed by one or more of our directors which our Board of Directors believes are most relevant to our business and industry, and which may vary from year to year. The matrix does not encompass all of the knowledge, skills, experiences or attributes of our directors, and the fact that a particular knowledge, skill, experience or attribute is not listed does not mean that a director does not possess it. In addition, the absence of a particular knowledge, skill, experience or attribute with respect to any of our directors does not mean the director in question is unable to contribute to the decision-making process in that area. The type and degree of knowledge, skill and experience listed below may vary </w:t>
      </w:r>
    </w:p>
    <w:p>
      <w:pPr>
        <w:pStyle w:val="TextBody"/>
        <w:bidi w:val="0"/>
        <w:spacing w:lineRule="auto" w:line="312" w:before="0" w:after="180"/>
        <w:jc w:val="left"/>
        <w:rPr>
          <w:rFonts w:ascii="Arial;sans-serif" w:hAnsi="Arial;sans-serif"/>
          <w:b w:val="false"/>
          <w:color w:val="000000"/>
          <w:sz w:val="18"/>
        </w:rPr>
      </w:pPr>
      <w:r>
        <w:rPr>
          <w:rFonts w:ascii="Arial;sans-serif" w:hAnsi="Arial;sans-serif"/>
          <w:b w:val="false"/>
          <w:color w:val="000000"/>
          <w:sz w:val="18"/>
        </w:rPr>
        <w:t xml:space="preserve">among the members of the Board of Directors. Currently three of our directors (33%) are women and one of our directors (11%) represents a diverse demographic background. </w:t>
      </w:r>
    </w:p>
    <w:tbl>
      <w:tblPr>
        <w:tblW w:w="9261" w:type="dxa"/>
        <w:jc w:val="left"/>
        <w:tblInd w:w="0" w:type="dxa"/>
        <w:tblLayout w:type="fixed"/>
        <w:tblCellMar>
          <w:top w:w="28" w:type="dxa"/>
          <w:left w:w="28" w:type="dxa"/>
          <w:bottom w:w="28" w:type="dxa"/>
          <w:right w:w="28" w:type="dxa"/>
        </w:tblCellMar>
      </w:tblPr>
      <w:tblGrid>
        <w:gridCol w:w="1183"/>
        <w:gridCol w:w="1040"/>
        <w:gridCol w:w="1046"/>
        <w:gridCol w:w="180"/>
        <w:gridCol w:w="180"/>
        <w:gridCol w:w="181"/>
        <w:gridCol w:w="180"/>
        <w:gridCol w:w="180"/>
        <w:gridCol w:w="181"/>
        <w:gridCol w:w="230"/>
        <w:gridCol w:w="230"/>
        <w:gridCol w:w="231"/>
        <w:gridCol w:w="225"/>
        <w:gridCol w:w="225"/>
        <w:gridCol w:w="226"/>
        <w:gridCol w:w="279"/>
        <w:gridCol w:w="279"/>
        <w:gridCol w:w="281"/>
        <w:gridCol w:w="260"/>
        <w:gridCol w:w="260"/>
        <w:gridCol w:w="261"/>
        <w:gridCol w:w="305"/>
        <w:gridCol w:w="305"/>
        <w:gridCol w:w="306"/>
        <w:gridCol w:w="165"/>
        <w:gridCol w:w="165"/>
        <w:gridCol w:w="166"/>
        <w:gridCol w:w="149"/>
        <w:gridCol w:w="149"/>
        <w:gridCol w:w="213"/>
      </w:tblGrid>
      <w:tr>
        <w:trPr/>
        <w:tc>
          <w:tcPr>
            <w:tcW w:w="1183" w:type="dxa"/>
            <w:tcBorders/>
            <w:vAlign w:val="center"/>
          </w:tcPr>
          <w:p>
            <w:pPr>
              <w:pStyle w:val="TableContents"/>
              <w:bidi w:val="0"/>
              <w:spacing w:before="0" w:after="283"/>
              <w:jc w:val="left"/>
              <w:rPr>
                <w:sz w:val="4"/>
                <w:szCs w:val="4"/>
              </w:rPr>
            </w:pPr>
            <w:r>
              <w:rPr>
                <w:sz w:val="4"/>
                <w:szCs w:val="4"/>
              </w:rPr>
            </w:r>
          </w:p>
        </w:tc>
        <w:tc>
          <w:tcPr>
            <w:tcW w:w="1040" w:type="dxa"/>
            <w:tcBorders/>
            <w:vAlign w:val="center"/>
          </w:tcPr>
          <w:p>
            <w:pPr>
              <w:pStyle w:val="TableContents"/>
              <w:bidi w:val="0"/>
              <w:spacing w:before="0" w:after="283"/>
              <w:jc w:val="left"/>
              <w:rPr>
                <w:sz w:val="4"/>
                <w:szCs w:val="4"/>
              </w:rPr>
            </w:pPr>
            <w:r>
              <w:rPr>
                <w:sz w:val="4"/>
                <w:szCs w:val="4"/>
              </w:rPr>
            </w:r>
          </w:p>
        </w:tc>
        <w:tc>
          <w:tcPr>
            <w:tcW w:w="1046"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326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6"/>
              </w:rPr>
            </w:pPr>
            <w:r>
              <w:rPr>
                <w:rFonts w:ascii="Arial;sans-serif" w:hAnsi="Arial;sans-serif"/>
                <w:b/>
                <w:color w:val="000000"/>
                <w:sz w:val="16"/>
              </w:rPr>
              <w:t xml:space="preserve">Knowledge, Skills, Experience </w:t>
            </w:r>
          </w:p>
        </w:tc>
        <w:tc>
          <w:tcPr>
            <w:tcW w:w="54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Davis</w:t>
            </w:r>
          </w:p>
        </w:tc>
        <w:tc>
          <w:tcPr>
            <w:tcW w:w="54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Dunn</w:t>
            </w:r>
          </w:p>
        </w:tc>
        <w:tc>
          <w:tcPr>
            <w:tcW w:w="69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Francis</w:t>
            </w:r>
          </w:p>
        </w:tc>
        <w:tc>
          <w:tcPr>
            <w:tcW w:w="67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Freund</w:t>
            </w:r>
          </w:p>
        </w:tc>
        <w:tc>
          <w:tcPr>
            <w:tcW w:w="83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 xml:space="preserve">Hilleman </w:t>
            </w:r>
          </w:p>
        </w:tc>
        <w:tc>
          <w:tcPr>
            <w:tcW w:w="78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Hinckley</w:t>
            </w:r>
          </w:p>
        </w:tc>
        <w:tc>
          <w:tcPr>
            <w:tcW w:w="91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Nishimura</w:t>
            </w:r>
          </w:p>
        </w:tc>
        <w:tc>
          <w:tcPr>
            <w:tcW w:w="49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West</w:t>
            </w:r>
          </w:p>
        </w:tc>
        <w:tc>
          <w:tcPr>
            <w:tcW w:w="51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Wolf</w:t>
            </w:r>
          </w:p>
        </w:tc>
      </w:tr>
      <w:tr>
        <w:trPr/>
        <w:tc>
          <w:tcPr>
            <w:tcW w:w="32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69" w:type="dxa"/>
            <w:gridSpan w:val="3"/>
            <w:tcBorders/>
            <w:shd w:fill="EDEDEE"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Public Company CEO / CFO Experience</w:t>
            </w:r>
          </w:p>
        </w:tc>
        <w:tc>
          <w:tcPr>
            <w:tcW w:w="541"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shd w:fill="EDEDEE" w:val="clear"/>
            <w:tcMar>
              <w:top w:w="0" w:type="dxa"/>
              <w:left w:w="0" w:type="dxa"/>
              <w:bottom w:w="0" w:type="dxa"/>
              <w:right w:w="0" w:type="dxa"/>
            </w:tcMar>
            <w:vAlign w:val="center"/>
          </w:tcPr>
          <w:p>
            <w:pPr>
              <w:pStyle w:val="TableContents"/>
              <w:bidi w:val="0"/>
              <w:spacing w:lineRule="auto" w:line="288" w:before="0" w:after="283"/>
              <w:jc w:val="center"/>
              <w:rPr>
                <w:color w:val="74A333"/>
              </w:rPr>
            </w:pPr>
            <w:r>
              <w:rPr>
                <w:color w:val="74A333"/>
              </w:rPr>
              <w:t>•</w:t>
            </w:r>
          </w:p>
        </w:tc>
        <w:tc>
          <w:tcPr>
            <w:tcW w:w="691" w:type="dxa"/>
            <w:gridSpan w:val="3"/>
            <w:tcBorders/>
            <w:shd w:fill="EDEDEE" w:val="clear"/>
            <w:tcMar>
              <w:top w:w="0" w:type="dxa"/>
              <w:left w:w="0" w:type="dxa"/>
              <w:bottom w:w="0" w:type="dxa"/>
              <w:right w:w="0" w:type="dxa"/>
            </w:tcMar>
            <w:vAlign w:val="center"/>
          </w:tcPr>
          <w:p>
            <w:pPr>
              <w:pStyle w:val="TableContents"/>
              <w:bidi w:val="0"/>
              <w:spacing w:lineRule="auto" w:line="288" w:before="0" w:after="283"/>
              <w:jc w:val="center"/>
              <w:rPr>
                <w:color w:val="74A333"/>
              </w:rPr>
            </w:pPr>
            <w:r>
              <w:rPr>
                <w:color w:val="74A333"/>
              </w:rPr>
              <w:t>•</w:t>
            </w:r>
          </w:p>
        </w:tc>
        <w:tc>
          <w:tcPr>
            <w:tcW w:w="676"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 w:type="dxa"/>
            <w:gridSpan w:val="3"/>
            <w:tcBorders/>
            <w:shd w:fill="EDEDEE" w:val="clear"/>
            <w:tcMar>
              <w:top w:w="0" w:type="dxa"/>
              <w:left w:w="0" w:type="dxa"/>
              <w:bottom w:w="0" w:type="dxa"/>
              <w:right w:w="0" w:type="dxa"/>
            </w:tcMar>
            <w:vAlign w:val="center"/>
          </w:tcPr>
          <w:p>
            <w:pPr>
              <w:pStyle w:val="TableContents"/>
              <w:bidi w:val="0"/>
              <w:spacing w:lineRule="auto" w:line="288" w:before="0" w:after="283"/>
              <w:jc w:val="center"/>
              <w:rPr>
                <w:color w:val="74A333"/>
              </w:rPr>
            </w:pPr>
            <w:r>
              <w:rPr>
                <w:color w:val="74A333"/>
              </w:rPr>
              <w:t>•</w:t>
            </w:r>
          </w:p>
        </w:tc>
        <w:tc>
          <w:tcPr>
            <w:tcW w:w="781" w:type="dxa"/>
            <w:gridSpan w:val="3"/>
            <w:tcBorders/>
            <w:shd w:fill="EDEDEE" w:val="clear"/>
            <w:tcMar>
              <w:top w:w="0" w:type="dxa"/>
              <w:left w:w="0" w:type="dxa"/>
              <w:bottom w:w="0" w:type="dxa"/>
              <w:right w:w="0" w:type="dxa"/>
            </w:tcMar>
            <w:vAlign w:val="center"/>
          </w:tcPr>
          <w:p>
            <w:pPr>
              <w:pStyle w:val="TableContents"/>
              <w:bidi w:val="0"/>
              <w:spacing w:lineRule="auto" w:line="288" w:before="0" w:after="283"/>
              <w:jc w:val="center"/>
              <w:rPr>
                <w:color w:val="74A333"/>
              </w:rPr>
            </w:pPr>
            <w:r>
              <w:rPr>
                <w:color w:val="74A333"/>
              </w:rPr>
              <w:t>•</w:t>
            </w:r>
          </w:p>
        </w:tc>
        <w:tc>
          <w:tcPr>
            <w:tcW w:w="916"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shd w:fill="EDEDEE" w:val="clear"/>
            <w:tcMar>
              <w:top w:w="0" w:type="dxa"/>
              <w:left w:w="0" w:type="dxa"/>
              <w:bottom w:w="0" w:type="dxa"/>
              <w:right w:w="0" w:type="dxa"/>
            </w:tcMar>
            <w:vAlign w:val="center"/>
          </w:tcPr>
          <w:p>
            <w:pPr>
              <w:pStyle w:val="TableContents"/>
              <w:bidi w:val="0"/>
              <w:spacing w:lineRule="auto" w:line="288" w:before="0" w:after="283"/>
              <w:jc w:val="center"/>
              <w:rPr>
                <w:color w:val="74A333"/>
              </w:rPr>
            </w:pPr>
            <w:r>
              <w:rPr>
                <w:color w:val="74A333"/>
              </w:rPr>
              <w:t>•</w:t>
            </w:r>
          </w:p>
        </w:tc>
        <w:tc>
          <w:tcPr>
            <w:tcW w:w="511"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Risk Management / Healthcare Compliance</w:t>
            </w:r>
          </w:p>
        </w:tc>
        <w:tc>
          <w:tcPr>
            <w:tcW w:w="54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color w:val="74A333"/>
              </w:rPr>
            </w:pPr>
            <w:r>
              <w:rPr>
                <w:color w:val="74A333"/>
              </w:rPr>
              <w:t>•</w:t>
            </w:r>
          </w:p>
        </w:tc>
        <w:tc>
          <w:tcPr>
            <w:tcW w:w="54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color w:val="74A333"/>
              </w:rPr>
            </w:pPr>
            <w:r>
              <w:rPr>
                <w:color w:val="74A333"/>
              </w:rPr>
              <w:t>•</w:t>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color w:val="74A333"/>
              </w:rPr>
            </w:pPr>
            <w:r>
              <w:rPr>
                <w:color w:val="74A333"/>
              </w:rPr>
              <w:t>•</w:t>
            </w:r>
          </w:p>
        </w:tc>
        <w:tc>
          <w:tcPr>
            <w:tcW w:w="6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color w:val="74A333"/>
              </w:rPr>
            </w:pPr>
            <w:r>
              <w:rPr>
                <w:color w:val="74A333"/>
              </w:rPr>
              <w:t>•</w:t>
            </w:r>
          </w:p>
        </w:tc>
        <w:tc>
          <w:tcPr>
            <w:tcW w:w="7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color w:val="74A333"/>
              </w:rPr>
            </w:pPr>
            <w:r>
              <w:rPr>
                <w:color w:val="74A333"/>
              </w:rPr>
              <w:t>•</w:t>
            </w:r>
          </w:p>
        </w:tc>
        <w:tc>
          <w:tcPr>
            <w:tcW w:w="4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69" w:type="dxa"/>
            <w:gridSpan w:val="3"/>
            <w:tcBorders/>
            <w:shd w:fill="EDEDEE"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Human Capital Management</w:t>
            </w:r>
          </w:p>
        </w:tc>
        <w:tc>
          <w:tcPr>
            <w:tcW w:w="541" w:type="dxa"/>
            <w:gridSpan w:val="3"/>
            <w:tcBorders/>
            <w:shd w:fill="EDEDEE" w:val="clear"/>
            <w:tcMar>
              <w:top w:w="0" w:type="dxa"/>
              <w:left w:w="0" w:type="dxa"/>
              <w:bottom w:w="0" w:type="dxa"/>
              <w:right w:w="0" w:type="dxa"/>
            </w:tcMar>
            <w:vAlign w:val="center"/>
          </w:tcPr>
          <w:p>
            <w:pPr>
              <w:pStyle w:val="TableContents"/>
              <w:bidi w:val="0"/>
              <w:spacing w:lineRule="auto" w:line="288" w:before="0" w:after="283"/>
              <w:jc w:val="center"/>
              <w:rPr>
                <w:color w:val="74A333"/>
              </w:rPr>
            </w:pPr>
            <w:r>
              <w:rPr>
                <w:color w:val="74A333"/>
              </w:rPr>
              <w:t>•</w:t>
            </w:r>
          </w:p>
        </w:tc>
        <w:tc>
          <w:tcPr>
            <w:tcW w:w="541" w:type="dxa"/>
            <w:gridSpan w:val="3"/>
            <w:tcBorders/>
            <w:shd w:fill="EDEDEE" w:val="clear"/>
            <w:tcMar>
              <w:top w:w="0" w:type="dxa"/>
              <w:left w:w="0" w:type="dxa"/>
              <w:bottom w:w="0" w:type="dxa"/>
              <w:right w:w="0" w:type="dxa"/>
            </w:tcMar>
            <w:vAlign w:val="center"/>
          </w:tcPr>
          <w:p>
            <w:pPr>
              <w:pStyle w:val="TableContents"/>
              <w:bidi w:val="0"/>
              <w:spacing w:lineRule="auto" w:line="288" w:before="0" w:after="283"/>
              <w:jc w:val="center"/>
              <w:rPr>
                <w:color w:val="74A333"/>
              </w:rPr>
            </w:pPr>
            <w:r>
              <w:rPr>
                <w:color w:val="74A333"/>
              </w:rPr>
              <w:t>•</w:t>
            </w:r>
          </w:p>
        </w:tc>
        <w:tc>
          <w:tcPr>
            <w:tcW w:w="691" w:type="dxa"/>
            <w:gridSpan w:val="3"/>
            <w:tcBorders/>
            <w:shd w:fill="EDEDEE" w:val="clear"/>
            <w:tcMar>
              <w:top w:w="0" w:type="dxa"/>
              <w:left w:w="0" w:type="dxa"/>
              <w:bottom w:w="0" w:type="dxa"/>
              <w:right w:w="0" w:type="dxa"/>
            </w:tcMar>
            <w:vAlign w:val="center"/>
          </w:tcPr>
          <w:p>
            <w:pPr>
              <w:pStyle w:val="TableContents"/>
              <w:bidi w:val="0"/>
              <w:spacing w:lineRule="auto" w:line="288" w:before="0" w:after="283"/>
              <w:jc w:val="center"/>
              <w:rPr>
                <w:color w:val="74A333"/>
              </w:rPr>
            </w:pPr>
            <w:r>
              <w:rPr>
                <w:color w:val="74A333"/>
              </w:rPr>
              <w:t>•</w:t>
            </w:r>
          </w:p>
        </w:tc>
        <w:tc>
          <w:tcPr>
            <w:tcW w:w="676"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EDEDEE" w:val="clear"/>
            <w:tcMar>
              <w:top w:w="0" w:type="dxa"/>
              <w:left w:w="0" w:type="dxa"/>
              <w:bottom w:w="0" w:type="dxa"/>
              <w:right w:w="0" w:type="dxa"/>
            </w:tcMar>
            <w:vAlign w:val="center"/>
          </w:tcPr>
          <w:p>
            <w:pPr>
              <w:pStyle w:val="TableContents"/>
              <w:bidi w:val="0"/>
              <w:spacing w:lineRule="auto" w:line="288" w:before="0" w:after="283"/>
              <w:jc w:val="center"/>
              <w:rPr>
                <w:color w:val="74A333"/>
              </w:rPr>
            </w:pPr>
            <w:r>
              <w:rPr>
                <w:color w:val="74A333"/>
              </w:rPr>
              <w:t>•</w:t>
            </w:r>
          </w:p>
        </w:tc>
        <w:tc>
          <w:tcPr>
            <w:tcW w:w="916" w:type="dxa"/>
            <w:gridSpan w:val="3"/>
            <w:tcBorders/>
            <w:shd w:fill="EDEDEE" w:val="clear"/>
            <w:tcMar>
              <w:top w:w="0" w:type="dxa"/>
              <w:left w:w="0" w:type="dxa"/>
              <w:bottom w:w="0" w:type="dxa"/>
              <w:right w:w="0" w:type="dxa"/>
            </w:tcMar>
            <w:vAlign w:val="center"/>
          </w:tcPr>
          <w:p>
            <w:pPr>
              <w:pStyle w:val="TableContents"/>
              <w:bidi w:val="0"/>
              <w:spacing w:lineRule="auto" w:line="288" w:before="0" w:after="283"/>
              <w:jc w:val="center"/>
              <w:rPr>
                <w:color w:val="74A333"/>
              </w:rPr>
            </w:pPr>
            <w:r>
              <w:rPr>
                <w:color w:val="74A333"/>
              </w:rPr>
              <w:t>•</w:t>
            </w:r>
          </w:p>
        </w:tc>
        <w:tc>
          <w:tcPr>
            <w:tcW w:w="496" w:type="dxa"/>
            <w:gridSpan w:val="3"/>
            <w:tcBorders/>
            <w:shd w:fill="EDEDEE" w:val="clear"/>
            <w:tcMar>
              <w:top w:w="0" w:type="dxa"/>
              <w:left w:w="0" w:type="dxa"/>
              <w:bottom w:w="0" w:type="dxa"/>
              <w:right w:w="0" w:type="dxa"/>
            </w:tcMar>
            <w:vAlign w:val="center"/>
          </w:tcPr>
          <w:p>
            <w:pPr>
              <w:pStyle w:val="TableContents"/>
              <w:bidi w:val="0"/>
              <w:spacing w:lineRule="auto" w:line="288" w:before="0" w:after="283"/>
              <w:jc w:val="center"/>
              <w:rPr>
                <w:color w:val="74A333"/>
              </w:rPr>
            </w:pPr>
            <w:r>
              <w:rPr>
                <w:color w:val="74A333"/>
              </w:rPr>
              <w:t>•</w:t>
            </w:r>
          </w:p>
        </w:tc>
        <w:tc>
          <w:tcPr>
            <w:tcW w:w="511"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Medical Device Industry Knowledge</w:t>
            </w:r>
          </w:p>
        </w:tc>
        <w:tc>
          <w:tcPr>
            <w:tcW w:w="54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color w:val="74A333"/>
              </w:rPr>
            </w:pPr>
            <w:r>
              <w:rPr>
                <w:color w:val="74A333"/>
              </w:rPr>
              <w:t>•</w:t>
            </w:r>
          </w:p>
        </w:tc>
        <w:tc>
          <w:tcPr>
            <w:tcW w:w="54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color w:val="74A333"/>
              </w:rPr>
            </w:pPr>
            <w:r>
              <w:rPr>
                <w:color w:val="74A333"/>
              </w:rPr>
              <w:t>•</w:t>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color w:val="74A333"/>
              </w:rPr>
            </w:pPr>
            <w:r>
              <w:rPr>
                <w:color w:val="74A333"/>
              </w:rPr>
              <w:t>•</w:t>
            </w:r>
          </w:p>
        </w:tc>
        <w:tc>
          <w:tcPr>
            <w:tcW w:w="67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color w:val="74A333"/>
              </w:rPr>
            </w:pPr>
            <w:r>
              <w:rPr>
                <w:color w:val="74A333"/>
              </w:rPr>
              <w:t>•</w:t>
            </w:r>
          </w:p>
        </w:tc>
        <w:tc>
          <w:tcPr>
            <w:tcW w:w="8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color w:val="74A333"/>
              </w:rPr>
            </w:pPr>
            <w:r>
              <w:rPr>
                <w:color w:val="74A333"/>
              </w:rPr>
              <w:t>•</w:t>
            </w:r>
          </w:p>
        </w:tc>
        <w:tc>
          <w:tcPr>
            <w:tcW w:w="49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color w:val="74A333"/>
              </w:rPr>
            </w:pPr>
            <w:r>
              <w:rPr>
                <w:color w:val="74A333"/>
              </w:rPr>
              <w:t>•</w:t>
            </w:r>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color w:val="74A333"/>
              </w:rPr>
            </w:pPr>
            <w:r>
              <w:rPr>
                <w:color w:val="74A333"/>
              </w:rPr>
              <w:t>•</w:t>
            </w:r>
          </w:p>
        </w:tc>
      </w:tr>
      <w:tr>
        <w:trPr/>
        <w:tc>
          <w:tcPr>
            <w:tcW w:w="3269" w:type="dxa"/>
            <w:gridSpan w:val="3"/>
            <w:tcBorders/>
            <w:shd w:fill="EDEDEE"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Mergers &amp; Acquisitions</w:t>
            </w:r>
          </w:p>
        </w:tc>
        <w:tc>
          <w:tcPr>
            <w:tcW w:w="541" w:type="dxa"/>
            <w:gridSpan w:val="3"/>
            <w:tcBorders/>
            <w:shd w:fill="EDEDEE" w:val="clear"/>
            <w:tcMar>
              <w:top w:w="0" w:type="dxa"/>
              <w:left w:w="0" w:type="dxa"/>
              <w:bottom w:w="0" w:type="dxa"/>
              <w:right w:w="0" w:type="dxa"/>
            </w:tcMar>
            <w:vAlign w:val="center"/>
          </w:tcPr>
          <w:p>
            <w:pPr>
              <w:pStyle w:val="TableContents"/>
              <w:bidi w:val="0"/>
              <w:spacing w:lineRule="auto" w:line="288" w:before="0" w:after="283"/>
              <w:jc w:val="center"/>
              <w:rPr>
                <w:color w:val="74A333"/>
              </w:rPr>
            </w:pPr>
            <w:r>
              <w:rPr>
                <w:color w:val="74A333"/>
              </w:rPr>
              <w:t>•</w:t>
            </w:r>
          </w:p>
        </w:tc>
        <w:tc>
          <w:tcPr>
            <w:tcW w:w="541" w:type="dxa"/>
            <w:gridSpan w:val="3"/>
            <w:tcBorders/>
            <w:shd w:fill="EDEDEE" w:val="clear"/>
            <w:tcMar>
              <w:top w:w="0" w:type="dxa"/>
              <w:left w:w="0" w:type="dxa"/>
              <w:bottom w:w="0" w:type="dxa"/>
              <w:right w:w="0" w:type="dxa"/>
            </w:tcMar>
            <w:vAlign w:val="center"/>
          </w:tcPr>
          <w:p>
            <w:pPr>
              <w:pStyle w:val="TableContents"/>
              <w:bidi w:val="0"/>
              <w:spacing w:lineRule="auto" w:line="288" w:before="0" w:after="283"/>
              <w:jc w:val="center"/>
              <w:rPr>
                <w:color w:val="74A333"/>
              </w:rPr>
            </w:pPr>
            <w:r>
              <w:rPr>
                <w:color w:val="74A333"/>
              </w:rPr>
              <w:t>•</w:t>
            </w:r>
          </w:p>
        </w:tc>
        <w:tc>
          <w:tcPr>
            <w:tcW w:w="691" w:type="dxa"/>
            <w:gridSpan w:val="3"/>
            <w:tcBorders/>
            <w:shd w:fill="EDEDEE" w:val="clear"/>
            <w:tcMar>
              <w:top w:w="0" w:type="dxa"/>
              <w:left w:w="0" w:type="dxa"/>
              <w:bottom w:w="0" w:type="dxa"/>
              <w:right w:w="0" w:type="dxa"/>
            </w:tcMar>
            <w:vAlign w:val="center"/>
          </w:tcPr>
          <w:p>
            <w:pPr>
              <w:pStyle w:val="TableContents"/>
              <w:bidi w:val="0"/>
              <w:spacing w:lineRule="auto" w:line="288" w:before="0" w:after="283"/>
              <w:jc w:val="center"/>
              <w:rPr>
                <w:color w:val="74A333"/>
              </w:rPr>
            </w:pPr>
            <w:r>
              <w:rPr>
                <w:color w:val="74A333"/>
              </w:rPr>
              <w:t>•</w:t>
            </w:r>
          </w:p>
        </w:tc>
        <w:tc>
          <w:tcPr>
            <w:tcW w:w="676" w:type="dxa"/>
            <w:gridSpan w:val="3"/>
            <w:tcBorders/>
            <w:shd w:fill="EDEDEE" w:val="clear"/>
            <w:tcMar>
              <w:top w:w="0" w:type="dxa"/>
              <w:left w:w="0" w:type="dxa"/>
              <w:bottom w:w="0" w:type="dxa"/>
              <w:right w:w="0" w:type="dxa"/>
            </w:tcMar>
            <w:vAlign w:val="center"/>
          </w:tcPr>
          <w:p>
            <w:pPr>
              <w:pStyle w:val="TableContents"/>
              <w:bidi w:val="0"/>
              <w:spacing w:lineRule="auto" w:line="288" w:before="0" w:after="283"/>
              <w:jc w:val="center"/>
              <w:rPr>
                <w:color w:val="74A333"/>
              </w:rPr>
            </w:pPr>
            <w:r>
              <w:rPr>
                <w:color w:val="74A333"/>
              </w:rPr>
              <w:t>•</w:t>
            </w:r>
          </w:p>
        </w:tc>
        <w:tc>
          <w:tcPr>
            <w:tcW w:w="839" w:type="dxa"/>
            <w:gridSpan w:val="3"/>
            <w:tcBorders/>
            <w:shd w:fill="EDEDEE" w:val="clear"/>
            <w:tcMar>
              <w:top w:w="0" w:type="dxa"/>
              <w:left w:w="0" w:type="dxa"/>
              <w:bottom w:w="0" w:type="dxa"/>
              <w:right w:w="0" w:type="dxa"/>
            </w:tcMar>
            <w:vAlign w:val="center"/>
          </w:tcPr>
          <w:p>
            <w:pPr>
              <w:pStyle w:val="TableContents"/>
              <w:bidi w:val="0"/>
              <w:spacing w:lineRule="auto" w:line="288" w:before="0" w:after="283"/>
              <w:jc w:val="center"/>
              <w:rPr>
                <w:color w:val="74A333"/>
              </w:rPr>
            </w:pPr>
            <w:r>
              <w:rPr>
                <w:color w:val="74A333"/>
              </w:rPr>
              <w:t>•</w:t>
            </w:r>
          </w:p>
        </w:tc>
        <w:tc>
          <w:tcPr>
            <w:tcW w:w="781" w:type="dxa"/>
            <w:gridSpan w:val="3"/>
            <w:tcBorders/>
            <w:shd w:fill="EDEDEE" w:val="clear"/>
            <w:tcMar>
              <w:top w:w="0" w:type="dxa"/>
              <w:left w:w="0" w:type="dxa"/>
              <w:bottom w:w="0" w:type="dxa"/>
              <w:right w:w="0" w:type="dxa"/>
            </w:tcMar>
            <w:vAlign w:val="center"/>
          </w:tcPr>
          <w:p>
            <w:pPr>
              <w:pStyle w:val="TableContents"/>
              <w:bidi w:val="0"/>
              <w:spacing w:lineRule="auto" w:line="288" w:before="0" w:after="283"/>
              <w:jc w:val="center"/>
              <w:rPr>
                <w:color w:val="74A333"/>
              </w:rPr>
            </w:pPr>
            <w:r>
              <w:rPr>
                <w:color w:val="74A333"/>
              </w:rPr>
              <w:t>•</w:t>
            </w:r>
          </w:p>
        </w:tc>
        <w:tc>
          <w:tcPr>
            <w:tcW w:w="916" w:type="dxa"/>
            <w:gridSpan w:val="3"/>
            <w:tcBorders/>
            <w:shd w:fill="EDEDEE" w:val="clear"/>
            <w:tcMar>
              <w:top w:w="0" w:type="dxa"/>
              <w:left w:w="0" w:type="dxa"/>
              <w:bottom w:w="0" w:type="dxa"/>
              <w:right w:w="0" w:type="dxa"/>
            </w:tcMar>
            <w:vAlign w:val="center"/>
          </w:tcPr>
          <w:p>
            <w:pPr>
              <w:pStyle w:val="TableContents"/>
              <w:bidi w:val="0"/>
              <w:spacing w:lineRule="auto" w:line="288" w:before="0" w:after="283"/>
              <w:jc w:val="center"/>
              <w:rPr>
                <w:color w:val="74A333"/>
              </w:rPr>
            </w:pPr>
            <w:r>
              <w:rPr>
                <w:color w:val="74A333"/>
              </w:rPr>
              <w:t>•</w:t>
            </w:r>
          </w:p>
        </w:tc>
        <w:tc>
          <w:tcPr>
            <w:tcW w:w="496" w:type="dxa"/>
            <w:gridSpan w:val="3"/>
            <w:tcBorders/>
            <w:shd w:fill="EDEDEE" w:val="clear"/>
            <w:tcMar>
              <w:top w:w="0" w:type="dxa"/>
              <w:left w:w="0" w:type="dxa"/>
              <w:bottom w:w="0" w:type="dxa"/>
              <w:right w:w="0" w:type="dxa"/>
            </w:tcMar>
            <w:vAlign w:val="center"/>
          </w:tcPr>
          <w:p>
            <w:pPr>
              <w:pStyle w:val="TableContents"/>
              <w:bidi w:val="0"/>
              <w:spacing w:lineRule="auto" w:line="288" w:before="0" w:after="283"/>
              <w:jc w:val="center"/>
              <w:rPr>
                <w:color w:val="74A333"/>
              </w:rPr>
            </w:pPr>
            <w:r>
              <w:rPr>
                <w:color w:val="74A333"/>
              </w:rPr>
              <w:t>•</w:t>
            </w:r>
          </w:p>
        </w:tc>
        <w:tc>
          <w:tcPr>
            <w:tcW w:w="511" w:type="dxa"/>
            <w:gridSpan w:val="3"/>
            <w:tcBorders/>
            <w:shd w:fill="EDEDEE" w:val="clear"/>
            <w:tcMar>
              <w:top w:w="0" w:type="dxa"/>
              <w:left w:w="0" w:type="dxa"/>
              <w:bottom w:w="0" w:type="dxa"/>
              <w:right w:w="0" w:type="dxa"/>
            </w:tcMar>
            <w:vAlign w:val="center"/>
          </w:tcPr>
          <w:p>
            <w:pPr>
              <w:pStyle w:val="TableContents"/>
              <w:bidi w:val="0"/>
              <w:spacing w:lineRule="auto" w:line="288" w:before="0" w:after="283"/>
              <w:jc w:val="center"/>
              <w:rPr>
                <w:color w:val="74A333"/>
              </w:rPr>
            </w:pPr>
            <w:r>
              <w:rPr>
                <w:color w:val="74A333"/>
              </w:rPr>
              <w:t>•</w:t>
            </w:r>
          </w:p>
        </w:tc>
      </w:tr>
      <w:tr>
        <w:trPr/>
        <w:tc>
          <w:tcPr>
            <w:tcW w:w="32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Regulatory and Clinical</w:t>
            </w:r>
          </w:p>
        </w:tc>
        <w:tc>
          <w:tcPr>
            <w:tcW w:w="54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color w:val="74A333"/>
              </w:rPr>
            </w:pPr>
            <w:r>
              <w:rPr>
                <w:color w:val="74A333"/>
              </w:rPr>
              <w:t>•</w:t>
            </w:r>
          </w:p>
        </w:tc>
        <w:tc>
          <w:tcPr>
            <w:tcW w:w="54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color w:val="74A333"/>
              </w:rPr>
            </w:pPr>
            <w:r>
              <w:rPr>
                <w:color w:val="74A333"/>
              </w:rPr>
              <w:t>•</w:t>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color w:val="74A333"/>
              </w:rPr>
            </w:pPr>
            <w:r>
              <w:rPr>
                <w:color w:val="74A333"/>
              </w:rPr>
              <w:t>•</w:t>
            </w:r>
          </w:p>
        </w:tc>
        <w:tc>
          <w:tcPr>
            <w:tcW w:w="6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color w:val="74A333"/>
              </w:rPr>
            </w:pPr>
            <w:r>
              <w:rPr>
                <w:color w:val="74A333"/>
              </w:rPr>
              <w:t>•</w:t>
            </w:r>
          </w:p>
        </w:tc>
        <w:tc>
          <w:tcPr>
            <w:tcW w:w="7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color w:val="74A333"/>
              </w:rPr>
            </w:pPr>
            <w:r>
              <w:rPr>
                <w:color w:val="74A333"/>
              </w:rPr>
              <w:t>•</w:t>
            </w:r>
          </w:p>
        </w:tc>
        <w:tc>
          <w:tcPr>
            <w:tcW w:w="5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69" w:type="dxa"/>
            <w:gridSpan w:val="3"/>
            <w:tcBorders/>
            <w:shd w:fill="EDEDEE"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Technology / Cyber Security Oversight</w:t>
            </w:r>
          </w:p>
        </w:tc>
        <w:tc>
          <w:tcPr>
            <w:tcW w:w="541"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EDEDEE" w:val="clear"/>
            <w:tcMar>
              <w:top w:w="0" w:type="dxa"/>
              <w:left w:w="0" w:type="dxa"/>
              <w:bottom w:w="0" w:type="dxa"/>
              <w:right w:w="0" w:type="dxa"/>
            </w:tcMar>
            <w:vAlign w:val="center"/>
          </w:tcPr>
          <w:p>
            <w:pPr>
              <w:pStyle w:val="TableContents"/>
              <w:bidi w:val="0"/>
              <w:spacing w:lineRule="auto" w:line="288" w:before="0" w:after="283"/>
              <w:jc w:val="center"/>
              <w:rPr>
                <w:color w:val="74A333"/>
              </w:rPr>
            </w:pPr>
            <w:r>
              <w:rPr>
                <w:color w:val="74A333"/>
              </w:rPr>
              <w:t>•</w:t>
            </w:r>
          </w:p>
        </w:tc>
        <w:tc>
          <w:tcPr>
            <w:tcW w:w="676"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 w:type="dxa"/>
            <w:gridSpan w:val="3"/>
            <w:tcBorders/>
            <w:shd w:fill="EDEDEE" w:val="clear"/>
            <w:tcMar>
              <w:top w:w="0" w:type="dxa"/>
              <w:left w:w="0" w:type="dxa"/>
              <w:bottom w:w="0" w:type="dxa"/>
              <w:right w:w="0" w:type="dxa"/>
            </w:tcMar>
            <w:vAlign w:val="center"/>
          </w:tcPr>
          <w:p>
            <w:pPr>
              <w:pStyle w:val="TableContents"/>
              <w:bidi w:val="0"/>
              <w:spacing w:lineRule="auto" w:line="288" w:before="0" w:after="283"/>
              <w:jc w:val="center"/>
              <w:rPr>
                <w:color w:val="74A333"/>
              </w:rPr>
            </w:pPr>
            <w:r>
              <w:rPr>
                <w:color w:val="74A333"/>
              </w:rPr>
              <w:t>•</w:t>
            </w:r>
          </w:p>
        </w:tc>
        <w:tc>
          <w:tcPr>
            <w:tcW w:w="781"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EDEDEE" w:val="clear"/>
            <w:tcMar>
              <w:top w:w="0" w:type="dxa"/>
              <w:left w:w="0" w:type="dxa"/>
              <w:bottom w:w="0" w:type="dxa"/>
              <w:right w:w="0" w:type="dxa"/>
            </w:tcMar>
            <w:vAlign w:val="center"/>
          </w:tcPr>
          <w:p>
            <w:pPr>
              <w:pStyle w:val="TableContents"/>
              <w:bidi w:val="0"/>
              <w:spacing w:lineRule="auto" w:line="288" w:before="0" w:after="283"/>
              <w:jc w:val="center"/>
              <w:rPr>
                <w:color w:val="74A333"/>
              </w:rPr>
            </w:pPr>
            <w:r>
              <w:rPr>
                <w:color w:val="74A333"/>
              </w:rPr>
              <w:t>•</w:t>
            </w:r>
          </w:p>
        </w:tc>
        <w:tc>
          <w:tcPr>
            <w:tcW w:w="496"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Supply Chain Operations</w:t>
            </w:r>
          </w:p>
        </w:tc>
        <w:tc>
          <w:tcPr>
            <w:tcW w:w="5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color w:val="74A333"/>
              </w:rPr>
            </w:pPr>
            <w:r>
              <w:rPr>
                <w:color w:val="74A333"/>
              </w:rPr>
              <w:t>•</w:t>
            </w:r>
          </w:p>
        </w:tc>
        <w:tc>
          <w:tcPr>
            <w:tcW w:w="6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color w:val="74A333"/>
              </w:rPr>
            </w:pPr>
            <w:r>
              <w:rPr>
                <w:color w:val="74A333"/>
              </w:rPr>
              <w:t>•</w:t>
            </w:r>
          </w:p>
        </w:tc>
        <w:tc>
          <w:tcPr>
            <w:tcW w:w="7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color w:val="74A333"/>
              </w:rPr>
            </w:pPr>
            <w:r>
              <w:rPr>
                <w:color w:val="74A333"/>
              </w:rPr>
              <w:t>•</w:t>
            </w:r>
          </w:p>
        </w:tc>
        <w:tc>
          <w:tcPr>
            <w:tcW w:w="5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69" w:type="dxa"/>
            <w:gridSpan w:val="3"/>
            <w:tcBorders>
              <w:bottom w:val="single" w:sz="12" w:space="0" w:color="74A333"/>
            </w:tcBorders>
            <w:shd w:fill="EDEDEE" w:val="clear"/>
            <w:tcMar>
              <w:top w:w="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Global Business Experience</w:t>
            </w:r>
          </w:p>
        </w:tc>
        <w:tc>
          <w:tcPr>
            <w:tcW w:w="541" w:type="dxa"/>
            <w:gridSpan w:val="3"/>
            <w:tcBorders>
              <w:bottom w:val="single" w:sz="12" w:space="0" w:color="74A333"/>
            </w:tcBorders>
            <w:shd w:fill="EDEDEE" w:val="clear"/>
            <w:tcMar>
              <w:top w:w="0" w:type="dxa"/>
              <w:left w:w="0" w:type="dxa"/>
              <w:bottom w:w="30" w:type="dxa"/>
              <w:right w:w="0" w:type="dxa"/>
            </w:tcMar>
            <w:vAlign w:val="center"/>
          </w:tcPr>
          <w:p>
            <w:pPr>
              <w:pStyle w:val="TableContents"/>
              <w:bidi w:val="0"/>
              <w:spacing w:lineRule="auto" w:line="288" w:before="0" w:after="283"/>
              <w:jc w:val="center"/>
              <w:rPr>
                <w:color w:val="74A333"/>
              </w:rPr>
            </w:pPr>
            <w:r>
              <w:rPr>
                <w:color w:val="74A333"/>
              </w:rPr>
              <w:t>•</w:t>
            </w:r>
          </w:p>
        </w:tc>
        <w:tc>
          <w:tcPr>
            <w:tcW w:w="541" w:type="dxa"/>
            <w:gridSpan w:val="3"/>
            <w:tcBorders>
              <w:bottom w:val="single" w:sz="12" w:space="0" w:color="74A333"/>
            </w:tcBorders>
            <w:shd w:fill="EDEDEE" w:val="clear"/>
            <w:tcMar>
              <w:top w:w="0" w:type="dxa"/>
              <w:left w:w="0" w:type="dxa"/>
              <w:bottom w:w="30" w:type="dxa"/>
              <w:right w:w="0" w:type="dxa"/>
            </w:tcMar>
            <w:vAlign w:val="center"/>
          </w:tcPr>
          <w:p>
            <w:pPr>
              <w:pStyle w:val="TableContents"/>
              <w:bidi w:val="0"/>
              <w:spacing w:lineRule="auto" w:line="288" w:before="0" w:after="283"/>
              <w:jc w:val="center"/>
              <w:rPr>
                <w:color w:val="74A333"/>
              </w:rPr>
            </w:pPr>
            <w:r>
              <w:rPr>
                <w:color w:val="74A333"/>
              </w:rPr>
              <w:t>•</w:t>
            </w:r>
          </w:p>
        </w:tc>
        <w:tc>
          <w:tcPr>
            <w:tcW w:w="691" w:type="dxa"/>
            <w:gridSpan w:val="3"/>
            <w:tcBorders>
              <w:bottom w:val="single" w:sz="12" w:space="0" w:color="74A333"/>
            </w:tcBorders>
            <w:shd w:fill="EDEDEE" w:val="clear"/>
            <w:tcMar>
              <w:top w:w="0" w:type="dxa"/>
              <w:left w:w="0" w:type="dxa"/>
              <w:bottom w:w="30" w:type="dxa"/>
              <w:right w:w="0" w:type="dxa"/>
            </w:tcMar>
            <w:vAlign w:val="center"/>
          </w:tcPr>
          <w:p>
            <w:pPr>
              <w:pStyle w:val="TableContents"/>
              <w:bidi w:val="0"/>
              <w:spacing w:lineRule="auto" w:line="288" w:before="0" w:after="283"/>
              <w:jc w:val="center"/>
              <w:rPr>
                <w:color w:val="74A333"/>
              </w:rPr>
            </w:pPr>
            <w:r>
              <w:rPr>
                <w:color w:val="74A333"/>
              </w:rPr>
              <w:t>•</w:t>
            </w:r>
          </w:p>
        </w:tc>
        <w:tc>
          <w:tcPr>
            <w:tcW w:w="676" w:type="dxa"/>
            <w:gridSpan w:val="3"/>
            <w:tcBorders>
              <w:bottom w:val="single" w:sz="12" w:space="0" w:color="74A333"/>
            </w:tcBorders>
            <w:shd w:fill="EDEDEE"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39" w:type="dxa"/>
            <w:gridSpan w:val="3"/>
            <w:tcBorders>
              <w:bottom w:val="single" w:sz="12" w:space="0" w:color="74A333"/>
            </w:tcBorders>
            <w:shd w:fill="EDEDEE" w:val="clear"/>
            <w:tcMar>
              <w:top w:w="0" w:type="dxa"/>
              <w:left w:w="0" w:type="dxa"/>
              <w:bottom w:w="30" w:type="dxa"/>
              <w:right w:w="0" w:type="dxa"/>
            </w:tcMar>
            <w:vAlign w:val="center"/>
          </w:tcPr>
          <w:p>
            <w:pPr>
              <w:pStyle w:val="TableContents"/>
              <w:bidi w:val="0"/>
              <w:spacing w:lineRule="auto" w:line="288" w:before="0" w:after="283"/>
              <w:jc w:val="center"/>
              <w:rPr>
                <w:color w:val="74A333"/>
              </w:rPr>
            </w:pPr>
            <w:r>
              <w:rPr>
                <w:color w:val="74A333"/>
              </w:rPr>
              <w:t>•</w:t>
            </w:r>
          </w:p>
        </w:tc>
        <w:tc>
          <w:tcPr>
            <w:tcW w:w="781" w:type="dxa"/>
            <w:gridSpan w:val="3"/>
            <w:tcBorders>
              <w:bottom w:val="single" w:sz="12" w:space="0" w:color="74A333"/>
            </w:tcBorders>
            <w:shd w:fill="EDEDEE" w:val="clear"/>
            <w:tcMar>
              <w:top w:w="0" w:type="dxa"/>
              <w:left w:w="0" w:type="dxa"/>
              <w:bottom w:w="30" w:type="dxa"/>
              <w:right w:w="0" w:type="dxa"/>
            </w:tcMar>
            <w:vAlign w:val="center"/>
          </w:tcPr>
          <w:p>
            <w:pPr>
              <w:pStyle w:val="TableContents"/>
              <w:bidi w:val="0"/>
              <w:spacing w:lineRule="auto" w:line="288" w:before="0" w:after="283"/>
              <w:jc w:val="center"/>
              <w:rPr>
                <w:color w:val="74A333"/>
              </w:rPr>
            </w:pPr>
            <w:r>
              <w:rPr>
                <w:color w:val="74A333"/>
              </w:rPr>
              <w:t>•</w:t>
            </w:r>
          </w:p>
        </w:tc>
        <w:tc>
          <w:tcPr>
            <w:tcW w:w="916" w:type="dxa"/>
            <w:gridSpan w:val="3"/>
            <w:tcBorders>
              <w:bottom w:val="single" w:sz="12" w:space="0" w:color="74A333"/>
            </w:tcBorders>
            <w:shd w:fill="EDEDEE" w:val="clear"/>
            <w:tcMar>
              <w:top w:w="0" w:type="dxa"/>
              <w:left w:w="0" w:type="dxa"/>
              <w:bottom w:w="30" w:type="dxa"/>
              <w:right w:w="0" w:type="dxa"/>
            </w:tcMar>
            <w:vAlign w:val="center"/>
          </w:tcPr>
          <w:p>
            <w:pPr>
              <w:pStyle w:val="TableContents"/>
              <w:bidi w:val="0"/>
              <w:spacing w:lineRule="auto" w:line="288" w:before="0" w:after="283"/>
              <w:jc w:val="center"/>
              <w:rPr>
                <w:color w:val="74A333"/>
              </w:rPr>
            </w:pPr>
            <w:r>
              <w:rPr>
                <w:color w:val="74A333"/>
              </w:rPr>
              <w:t>•</w:t>
            </w:r>
          </w:p>
        </w:tc>
        <w:tc>
          <w:tcPr>
            <w:tcW w:w="496" w:type="dxa"/>
            <w:gridSpan w:val="3"/>
            <w:tcBorders>
              <w:bottom w:val="single" w:sz="12" w:space="0" w:color="74A333"/>
            </w:tcBorders>
            <w:shd w:fill="EDEDEE" w:val="clear"/>
            <w:tcMar>
              <w:top w:w="0" w:type="dxa"/>
              <w:left w:w="0" w:type="dxa"/>
              <w:bottom w:w="30" w:type="dxa"/>
              <w:right w:w="0" w:type="dxa"/>
            </w:tcMar>
            <w:vAlign w:val="center"/>
          </w:tcPr>
          <w:p>
            <w:pPr>
              <w:pStyle w:val="TableContents"/>
              <w:bidi w:val="0"/>
              <w:spacing w:lineRule="auto" w:line="288" w:before="0" w:after="283"/>
              <w:jc w:val="center"/>
              <w:rPr>
                <w:color w:val="74A333"/>
              </w:rPr>
            </w:pPr>
            <w:r>
              <w:rPr>
                <w:color w:val="74A333"/>
              </w:rPr>
              <w:t>•</w:t>
            </w:r>
          </w:p>
        </w:tc>
        <w:tc>
          <w:tcPr>
            <w:tcW w:w="511" w:type="dxa"/>
            <w:gridSpan w:val="3"/>
            <w:tcBorders>
              <w:bottom w:val="single" w:sz="12" w:space="0" w:color="74A333"/>
            </w:tcBorders>
            <w:shd w:fill="EDEDEE" w:val="clear"/>
            <w:tcMar>
              <w:top w:w="0" w:type="dxa"/>
              <w:left w:w="0" w:type="dxa"/>
              <w:bottom w:w="30" w:type="dxa"/>
              <w:right w:w="0" w:type="dxa"/>
            </w:tcMar>
            <w:vAlign w:val="center"/>
          </w:tcPr>
          <w:p>
            <w:pPr>
              <w:pStyle w:val="TableContents"/>
              <w:bidi w:val="0"/>
              <w:spacing w:lineRule="auto" w:line="288" w:before="0" w:after="283"/>
              <w:jc w:val="center"/>
              <w:rPr>
                <w:color w:val="74A333"/>
              </w:rPr>
            </w:pPr>
            <w:r>
              <w:rPr>
                <w:color w:val="74A333"/>
              </w:rPr>
              <w:t>•</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80"/>
        <w:jc w:val="left"/>
        <w:rPr>
          <w:rFonts w:ascii="Arial;sans-serif" w:hAnsi="Arial;sans-serif"/>
          <w:b w:val="false"/>
          <w:color w:val="000000"/>
          <w:sz w:val="24"/>
        </w:rPr>
      </w:pPr>
      <w:r>
        <w:rPr>
          <w:rFonts w:ascii="Arial;sans-serif" w:hAnsi="Arial;sans-serif"/>
          <w:b w:val="false"/>
          <w:color w:val="000000"/>
          <w:sz w:val="24"/>
        </w:rPr>
        <w:t>BOARD LEADERSHIP STRUCTURE</w:t>
      </w:r>
    </w:p>
    <w:p>
      <w:pPr>
        <w:pStyle w:val="TextBody"/>
        <w:bidi w:val="0"/>
        <w:spacing w:lineRule="auto" w:line="312" w:before="0" w:after="180"/>
        <w:jc w:val="left"/>
        <w:rPr>
          <w:rFonts w:ascii="Arial;sans-serif" w:hAnsi="Arial;sans-serif"/>
          <w:b w:val="false"/>
          <w:color w:val="000000"/>
          <w:sz w:val="18"/>
        </w:rPr>
      </w:pPr>
      <w:r>
        <w:rPr>
          <w:rFonts w:ascii="Arial;sans-serif" w:hAnsi="Arial;sans-serif"/>
          <w:b w:val="false"/>
          <w:color w:val="000000"/>
          <w:sz w:val="18"/>
        </w:rPr>
        <w:t>Our Board of Directors is currently chaired by Mr. Dunn. Mr. Dunn served as our Executive Chairperson from April 2021, when he ceased to serve as our Chief Executive Officer, until May 2023, at which time he became non-executive Chairperson of the Board. We believe that the separation of the two roles of Chairperson of the Board and Chief Executive Officer is most beneficial in furthering SI-BONE’s ability to develop and implement strategy. In particular, in making this determination, Mr. Dunn, as our former Chief Executive Officer, will continue to have intimate knowledge of our operations, both historically and currently, which will enable him to continue to act as a bridge between management and the Board. Further, Mr. Dunn serving as Chairperson alleviates the need for Ms. Francis to take on the responsibilities of Chairperson, enabling her to focus on her responsibilities in her role as our Chief Executive Officer.</w:t>
      </w:r>
    </w:p>
    <w:p>
      <w:pPr>
        <w:pStyle w:val="TextBody"/>
        <w:bidi w:val="0"/>
        <w:spacing w:lineRule="auto" w:line="312" w:before="0" w:after="180"/>
        <w:jc w:val="left"/>
        <w:rPr>
          <w:rFonts w:ascii="Arial;sans-serif" w:hAnsi="Arial;sans-serif"/>
          <w:b w:val="false"/>
          <w:color w:val="000000"/>
          <w:sz w:val="18"/>
        </w:rPr>
      </w:pPr>
      <w:r>
        <w:rPr>
          <w:rFonts w:ascii="Arial;sans-serif" w:hAnsi="Arial;sans-serif"/>
          <w:b w:val="false"/>
          <w:color w:val="000000"/>
          <w:sz w:val="18"/>
        </w:rPr>
        <w:t>The Board of Directors believes that our stockholders are best served at this time by having a Lead Independent Director who is an integral part of our Board structure and a critical aspect of effective corporate governance. Mr. Davis is our Lead Independent Director. Mr. Davis brings considerable skills and experience, as described above, to the role. We believe as well that Mr. Davis can effectively oversee and drive the activities of the Board, including:</w:t>
      </w:r>
    </w:p>
    <w:p>
      <w:pPr>
        <w:pStyle w:val="TextBody"/>
        <w:bidi w:val="0"/>
        <w:spacing w:lineRule="auto" w:line="312" w:before="0" w:after="60"/>
        <w:ind w:left="0" w:right="0" w:hanging="360"/>
        <w:jc w:val="left"/>
        <w:rPr/>
      </w:pPr>
      <w:r>
        <w:rPr>
          <w:color w:val="000000"/>
        </w:rPr>
        <w:t>•</w:t>
      </w:r>
      <w:r>
        <w:rPr>
          <w:rFonts w:ascii="Arial;sans-serif" w:hAnsi="Arial;sans-serif"/>
          <w:b w:val="false"/>
          <w:color w:val="000000"/>
          <w:sz w:val="18"/>
          <w:shd w:fill="FFFFFF" w:val="clear"/>
        </w:rPr>
        <w:t xml:space="preserve">coordinating with the committee chairs regarding meeting agendas and informational requirements; and </w:t>
      </w:r>
    </w:p>
    <w:p>
      <w:pPr>
        <w:pStyle w:val="TextBody"/>
        <w:bidi w:val="0"/>
        <w:spacing w:lineRule="auto" w:line="312" w:before="0" w:after="180"/>
        <w:ind w:left="0" w:right="0" w:hanging="360"/>
        <w:jc w:val="left"/>
        <w:rPr/>
      </w:pPr>
      <w:r>
        <w:rPr>
          <w:color w:val="000000"/>
        </w:rPr>
        <w:t>•</w:t>
      </w:r>
      <w:r>
        <w:rPr>
          <w:rFonts w:ascii="Arial;sans-serif" w:hAnsi="Arial;sans-serif"/>
          <w:b w:val="false"/>
          <w:color w:val="000000"/>
          <w:sz w:val="18"/>
          <w:shd w:fill="FFFFFF" w:val="clear"/>
        </w:rPr>
        <w:t xml:space="preserve">performing such other duties as may be necessary from time to time to ensure the effective functioning of the Board.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80"/>
        <w:jc w:val="left"/>
        <w:rPr>
          <w:rFonts w:ascii="Arial;sans-serif" w:hAnsi="Arial;sans-serif"/>
          <w:b w:val="false"/>
          <w:color w:val="000000"/>
          <w:sz w:val="24"/>
        </w:rPr>
      </w:pPr>
      <w:r>
        <w:rPr>
          <w:rFonts w:ascii="Arial;sans-serif" w:hAnsi="Arial;sans-serif"/>
          <w:b w:val="false"/>
          <w:color w:val="000000"/>
          <w:sz w:val="24"/>
        </w:rPr>
        <w:t>ROLE OF THE BOARD OF DIRECTORS IN RISK OVERSIGHT</w:t>
      </w:r>
    </w:p>
    <w:p>
      <w:pPr>
        <w:pStyle w:val="TextBody"/>
        <w:bidi w:val="0"/>
        <w:spacing w:lineRule="auto" w:line="312" w:before="0" w:after="180"/>
        <w:jc w:val="left"/>
        <w:rPr>
          <w:rFonts w:ascii="Arial;sans-serif" w:hAnsi="Arial;sans-serif"/>
          <w:b w:val="false"/>
          <w:color w:val="000000"/>
          <w:sz w:val="18"/>
        </w:rPr>
      </w:pPr>
      <w:r>
        <w:rPr>
          <w:rFonts w:ascii="Arial;sans-serif" w:hAnsi="Arial;sans-serif"/>
          <w:b w:val="false"/>
          <w:color w:val="000000"/>
          <w:sz w:val="18"/>
        </w:rPr>
        <w:t>One of the key functions of our Board of Directors is informed oversight of our risk management process. In particular, our Board is responsible for monitoring and assessing strategic risk exposure. Our executive officers are responsible for the day-to-day management of the material risks we face. Our Board of Directors administers its oversight function directly as a whole, as well as through various standing committees of our Board of Directors that address risks inherent in their respective areas of oversight. For example, our Audit Committee is responsible for overseeing the management of risks associated with our financial reporting, accounting and auditing matters and cybersecurity; our Compensation Committee oversees the management of risks associated with our compensation policies and programs; and our Nominating and Corporate Governance Committee oversees the management of risks associated with director independence, conflicts of interest, composition and organization of our Board of Directors, director succession planning, development of and reporting on our sustainability program, and oversight of healthcare, regulatory, and fraud and abuse compliance.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739140"/>
                <wp:effectExtent l="0" t="0" r="0" b="0"/>
                <wp:wrapNone/>
                <wp:docPr id="31" name="Frame15"/>
                <a:graphic xmlns:a="http://schemas.openxmlformats.org/drawingml/2006/main">
                  <a:graphicData uri="http://schemas.microsoft.com/office/word/2010/wordprocessingShape">
                    <wps:wsp>
                      <wps:cNvSpPr txBox="1"/>
                      <wps:spPr>
                        <a:xfrm>
                          <a:off x="0" y="0"/>
                          <a:ext cx="6480175" cy="739140"/>
                        </a:xfrm>
                        <a:prstGeom prst="rect"/>
                        <a:solidFill>
                          <a:srgbClr val="FFFFFF"/>
                        </a:solidFill>
                      </wps:spPr>
                      <wps:txbx>
                        <w:txbxContent>
                          <w:tbl>
                            <w:tblPr>
                              <w:tblW w:w="3266" w:type="dxa"/>
                              <w:jc w:val="center"/>
                              <w:tblInd w:w="0" w:type="dxa"/>
                              <w:tblLayout w:type="fixed"/>
                              <w:tblCellMar>
                                <w:top w:w="28" w:type="dxa"/>
                                <w:left w:w="28" w:type="dxa"/>
                                <w:bottom w:w="28" w:type="dxa"/>
                                <w:right w:w="28" w:type="dxa"/>
                              </w:tblCellMar>
                            </w:tblPr>
                            <w:tblGrid>
                              <w:gridCol w:w="424"/>
                              <w:gridCol w:w="372"/>
                              <w:gridCol w:w="374"/>
                              <w:gridCol w:w="109"/>
                              <w:gridCol w:w="109"/>
                              <w:gridCol w:w="109"/>
                              <w:gridCol w:w="517"/>
                              <w:gridCol w:w="517"/>
                              <w:gridCol w:w="735"/>
                            </w:tblGrid>
                            <w:tr>
                              <w:trPr/>
                              <w:tc>
                                <w:tcPr>
                                  <w:tcW w:w="424"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r>
                            <w:tr>
                              <w:trPr/>
                              <w:tc>
                                <w:tcPr>
                                  <w:tcW w:w="1170"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6"/>
                                    </w:rPr>
                                  </w:pPr>
                                  <w:r>
                                    <w:rPr>
                                      <w:rFonts w:ascii="Arial;sans-serif" w:hAnsi="Arial;sans-serif"/>
                                      <w:b/>
                                      <w:color w:val="000000"/>
                                      <w:sz w:val="16"/>
                                    </w:rPr>
                                    <w:t>SI-BONE, Inc.</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000000"/>
                                      <w:sz w:val="16"/>
                                    </w:rPr>
                                  </w:pPr>
                                  <w:r>
                                    <w:rPr>
                                      <w:rFonts w:ascii="Arial;sans-serif" w:hAnsi="Arial;sans-serif"/>
                                      <w:b/>
                                      <w:color w:val="000000"/>
                                      <w:sz w:val="16"/>
                                    </w:rPr>
                                    <w:t>10</w:t>
                                  </w:r>
                                </w:p>
                              </w:tc>
                              <w:tc>
                                <w:tcPr>
                                  <w:tcW w:w="176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2025 Proxy Statement</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2pt;mso-wrap-distance-left:0pt;mso-wrap-distance-right:0pt;mso-wrap-distance-top:0pt;mso-wrap-distance-bottom:0pt;margin-top:0pt;mso-position-vertical:top;mso-position-vertical-relative:text;margin-left:0pt;mso-position-horizontal:left;mso-position-horizontal-relative:text">
                <v:textbox>
                  <w:txbxContent>
                    <w:tbl>
                      <w:tblPr>
                        <w:tblW w:w="3266" w:type="dxa"/>
                        <w:jc w:val="center"/>
                        <w:tblInd w:w="0" w:type="dxa"/>
                        <w:tblLayout w:type="fixed"/>
                        <w:tblCellMar>
                          <w:top w:w="28" w:type="dxa"/>
                          <w:left w:w="28" w:type="dxa"/>
                          <w:bottom w:w="28" w:type="dxa"/>
                          <w:right w:w="28" w:type="dxa"/>
                        </w:tblCellMar>
                      </w:tblPr>
                      <w:tblGrid>
                        <w:gridCol w:w="424"/>
                        <w:gridCol w:w="372"/>
                        <w:gridCol w:w="374"/>
                        <w:gridCol w:w="109"/>
                        <w:gridCol w:w="109"/>
                        <w:gridCol w:w="109"/>
                        <w:gridCol w:w="517"/>
                        <w:gridCol w:w="517"/>
                        <w:gridCol w:w="735"/>
                      </w:tblGrid>
                      <w:tr>
                        <w:trPr/>
                        <w:tc>
                          <w:tcPr>
                            <w:tcW w:w="424"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r>
                      <w:tr>
                        <w:trPr/>
                        <w:tc>
                          <w:tcPr>
                            <w:tcW w:w="1170"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6"/>
                              </w:rPr>
                            </w:pPr>
                            <w:r>
                              <w:rPr>
                                <w:rFonts w:ascii="Arial;sans-serif" w:hAnsi="Arial;sans-serif"/>
                                <w:b/>
                                <w:color w:val="000000"/>
                                <w:sz w:val="16"/>
                              </w:rPr>
                              <w:t>SI-BONE, Inc.</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000000"/>
                                <w:sz w:val="16"/>
                              </w:rPr>
                            </w:pPr>
                            <w:r>
                              <w:rPr>
                                <w:rFonts w:ascii="Arial;sans-serif" w:hAnsi="Arial;sans-serif"/>
                                <w:b/>
                                <w:color w:val="000000"/>
                                <w:sz w:val="16"/>
                              </w:rPr>
                              <w:t>10</w:t>
                            </w:r>
                          </w:p>
                        </w:tc>
                        <w:tc>
                          <w:tcPr>
                            <w:tcW w:w="176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2025 Proxy Statement</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right"/>
        <w:rPr>
          <w:rFonts w:ascii="Arial;sans-serif" w:hAnsi="Arial;sans-serif"/>
          <w:b w:val="false"/>
          <w:color w:val="000000"/>
          <w:sz w:val="16"/>
        </w:rPr>
      </w:pPr>
      <w:r>
        <w:rPr>
          <w:rFonts w:ascii="Arial;sans-serif" w:hAnsi="Arial;sans-serif"/>
          <w:b w:val="false"/>
          <w:color w:val="000000"/>
          <w:sz w:val="16"/>
        </w:rPr>
        <w:t>Table of Contents</w:t>
      </w:r>
    </w:p>
    <w:p>
      <w:pPr>
        <w:pStyle w:val="TextBody"/>
        <w:bidi w:val="0"/>
        <w:spacing w:lineRule="auto" w:line="288" w:before="240" w:after="180"/>
        <w:jc w:val="left"/>
        <w:rPr>
          <w:rFonts w:ascii="Arial;sans-serif" w:hAnsi="Arial;sans-serif"/>
          <w:b w:val="false"/>
          <w:color w:val="000000"/>
          <w:sz w:val="24"/>
        </w:rPr>
      </w:pPr>
      <w:r>
        <w:rPr>
          <w:rFonts w:ascii="Arial;sans-serif" w:hAnsi="Arial;sans-serif"/>
          <w:b w:val="false"/>
          <w:color w:val="000000"/>
          <w:sz w:val="24"/>
        </w:rPr>
        <w:t>CYBERSECURITY</w:t>
      </w:r>
    </w:p>
    <w:p>
      <w:pPr>
        <w:pStyle w:val="TextBody"/>
        <w:bidi w:val="0"/>
        <w:spacing w:lineRule="auto" w:line="312" w:before="0" w:after="180"/>
        <w:jc w:val="left"/>
        <w:rPr>
          <w:rFonts w:ascii="Arial;sans-serif" w:hAnsi="Arial;sans-serif"/>
          <w:b w:val="false"/>
          <w:color w:val="000000"/>
          <w:sz w:val="18"/>
        </w:rPr>
      </w:pPr>
      <w:r>
        <w:rPr>
          <w:rFonts w:ascii="Arial;sans-serif" w:hAnsi="Arial;sans-serif"/>
          <w:b w:val="false"/>
          <w:color w:val="000000"/>
          <w:sz w:val="18"/>
        </w:rPr>
        <w:t>We recognize the importance of protecting our information technology (“IT”) systems. With this in mind, we have certain IT and cybersecurity measures on both an enterprise level and on an individual employee level. We have in place various types and levels of IT and cybersecurity measures, depending on the nature of the IT system and data, which are aimed at protecting IT systems to help secure long-term value for our shareholders and other stakeholders. By way of example, these measures may include the following:</w:t>
      </w:r>
    </w:p>
    <w:p>
      <w:pPr>
        <w:pStyle w:val="TextBody"/>
        <w:bidi w:val="0"/>
        <w:spacing w:lineRule="auto" w:line="312" w:before="0" w:after="60"/>
        <w:ind w:left="0" w:right="0" w:hanging="360"/>
        <w:jc w:val="left"/>
        <w:rPr/>
      </w:pPr>
      <w:r>
        <w:rPr>
          <w:color w:val="000000"/>
        </w:rPr>
        <w:t>•</w:t>
      </w:r>
      <w:r>
        <w:rPr>
          <w:rFonts w:ascii="Arial;sans-serif" w:hAnsi="Arial;sans-serif"/>
          <w:b w:val="false"/>
          <w:color w:val="000000"/>
          <w:sz w:val="18"/>
        </w:rPr>
        <w:t>utilization of detection and protection technologies such as endpoint detection and vulnerability and patch management programs;</w:t>
      </w:r>
    </w:p>
    <w:p>
      <w:pPr>
        <w:pStyle w:val="TextBody"/>
        <w:bidi w:val="0"/>
        <w:spacing w:lineRule="auto" w:line="312" w:before="0" w:after="60"/>
        <w:ind w:left="0" w:right="0" w:hanging="360"/>
        <w:jc w:val="left"/>
        <w:rPr/>
      </w:pPr>
      <w:r>
        <w:rPr>
          <w:color w:val="000000"/>
        </w:rPr>
        <w:t>•</w:t>
      </w:r>
      <w:r>
        <w:rPr>
          <w:rFonts w:ascii="Arial;sans-serif" w:hAnsi="Arial;sans-serif"/>
          <w:b w:val="false"/>
          <w:color w:val="000000"/>
          <w:sz w:val="18"/>
        </w:rPr>
        <w:t>ongoing end-user security awareness training;</w:t>
      </w:r>
    </w:p>
    <w:p>
      <w:pPr>
        <w:pStyle w:val="TextBody"/>
        <w:bidi w:val="0"/>
        <w:spacing w:lineRule="auto" w:line="312" w:before="0" w:after="60"/>
        <w:ind w:left="0" w:right="0" w:hanging="360"/>
        <w:jc w:val="left"/>
        <w:rPr/>
      </w:pPr>
      <w:r>
        <w:rPr>
          <w:color w:val="000000"/>
        </w:rPr>
        <w:t>•</w:t>
      </w:r>
      <w:r>
        <w:rPr>
          <w:rFonts w:ascii="Arial;sans-serif" w:hAnsi="Arial;sans-serif"/>
          <w:b w:val="false"/>
          <w:color w:val="000000"/>
          <w:sz w:val="18"/>
        </w:rPr>
        <w:t>security metric reporting to senior organizational leaders; and</w:t>
      </w:r>
    </w:p>
    <w:p>
      <w:pPr>
        <w:pStyle w:val="TextBody"/>
        <w:bidi w:val="0"/>
        <w:spacing w:lineRule="auto" w:line="312" w:before="0" w:after="180"/>
        <w:ind w:left="0" w:right="0" w:hanging="360"/>
        <w:jc w:val="left"/>
        <w:rPr/>
      </w:pPr>
      <w:r>
        <w:rPr>
          <w:color w:val="000000"/>
        </w:rPr>
        <w:t>•</w:t>
      </w:r>
      <w:r>
        <w:rPr>
          <w:rFonts w:ascii="Arial;sans-serif" w:hAnsi="Arial;sans-serif"/>
          <w:b w:val="false"/>
          <w:color w:val="000000"/>
          <w:sz w:val="18"/>
        </w:rPr>
        <w:t>periodic risk assessments and maturity assessments to gauge current level of operational efficiency and effectiveness.</w:t>
      </w:r>
    </w:p>
    <w:p>
      <w:pPr>
        <w:pStyle w:val="TextBody"/>
        <w:bidi w:val="0"/>
        <w:spacing w:lineRule="auto" w:line="312" w:before="0" w:after="180"/>
        <w:jc w:val="left"/>
        <w:rPr>
          <w:rFonts w:ascii="Arial;sans-serif" w:hAnsi="Arial;sans-serif"/>
          <w:b w:val="false"/>
          <w:color w:val="000000"/>
          <w:sz w:val="18"/>
        </w:rPr>
      </w:pPr>
      <w:r>
        <w:rPr>
          <w:rFonts w:ascii="Arial;sans-serif" w:hAnsi="Arial;sans-serif"/>
          <w:b w:val="false"/>
          <w:color w:val="000000"/>
          <w:sz w:val="18"/>
        </w:rPr>
        <w:t>Our Audit Committee and senior management are responsible for overseeing matters relating to our IT and cybersecurity practices and initiatives and our Audit Committee is briefed at least quarterly by our senior management on cybersecurity matters. To assist our executive team and Audit Committee, we have designated specific roles to officers and other employees within our company who are responsible for and directly oversee our cybersecurity efforts. Among the members of our Board of Directors, three have served as Chief Financial Officers having direct oversight of Information Technology / Cybersecurity functions, have developed expertise in this area, and now serve on the audit committees of other companies’ boards exercising cybersecurity oversight as well.</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80"/>
        <w:jc w:val="left"/>
        <w:rPr>
          <w:rFonts w:ascii="Arial;sans-serif" w:hAnsi="Arial;sans-serif"/>
          <w:b w:val="false"/>
          <w:color w:val="000000"/>
          <w:sz w:val="24"/>
        </w:rPr>
      </w:pPr>
      <w:r>
        <w:rPr>
          <w:rFonts w:ascii="Arial;sans-serif" w:hAnsi="Arial;sans-serif"/>
          <w:b w:val="false"/>
          <w:color w:val="000000"/>
          <w:sz w:val="24"/>
        </w:rPr>
        <w:t>MEETINGS OF THE BOARD OF DIRECTORS</w:t>
      </w:r>
    </w:p>
    <w:p>
      <w:pPr>
        <w:pStyle w:val="TextBody"/>
        <w:bidi w:val="0"/>
        <w:spacing w:lineRule="auto" w:line="312" w:before="0" w:after="180"/>
        <w:jc w:val="left"/>
        <w:rPr>
          <w:rFonts w:ascii="Arial;sans-serif" w:hAnsi="Arial;sans-serif"/>
          <w:b w:val="false"/>
          <w:color w:val="000000"/>
          <w:sz w:val="18"/>
        </w:rPr>
      </w:pPr>
      <w:r>
        <w:rPr>
          <w:rFonts w:ascii="Arial;sans-serif" w:hAnsi="Arial;sans-serif"/>
          <w:b w:val="false"/>
          <w:color w:val="000000"/>
          <w:sz w:val="18"/>
        </w:rPr>
        <w:t>Our Board of Directors met four times during 2024. Each member of the Board of Directors attended 75% or more of the aggregate number of meetings of the Board of Directors and of the committees on which he or she served, held during the portion of the last fiscal year for which he or she was a director or committee member.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80"/>
        <w:jc w:val="left"/>
        <w:rPr>
          <w:rFonts w:ascii="Arial;sans-serif" w:hAnsi="Arial;sans-serif"/>
          <w:b w:val="false"/>
          <w:color w:val="000000"/>
          <w:sz w:val="24"/>
        </w:rPr>
      </w:pPr>
      <w:r>
        <w:rPr>
          <w:rFonts w:ascii="Arial;sans-serif" w:hAnsi="Arial;sans-serif"/>
          <w:b w:val="false"/>
          <w:color w:val="000000"/>
          <w:sz w:val="24"/>
        </w:rPr>
        <w:t>BOARD COMMITTEES AND MEETINGS</w:t>
      </w:r>
    </w:p>
    <w:p>
      <w:pPr>
        <w:pStyle w:val="TextBody"/>
        <w:bidi w:val="0"/>
        <w:spacing w:lineRule="auto" w:line="312" w:before="0" w:after="60"/>
        <w:jc w:val="left"/>
        <w:rPr>
          <w:rFonts w:ascii="Arial;sans-serif" w:hAnsi="Arial;sans-serif"/>
          <w:b w:val="false"/>
          <w:color w:val="000000"/>
          <w:sz w:val="18"/>
        </w:rPr>
      </w:pPr>
      <w:r>
        <w:rPr>
          <w:rFonts w:ascii="Arial;sans-serif" w:hAnsi="Arial;sans-serif"/>
          <w:b w:val="false"/>
          <w:color w:val="000000"/>
          <w:sz w:val="18"/>
        </w:rPr>
        <w:t>Our Board of Directors has three standing committees: an Audit Committee, a Compensation Committee and a Nominating and Corporate Governance Committee. The following table provides membership and meeting information for fiscal year 2024 for each of the Board committees (neither Mr. Dunn nor Ms. Francis has served on any committee to date):</w:t>
      </w:r>
    </w:p>
    <w:tbl>
      <w:tblPr>
        <w:tblW w:w="7831" w:type="dxa"/>
        <w:jc w:val="left"/>
        <w:tblInd w:w="0" w:type="dxa"/>
        <w:tblLayout w:type="fixed"/>
        <w:tblCellMar>
          <w:top w:w="28" w:type="dxa"/>
          <w:left w:w="28" w:type="dxa"/>
          <w:bottom w:w="28" w:type="dxa"/>
          <w:right w:w="28" w:type="dxa"/>
        </w:tblCellMar>
      </w:tblPr>
      <w:tblGrid>
        <w:gridCol w:w="995"/>
        <w:gridCol w:w="868"/>
        <w:gridCol w:w="882"/>
        <w:gridCol w:w="180"/>
        <w:gridCol w:w="180"/>
        <w:gridCol w:w="181"/>
        <w:gridCol w:w="425"/>
        <w:gridCol w:w="425"/>
        <w:gridCol w:w="426"/>
        <w:gridCol w:w="956"/>
        <w:gridCol w:w="956"/>
        <w:gridCol w:w="1357"/>
      </w:tblGrid>
      <w:tr>
        <w:trPr/>
        <w:tc>
          <w:tcPr>
            <w:tcW w:w="995" w:type="dxa"/>
            <w:tcBorders/>
            <w:vAlign w:val="center"/>
          </w:tcPr>
          <w:p>
            <w:pPr>
              <w:pStyle w:val="TableContents"/>
              <w:bidi w:val="0"/>
              <w:spacing w:before="0" w:after="283"/>
              <w:jc w:val="left"/>
              <w:rPr>
                <w:sz w:val="4"/>
                <w:szCs w:val="4"/>
              </w:rPr>
            </w:pPr>
            <w:r>
              <w:rPr>
                <w:sz w:val="4"/>
                <w:szCs w:val="4"/>
              </w:rPr>
            </w:r>
          </w:p>
        </w:tc>
        <w:tc>
          <w:tcPr>
            <w:tcW w:w="868" w:type="dxa"/>
            <w:tcBorders/>
            <w:vAlign w:val="center"/>
          </w:tcPr>
          <w:p>
            <w:pPr>
              <w:pStyle w:val="TableContents"/>
              <w:bidi w:val="0"/>
              <w:spacing w:before="0" w:after="283"/>
              <w:jc w:val="left"/>
              <w:rPr>
                <w:sz w:val="4"/>
                <w:szCs w:val="4"/>
              </w:rPr>
            </w:pPr>
            <w:r>
              <w:rPr>
                <w:sz w:val="4"/>
                <w:szCs w:val="4"/>
              </w:rPr>
            </w:r>
          </w:p>
        </w:tc>
        <w:tc>
          <w:tcPr>
            <w:tcW w:w="882"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956" w:type="dxa"/>
            <w:tcBorders/>
            <w:vAlign w:val="center"/>
          </w:tcPr>
          <w:p>
            <w:pPr>
              <w:pStyle w:val="TableContents"/>
              <w:bidi w:val="0"/>
              <w:spacing w:before="0" w:after="283"/>
              <w:jc w:val="left"/>
              <w:rPr>
                <w:sz w:val="4"/>
                <w:szCs w:val="4"/>
              </w:rPr>
            </w:pPr>
            <w:r>
              <w:rPr>
                <w:sz w:val="4"/>
                <w:szCs w:val="4"/>
              </w:rPr>
            </w:r>
          </w:p>
        </w:tc>
        <w:tc>
          <w:tcPr>
            <w:tcW w:w="956" w:type="dxa"/>
            <w:tcBorders/>
            <w:vAlign w:val="center"/>
          </w:tcPr>
          <w:p>
            <w:pPr>
              <w:pStyle w:val="TableContents"/>
              <w:bidi w:val="0"/>
              <w:spacing w:before="0" w:after="283"/>
              <w:jc w:val="left"/>
              <w:rPr>
                <w:sz w:val="4"/>
                <w:szCs w:val="4"/>
              </w:rPr>
            </w:pPr>
            <w:r>
              <w:rPr>
                <w:sz w:val="4"/>
                <w:szCs w:val="4"/>
              </w:rPr>
            </w:r>
          </w:p>
        </w:tc>
        <w:tc>
          <w:tcPr>
            <w:tcW w:w="1357" w:type="dxa"/>
            <w:tcBorders/>
            <w:vAlign w:val="center"/>
          </w:tcPr>
          <w:p>
            <w:pPr>
              <w:pStyle w:val="TableContents"/>
              <w:bidi w:val="0"/>
              <w:spacing w:before="0" w:after="283"/>
              <w:jc w:val="left"/>
              <w:rPr>
                <w:sz w:val="4"/>
                <w:szCs w:val="4"/>
              </w:rPr>
            </w:pPr>
            <w:r>
              <w:rPr>
                <w:sz w:val="4"/>
                <w:szCs w:val="4"/>
              </w:rPr>
            </w:r>
          </w:p>
        </w:tc>
      </w:tr>
      <w:tr>
        <w:trPr/>
        <w:tc>
          <w:tcPr>
            <w:tcW w:w="274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6"/>
              </w:rPr>
            </w:pPr>
            <w:r>
              <w:rPr>
                <w:rFonts w:ascii="Arial;sans-serif" w:hAnsi="Arial;sans-serif"/>
                <w:b/>
                <w:color w:val="000000"/>
                <w:sz w:val="16"/>
              </w:rPr>
              <w:t>Name</w:t>
            </w:r>
          </w:p>
        </w:tc>
        <w:tc>
          <w:tcPr>
            <w:tcW w:w="54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Audit</w:t>
            </w:r>
          </w:p>
        </w:tc>
        <w:tc>
          <w:tcPr>
            <w:tcW w:w="127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Compensation</w:t>
            </w:r>
          </w:p>
        </w:tc>
        <w:tc>
          <w:tcPr>
            <w:tcW w:w="326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Nominating and Corporate Governance</w:t>
            </w:r>
          </w:p>
        </w:tc>
      </w:tr>
      <w:tr>
        <w:trPr/>
        <w:tc>
          <w:tcPr>
            <w:tcW w:w="27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5" w:type="dxa"/>
            <w:gridSpan w:val="3"/>
            <w:tcBorders/>
            <w:shd w:fill="EDEDEE"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74A333"/>
                <w:sz w:val="16"/>
              </w:rPr>
            </w:pPr>
            <w:r>
              <w:rPr>
                <w:rFonts w:ascii="Arial;sans-serif" w:hAnsi="Arial;sans-serif"/>
                <w:b/>
                <w:color w:val="74A333"/>
                <w:sz w:val="16"/>
              </w:rPr>
              <w:t>Timothy E. Davis, Jr.</w:t>
            </w:r>
          </w:p>
        </w:tc>
        <w:tc>
          <w:tcPr>
            <w:tcW w:w="541" w:type="dxa"/>
            <w:gridSpan w:val="3"/>
            <w:tcBorders/>
            <w:shd w:fill="EDEDEE"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74A333"/>
                <w:sz w:val="24"/>
              </w:rPr>
            </w:pPr>
            <w:r>
              <w:rPr>
                <w:rFonts w:ascii="Arial;sans-serif" w:hAnsi="Arial;sans-serif"/>
                <w:b/>
                <w:color w:val="74A333"/>
                <w:sz w:val="24"/>
              </w:rPr>
              <w:t>M</w:t>
            </w:r>
          </w:p>
        </w:tc>
        <w:tc>
          <w:tcPr>
            <w:tcW w:w="1276" w:type="dxa"/>
            <w:gridSpan w:val="3"/>
            <w:tcBorders/>
            <w:shd w:fill="EDEDEE"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74A333"/>
                <w:sz w:val="24"/>
              </w:rPr>
            </w:pPr>
            <w:r>
              <w:rPr>
                <w:rFonts w:ascii="Arial;sans-serif" w:hAnsi="Arial;sans-serif"/>
                <w:b/>
                <w:color w:val="74A333"/>
                <w:sz w:val="24"/>
              </w:rPr>
              <w:t>C</w:t>
            </w:r>
          </w:p>
        </w:tc>
        <w:tc>
          <w:tcPr>
            <w:tcW w:w="3269"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74A333"/>
                <w:sz w:val="16"/>
              </w:rPr>
            </w:pPr>
            <w:r>
              <w:rPr>
                <w:rFonts w:ascii="Arial;sans-serif" w:hAnsi="Arial;sans-serif"/>
                <w:b/>
                <w:color w:val="74A333"/>
                <w:sz w:val="16"/>
              </w:rPr>
              <w:t>John G. Freund, M.D.</w:t>
            </w:r>
          </w:p>
        </w:tc>
        <w:tc>
          <w:tcPr>
            <w:tcW w:w="5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74A333"/>
                <w:sz w:val="24"/>
              </w:rPr>
            </w:pPr>
            <w:r>
              <w:rPr>
                <w:rFonts w:ascii="Arial;sans-serif" w:hAnsi="Arial;sans-serif"/>
                <w:b/>
                <w:color w:val="74A333"/>
                <w:sz w:val="24"/>
              </w:rPr>
              <w:t>M</w:t>
            </w:r>
          </w:p>
        </w:tc>
      </w:tr>
      <w:tr>
        <w:trPr/>
        <w:tc>
          <w:tcPr>
            <w:tcW w:w="2745" w:type="dxa"/>
            <w:gridSpan w:val="3"/>
            <w:tcBorders/>
            <w:shd w:fill="EDEDEE"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74A333"/>
                <w:sz w:val="16"/>
              </w:rPr>
            </w:pPr>
            <w:r>
              <w:rPr>
                <w:rFonts w:ascii="Arial;sans-serif" w:hAnsi="Arial;sans-serif"/>
                <w:b/>
                <w:color w:val="74A333"/>
                <w:sz w:val="16"/>
              </w:rPr>
              <w:t>Jeryl L. Hilleman</w:t>
            </w:r>
          </w:p>
        </w:tc>
        <w:tc>
          <w:tcPr>
            <w:tcW w:w="541" w:type="dxa"/>
            <w:gridSpan w:val="3"/>
            <w:tcBorders/>
            <w:shd w:fill="EDEDEE"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74A333"/>
                <w:sz w:val="24"/>
              </w:rPr>
            </w:pPr>
            <w:r>
              <w:rPr>
                <w:rFonts w:ascii="Arial;sans-serif" w:hAnsi="Arial;sans-serif"/>
                <w:b/>
                <w:color w:val="74A333"/>
                <w:sz w:val="24"/>
              </w:rPr>
              <w:t>C</w:t>
            </w:r>
          </w:p>
        </w:tc>
        <w:tc>
          <w:tcPr>
            <w:tcW w:w="1276"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9" w:type="dxa"/>
            <w:gridSpan w:val="3"/>
            <w:tcBorders/>
            <w:shd w:fill="EDEDEE"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74A333"/>
                <w:sz w:val="24"/>
              </w:rPr>
            </w:pPr>
            <w:r>
              <w:rPr>
                <w:rFonts w:ascii="Arial;sans-serif" w:hAnsi="Arial;sans-serif"/>
                <w:b/>
                <w:color w:val="74A333"/>
                <w:sz w:val="24"/>
              </w:rPr>
              <w:t>M</w:t>
            </w:r>
          </w:p>
        </w:tc>
      </w:tr>
      <w:tr>
        <w:trPr/>
        <w:tc>
          <w:tcPr>
            <w:tcW w:w="274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74A333"/>
                <w:sz w:val="16"/>
              </w:rPr>
            </w:pPr>
            <w:r>
              <w:rPr>
                <w:rFonts w:ascii="Arial;sans-serif" w:hAnsi="Arial;sans-serif"/>
                <w:b/>
                <w:color w:val="74A333"/>
                <w:sz w:val="16"/>
              </w:rPr>
              <w:t>Gregory K. Hinckley</w:t>
            </w:r>
          </w:p>
        </w:tc>
        <w:tc>
          <w:tcPr>
            <w:tcW w:w="5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74A333"/>
                <w:sz w:val="24"/>
              </w:rPr>
            </w:pPr>
            <w:r>
              <w:rPr>
                <w:rFonts w:ascii="Arial;sans-serif" w:hAnsi="Arial;sans-serif"/>
                <w:b/>
                <w:color w:val="74A333"/>
                <w:sz w:val="24"/>
              </w:rPr>
              <w:t>M</w:t>
            </w:r>
          </w:p>
        </w:tc>
        <w:tc>
          <w:tcPr>
            <w:tcW w:w="32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5" w:type="dxa"/>
            <w:gridSpan w:val="3"/>
            <w:tcBorders/>
            <w:shd w:fill="EDEDEE"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74A333"/>
                <w:sz w:val="16"/>
              </w:rPr>
            </w:pPr>
            <w:r>
              <w:rPr>
                <w:rFonts w:ascii="Arial;sans-serif" w:hAnsi="Arial;sans-serif"/>
                <w:b/>
                <w:color w:val="74A333"/>
                <w:sz w:val="16"/>
              </w:rPr>
              <w:t>Mika Nishimura</w:t>
            </w:r>
          </w:p>
        </w:tc>
        <w:tc>
          <w:tcPr>
            <w:tcW w:w="541"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9" w:type="dxa"/>
            <w:gridSpan w:val="3"/>
            <w:tcBorders/>
            <w:shd w:fill="EDEDEE"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74A333"/>
                <w:sz w:val="24"/>
              </w:rPr>
            </w:pPr>
            <w:r>
              <w:rPr>
                <w:rFonts w:ascii="Arial;sans-serif" w:hAnsi="Arial;sans-serif"/>
                <w:b/>
                <w:color w:val="74A333"/>
                <w:sz w:val="24"/>
              </w:rPr>
              <w:t>C</w:t>
            </w:r>
          </w:p>
        </w:tc>
      </w:tr>
      <w:tr>
        <w:trPr/>
        <w:tc>
          <w:tcPr>
            <w:tcW w:w="274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74A333"/>
                <w:sz w:val="16"/>
              </w:rPr>
            </w:pPr>
            <w:r>
              <w:rPr>
                <w:rFonts w:ascii="Arial;sans-serif" w:hAnsi="Arial;sans-serif"/>
                <w:b/>
                <w:color w:val="74A333"/>
                <w:sz w:val="16"/>
              </w:rPr>
              <w:t>Thomas A. West</w:t>
            </w:r>
          </w:p>
        </w:tc>
        <w:tc>
          <w:tcPr>
            <w:tcW w:w="5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74A333"/>
                <w:sz w:val="24"/>
              </w:rPr>
            </w:pPr>
            <w:r>
              <w:rPr>
                <w:rFonts w:ascii="Arial;sans-serif" w:hAnsi="Arial;sans-serif"/>
                <w:b/>
                <w:color w:val="74A333"/>
                <w:sz w:val="24"/>
              </w:rPr>
              <w:t>M</w:t>
            </w:r>
          </w:p>
        </w:tc>
        <w:tc>
          <w:tcPr>
            <w:tcW w:w="32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5" w:type="dxa"/>
            <w:gridSpan w:val="3"/>
            <w:tcBorders/>
            <w:shd w:fill="EDEDEE"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74A333"/>
                <w:sz w:val="16"/>
              </w:rPr>
            </w:pPr>
            <w:r>
              <w:rPr>
                <w:rFonts w:ascii="Arial;sans-serif" w:hAnsi="Arial;sans-serif"/>
                <w:b/>
                <w:color w:val="74A333"/>
                <w:sz w:val="16"/>
              </w:rPr>
              <w:t>Daniel W. Wolf</w:t>
            </w:r>
          </w:p>
        </w:tc>
        <w:tc>
          <w:tcPr>
            <w:tcW w:w="541" w:type="dxa"/>
            <w:gridSpan w:val="3"/>
            <w:tcBorders/>
            <w:shd w:fill="EDEDEE"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74A333"/>
                <w:sz w:val="24"/>
              </w:rPr>
            </w:pPr>
            <w:r>
              <w:rPr>
                <w:rFonts w:ascii="Arial;sans-serif" w:hAnsi="Arial;sans-serif"/>
                <w:b/>
                <w:color w:val="74A333"/>
                <w:sz w:val="24"/>
              </w:rPr>
              <w:t>M</w:t>
            </w:r>
          </w:p>
        </w:tc>
        <w:tc>
          <w:tcPr>
            <w:tcW w:w="1276"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9"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5" w:type="dxa"/>
            <w:gridSpan w:val="3"/>
            <w:tcBorders>
              <w:bottom w:val="single" w:sz="12" w:space="0" w:color="74A333"/>
            </w:tcBorders>
            <w:shd w:fill="FFFFFF" w:val="clear"/>
            <w:tcMar>
              <w:top w:w="0" w:type="dxa"/>
              <w:left w:w="0" w:type="dxa"/>
              <w:bottom w:w="30" w:type="dxa"/>
              <w:right w:w="0" w:type="dxa"/>
            </w:tcMar>
            <w:vAlign w:val="center"/>
          </w:tcPr>
          <w:p>
            <w:pPr>
              <w:pStyle w:val="TableContents"/>
              <w:bidi w:val="0"/>
              <w:spacing w:lineRule="auto" w:line="288" w:before="0" w:after="0"/>
              <w:jc w:val="left"/>
              <w:rPr>
                <w:rFonts w:ascii="Arial;sans-serif" w:hAnsi="Arial;sans-serif"/>
                <w:b/>
                <w:color w:val="74A333"/>
                <w:sz w:val="16"/>
              </w:rPr>
            </w:pPr>
            <w:r>
              <w:rPr>
                <w:rFonts w:ascii="Arial;sans-serif" w:hAnsi="Arial;sans-serif"/>
                <w:b/>
                <w:color w:val="74A333"/>
                <w:sz w:val="16"/>
              </w:rPr>
              <w:t>Total meetings in fiscal year 2024</w:t>
            </w:r>
          </w:p>
        </w:tc>
        <w:tc>
          <w:tcPr>
            <w:tcW w:w="541" w:type="dxa"/>
            <w:gridSpan w:val="3"/>
            <w:tcBorders>
              <w:bottom w:val="single" w:sz="12" w:space="0" w:color="74A333"/>
            </w:tcBorders>
            <w:shd w:fill="FFFFFF" w:val="clear"/>
            <w:tcMar>
              <w:top w:w="0" w:type="dxa"/>
              <w:left w:w="0" w:type="dxa"/>
              <w:bottom w:w="3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4</w:t>
            </w:r>
          </w:p>
        </w:tc>
        <w:tc>
          <w:tcPr>
            <w:tcW w:w="1276" w:type="dxa"/>
            <w:gridSpan w:val="3"/>
            <w:tcBorders>
              <w:bottom w:val="single" w:sz="12" w:space="0" w:color="74A333"/>
            </w:tcBorders>
            <w:shd w:fill="FFFFFF" w:val="clear"/>
            <w:tcMar>
              <w:top w:w="0" w:type="dxa"/>
              <w:left w:w="0" w:type="dxa"/>
              <w:bottom w:w="3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6</w:t>
            </w:r>
          </w:p>
        </w:tc>
        <w:tc>
          <w:tcPr>
            <w:tcW w:w="3269" w:type="dxa"/>
            <w:gridSpan w:val="3"/>
            <w:tcBorders>
              <w:bottom w:val="single" w:sz="12" w:space="0" w:color="74A333"/>
            </w:tcBorders>
            <w:shd w:fill="FFFFFF" w:val="clear"/>
            <w:tcMar>
              <w:top w:w="0" w:type="dxa"/>
              <w:left w:w="0" w:type="dxa"/>
              <w:bottom w:w="3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4</w:t>
            </w:r>
          </w:p>
        </w:tc>
      </w:tr>
    </w:tbl>
    <w:p>
      <w:pPr>
        <w:pStyle w:val="TextBody"/>
        <w:bidi w:val="0"/>
        <w:spacing w:lineRule="auto" w:line="288" w:before="0" w:after="300"/>
        <w:jc w:val="left"/>
        <w:rPr/>
      </w:pPr>
      <w:r>
        <w:rPr>
          <w:rFonts w:ascii="Arial;sans-serif" w:hAnsi="Arial;sans-serif"/>
          <w:b/>
          <w:color w:val="74A333"/>
          <w:sz w:val="16"/>
        </w:rPr>
        <w:t>C</w:t>
      </w:r>
      <w:r>
        <w:rPr>
          <w:color w:val="52575F"/>
        </w:rPr>
        <w:t xml:space="preserve"> </w:t>
      </w:r>
      <w:r>
        <w:rPr>
          <w:rFonts w:ascii="Arial;sans-serif" w:hAnsi="Arial;sans-serif"/>
          <w:b w:val="false"/>
          <w:color w:val="52575F"/>
          <w:sz w:val="16"/>
        </w:rPr>
        <w:t xml:space="preserve">- Committee Chairperson </w:t>
      </w:r>
      <w:r>
        <w:rPr>
          <w:rFonts w:ascii="Arial;sans-serif" w:hAnsi="Arial;sans-serif"/>
          <w:b/>
          <w:color w:val="74A333"/>
          <w:sz w:val="16"/>
        </w:rPr>
        <w:t>M</w:t>
      </w:r>
      <w:r>
        <w:rPr>
          <w:color w:val="52575F"/>
        </w:rPr>
        <w:t xml:space="preserve"> </w:t>
      </w:r>
      <w:r>
        <w:rPr>
          <w:rFonts w:ascii="Arial;sans-serif" w:hAnsi="Arial;sans-serif"/>
          <w:b w:val="false"/>
          <w:color w:val="52575F"/>
          <w:sz w:val="16"/>
        </w:rPr>
        <w:t>- Member</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739140"/>
                <wp:effectExtent l="0" t="0" r="0" b="0"/>
                <wp:wrapNone/>
                <wp:docPr id="32" name="Frame16"/>
                <a:graphic xmlns:a="http://schemas.openxmlformats.org/drawingml/2006/main">
                  <a:graphicData uri="http://schemas.microsoft.com/office/word/2010/wordprocessingShape">
                    <wps:wsp>
                      <wps:cNvSpPr txBox="1"/>
                      <wps:spPr>
                        <a:xfrm>
                          <a:off x="0" y="0"/>
                          <a:ext cx="6480175" cy="739140"/>
                        </a:xfrm>
                        <a:prstGeom prst="rect"/>
                        <a:solidFill>
                          <a:srgbClr val="FFFFFF"/>
                        </a:solidFill>
                      </wps:spPr>
                      <wps:txbx>
                        <w:txbxContent>
                          <w:tbl>
                            <w:tblPr>
                              <w:tblW w:w="3266" w:type="dxa"/>
                              <w:jc w:val="center"/>
                              <w:tblInd w:w="0" w:type="dxa"/>
                              <w:tblLayout w:type="fixed"/>
                              <w:tblCellMar>
                                <w:top w:w="28" w:type="dxa"/>
                                <w:left w:w="28" w:type="dxa"/>
                                <w:bottom w:w="28" w:type="dxa"/>
                                <w:right w:w="28" w:type="dxa"/>
                              </w:tblCellMar>
                            </w:tblPr>
                            <w:tblGrid>
                              <w:gridCol w:w="424"/>
                              <w:gridCol w:w="372"/>
                              <w:gridCol w:w="374"/>
                              <w:gridCol w:w="109"/>
                              <w:gridCol w:w="109"/>
                              <w:gridCol w:w="109"/>
                              <w:gridCol w:w="517"/>
                              <w:gridCol w:w="517"/>
                              <w:gridCol w:w="735"/>
                            </w:tblGrid>
                            <w:tr>
                              <w:trPr/>
                              <w:tc>
                                <w:tcPr>
                                  <w:tcW w:w="424"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r>
                            <w:tr>
                              <w:trPr/>
                              <w:tc>
                                <w:tcPr>
                                  <w:tcW w:w="1170"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6"/>
                                    </w:rPr>
                                  </w:pPr>
                                  <w:r>
                                    <w:rPr>
                                      <w:rFonts w:ascii="Arial;sans-serif" w:hAnsi="Arial;sans-serif"/>
                                      <w:b/>
                                      <w:color w:val="000000"/>
                                      <w:sz w:val="16"/>
                                    </w:rPr>
                                    <w:t>SI-BONE, Inc.</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000000"/>
                                      <w:sz w:val="16"/>
                                    </w:rPr>
                                  </w:pPr>
                                  <w:r>
                                    <w:rPr>
                                      <w:rFonts w:ascii="Arial;sans-serif" w:hAnsi="Arial;sans-serif"/>
                                      <w:b/>
                                      <w:color w:val="000000"/>
                                      <w:sz w:val="16"/>
                                    </w:rPr>
                                    <w:t>11</w:t>
                                  </w:r>
                                </w:p>
                              </w:tc>
                              <w:tc>
                                <w:tcPr>
                                  <w:tcW w:w="176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2025 Proxy Statement</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2pt;mso-wrap-distance-left:0pt;mso-wrap-distance-right:0pt;mso-wrap-distance-top:0pt;mso-wrap-distance-bottom:0pt;margin-top:0pt;mso-position-vertical:top;mso-position-vertical-relative:text;margin-left:0pt;mso-position-horizontal:left;mso-position-horizontal-relative:text">
                <v:textbox>
                  <w:txbxContent>
                    <w:tbl>
                      <w:tblPr>
                        <w:tblW w:w="3266" w:type="dxa"/>
                        <w:jc w:val="center"/>
                        <w:tblInd w:w="0" w:type="dxa"/>
                        <w:tblLayout w:type="fixed"/>
                        <w:tblCellMar>
                          <w:top w:w="28" w:type="dxa"/>
                          <w:left w:w="28" w:type="dxa"/>
                          <w:bottom w:w="28" w:type="dxa"/>
                          <w:right w:w="28" w:type="dxa"/>
                        </w:tblCellMar>
                      </w:tblPr>
                      <w:tblGrid>
                        <w:gridCol w:w="424"/>
                        <w:gridCol w:w="372"/>
                        <w:gridCol w:w="374"/>
                        <w:gridCol w:w="109"/>
                        <w:gridCol w:w="109"/>
                        <w:gridCol w:w="109"/>
                        <w:gridCol w:w="517"/>
                        <w:gridCol w:w="517"/>
                        <w:gridCol w:w="735"/>
                      </w:tblGrid>
                      <w:tr>
                        <w:trPr/>
                        <w:tc>
                          <w:tcPr>
                            <w:tcW w:w="424"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r>
                      <w:tr>
                        <w:trPr/>
                        <w:tc>
                          <w:tcPr>
                            <w:tcW w:w="1170"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6"/>
                              </w:rPr>
                            </w:pPr>
                            <w:r>
                              <w:rPr>
                                <w:rFonts w:ascii="Arial;sans-serif" w:hAnsi="Arial;sans-serif"/>
                                <w:b/>
                                <w:color w:val="000000"/>
                                <w:sz w:val="16"/>
                              </w:rPr>
                              <w:t>SI-BONE, Inc.</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000000"/>
                                <w:sz w:val="16"/>
                              </w:rPr>
                            </w:pPr>
                            <w:r>
                              <w:rPr>
                                <w:rFonts w:ascii="Arial;sans-serif" w:hAnsi="Arial;sans-serif"/>
                                <w:b/>
                                <w:color w:val="000000"/>
                                <w:sz w:val="16"/>
                              </w:rPr>
                              <w:t>11</w:t>
                            </w:r>
                          </w:p>
                        </w:tc>
                        <w:tc>
                          <w:tcPr>
                            <w:tcW w:w="176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2025 Proxy Statement</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right"/>
        <w:rPr>
          <w:rFonts w:ascii="Arial;sans-serif" w:hAnsi="Arial;sans-serif"/>
          <w:b w:val="false"/>
          <w:color w:val="000000"/>
          <w:sz w:val="16"/>
        </w:rPr>
      </w:pPr>
      <w:r>
        <w:rPr>
          <w:rFonts w:ascii="Arial;sans-serif" w:hAnsi="Arial;sans-serif"/>
          <w:b w:val="false"/>
          <w:color w:val="000000"/>
          <w:sz w:val="16"/>
        </w:rPr>
        <w:t>Table of Contents</w:t>
      </w:r>
    </w:p>
    <w:p>
      <w:pPr>
        <w:pStyle w:val="TextBody"/>
        <w:bidi w:val="0"/>
        <w:spacing w:lineRule="auto" w:line="312" w:before="0" w:after="180"/>
        <w:jc w:val="left"/>
        <w:rPr>
          <w:rFonts w:ascii="Arial;sans-serif" w:hAnsi="Arial;sans-serif"/>
          <w:b w:val="false"/>
          <w:color w:val="000000"/>
          <w:sz w:val="18"/>
        </w:rPr>
      </w:pPr>
      <w:r>
        <w:rPr>
          <w:rFonts w:ascii="Arial;sans-serif" w:hAnsi="Arial;sans-serif"/>
          <w:b w:val="false"/>
          <w:color w:val="000000"/>
          <w:sz w:val="18"/>
        </w:rPr>
        <w:t>Our Board of Directors has adopted a written charter for each of the Audit Committee, the Compensation Committee, and the Nominating and Corporate Governance Committee. Each of these charters are available to stockholders on SI-BONE’s website at www.si-bone.com.</w:t>
      </w:r>
    </w:p>
    <w:p>
      <w:pPr>
        <w:pStyle w:val="TextBody"/>
        <w:bidi w:val="0"/>
        <w:spacing w:lineRule="auto" w:line="312" w:before="0" w:after="180"/>
        <w:jc w:val="left"/>
        <w:rPr>
          <w:rFonts w:ascii="Arial;sans-serif" w:hAnsi="Arial;sans-serif"/>
          <w:b w:val="false"/>
          <w:color w:val="000000"/>
          <w:sz w:val="18"/>
        </w:rPr>
      </w:pPr>
      <w:r>
        <w:rPr>
          <w:rFonts w:ascii="Arial;sans-serif" w:hAnsi="Arial;sans-serif"/>
          <w:b w:val="false"/>
          <w:color w:val="000000"/>
          <w:sz w:val="18"/>
        </w:rPr>
        <w:t>Below is a description of each committee of the Board of Directors.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80"/>
        <w:jc w:val="left"/>
        <w:rPr>
          <w:rFonts w:ascii="Arial;sans-serif" w:hAnsi="Arial;sans-serif"/>
          <w:b w:val="false"/>
          <w:color w:val="000000"/>
          <w:sz w:val="24"/>
        </w:rPr>
      </w:pPr>
      <w:r>
        <w:rPr>
          <w:rFonts w:ascii="Arial;sans-serif" w:hAnsi="Arial;sans-serif"/>
          <w:b w:val="false"/>
          <w:color w:val="000000"/>
          <w:sz w:val="24"/>
        </w:rPr>
        <w:t>AUDIT COMMITTEE</w:t>
      </w:r>
    </w:p>
    <w:p>
      <w:pPr>
        <w:pStyle w:val="TextBody"/>
        <w:bidi w:val="0"/>
        <w:spacing w:lineRule="auto" w:line="312" w:before="0" w:after="180"/>
        <w:jc w:val="left"/>
        <w:rPr>
          <w:rFonts w:ascii="Arial;sans-serif" w:hAnsi="Arial;sans-serif"/>
          <w:b w:val="false"/>
          <w:color w:val="000000"/>
          <w:sz w:val="18"/>
        </w:rPr>
      </w:pPr>
      <w:r>
        <w:rPr>
          <w:rFonts w:ascii="Arial;sans-serif" w:hAnsi="Arial;sans-serif"/>
          <w:b w:val="false"/>
          <w:color w:val="000000"/>
          <w:sz w:val="18"/>
        </w:rPr>
        <w:t>Our Audit Committee currently consists of Mr. Davis, Ms. Hilleman, and Mr. Wolf, each of whom satisfies the independence requirements under the Nasdaq Global Market listing standards and Rule 10A-3(b)(1) of the Exchange Act. The chairperson of our Audit Committee is Ms. Hilleman. Our Board has determined that each of Mr. Davis and Ms. Hilleman are “audit committee financial experts” within the meaning of SEC regulations. Our Board has also determined that each member of our Audit Committee has the requisite financial expertise required under the applicable requirements of the Nasdaq Global Market. In arriving at this determination, the Board has examined each audit committee member’s scope of experience and the nature of their employment in the corporate finance sector.</w:t>
      </w:r>
    </w:p>
    <w:p>
      <w:pPr>
        <w:pStyle w:val="TextBody"/>
        <w:bidi w:val="0"/>
        <w:spacing w:lineRule="auto" w:line="312" w:before="0" w:after="180"/>
        <w:jc w:val="left"/>
        <w:rPr>
          <w:rFonts w:ascii="Arial;sans-serif" w:hAnsi="Arial;sans-serif"/>
          <w:b w:val="false"/>
          <w:color w:val="000000"/>
          <w:sz w:val="18"/>
        </w:rPr>
      </w:pPr>
      <w:r>
        <w:rPr>
          <w:rFonts w:ascii="Arial;sans-serif" w:hAnsi="Arial;sans-serif"/>
          <w:b w:val="false"/>
          <w:color w:val="000000"/>
          <w:sz w:val="18"/>
        </w:rPr>
        <w:t>The primary purpose of the Audit Committee is to discharge the responsibilities of our Board with respect to our accounting, financial, and other reporting and internal control practices and to oversee our independent registered public accounting firm. Specific responsibilities of our Audit Committee include, but are not limited to:</w:t>
      </w:r>
    </w:p>
    <w:p>
      <w:pPr>
        <w:pStyle w:val="TextBody"/>
        <w:bidi w:val="0"/>
        <w:spacing w:lineRule="auto" w:line="312" w:before="0" w:after="60"/>
        <w:ind w:left="0" w:right="0" w:hanging="360"/>
        <w:jc w:val="left"/>
        <w:rPr/>
      </w:pPr>
      <w:r>
        <w:rPr>
          <w:color w:val="000000"/>
        </w:rPr>
        <w:t>•</w:t>
      </w:r>
      <w:r>
        <w:rPr>
          <w:rFonts w:ascii="Arial;sans-serif" w:hAnsi="Arial;sans-serif"/>
          <w:b w:val="false"/>
          <w:color w:val="000000"/>
          <w:sz w:val="18"/>
        </w:rPr>
        <w:t>selecting a qualified firm to serve as the independent registered public accounting firm to audit our financial statements;</w:t>
      </w:r>
    </w:p>
    <w:p>
      <w:pPr>
        <w:pStyle w:val="TextBody"/>
        <w:bidi w:val="0"/>
        <w:spacing w:lineRule="auto" w:line="312" w:before="0" w:after="60"/>
        <w:ind w:left="0" w:right="0" w:hanging="360"/>
        <w:jc w:val="left"/>
        <w:rPr/>
      </w:pPr>
      <w:r>
        <w:rPr>
          <w:color w:val="000000"/>
        </w:rPr>
        <w:t>•</w:t>
      </w:r>
      <w:r>
        <w:rPr>
          <w:rFonts w:ascii="Arial;sans-serif" w:hAnsi="Arial;sans-serif"/>
          <w:b w:val="false"/>
          <w:color w:val="000000"/>
          <w:sz w:val="18"/>
        </w:rPr>
        <w:t>evaluating the qualifications, independence and performance of the independent registered public accounting firm;</w:t>
      </w:r>
    </w:p>
    <w:p>
      <w:pPr>
        <w:pStyle w:val="TextBody"/>
        <w:bidi w:val="0"/>
        <w:spacing w:lineRule="auto" w:line="312" w:before="0" w:after="60"/>
        <w:ind w:left="0" w:right="0" w:hanging="360"/>
        <w:jc w:val="left"/>
        <w:rPr/>
      </w:pPr>
      <w:r>
        <w:rPr>
          <w:color w:val="000000"/>
        </w:rPr>
        <w:t>•</w:t>
      </w:r>
      <w:r>
        <w:rPr>
          <w:rFonts w:ascii="Arial;sans-serif" w:hAnsi="Arial;sans-serif"/>
          <w:b w:val="false"/>
          <w:color w:val="000000"/>
          <w:sz w:val="18"/>
        </w:rPr>
        <w:t>determining the scope of the annual audit and the audit fee;</w:t>
      </w:r>
    </w:p>
    <w:p>
      <w:pPr>
        <w:pStyle w:val="TextBody"/>
        <w:bidi w:val="0"/>
        <w:spacing w:lineRule="auto" w:line="312" w:before="0" w:after="60"/>
        <w:ind w:left="0" w:right="0" w:hanging="360"/>
        <w:jc w:val="left"/>
        <w:rPr/>
      </w:pPr>
      <w:r>
        <w:rPr>
          <w:color w:val="000000"/>
        </w:rPr>
        <w:t>•</w:t>
      </w:r>
      <w:r>
        <w:rPr>
          <w:rFonts w:ascii="Arial;sans-serif" w:hAnsi="Arial;sans-serif"/>
          <w:b w:val="false"/>
          <w:color w:val="000000"/>
          <w:sz w:val="18"/>
        </w:rPr>
        <w:t>reviewing our financial statements and our management’s discussion and analysis of financial condition and results of operations to be included in our annual and quarterly reports to be filed with the SEC;</w:t>
      </w:r>
    </w:p>
    <w:p>
      <w:pPr>
        <w:pStyle w:val="TextBody"/>
        <w:bidi w:val="0"/>
        <w:spacing w:lineRule="auto" w:line="312" w:before="0" w:after="60"/>
        <w:ind w:left="0" w:right="0" w:hanging="360"/>
        <w:jc w:val="left"/>
        <w:rPr/>
      </w:pPr>
      <w:r>
        <w:rPr>
          <w:color w:val="000000"/>
        </w:rPr>
        <w:t>•</w:t>
      </w:r>
      <w:r>
        <w:rPr>
          <w:rFonts w:ascii="Arial;sans-serif" w:hAnsi="Arial;sans-serif"/>
          <w:b w:val="false"/>
          <w:color w:val="000000"/>
          <w:sz w:val="18"/>
        </w:rPr>
        <w:t>considering the adequacy of our internal controls;</w:t>
      </w:r>
    </w:p>
    <w:p>
      <w:pPr>
        <w:pStyle w:val="TextBody"/>
        <w:bidi w:val="0"/>
        <w:spacing w:lineRule="auto" w:line="312" w:before="0" w:after="60"/>
        <w:ind w:left="0" w:right="0" w:hanging="360"/>
        <w:jc w:val="left"/>
        <w:rPr/>
      </w:pPr>
      <w:r>
        <w:rPr>
          <w:color w:val="000000"/>
        </w:rPr>
        <w:t>•</w:t>
      </w:r>
      <w:r>
        <w:rPr>
          <w:rFonts w:ascii="Arial;sans-serif" w:hAnsi="Arial;sans-serif"/>
          <w:b w:val="false"/>
          <w:color w:val="000000"/>
          <w:sz w:val="18"/>
        </w:rPr>
        <w:t>developing and overseeing procedures for employees to submit concerns anonymously about questionable accounting or audit matters;</w:t>
      </w:r>
    </w:p>
    <w:p>
      <w:pPr>
        <w:pStyle w:val="TextBody"/>
        <w:bidi w:val="0"/>
        <w:spacing w:lineRule="auto" w:line="312" w:before="0" w:after="60"/>
        <w:ind w:left="0" w:right="0" w:hanging="360"/>
        <w:jc w:val="left"/>
        <w:rPr/>
      </w:pPr>
      <w:r>
        <w:rPr>
          <w:color w:val="000000"/>
        </w:rPr>
        <w:t>•</w:t>
      </w:r>
      <w:r>
        <w:rPr>
          <w:rFonts w:ascii="Arial;sans-serif" w:hAnsi="Arial;sans-serif"/>
          <w:b w:val="false"/>
          <w:color w:val="000000"/>
          <w:sz w:val="18"/>
        </w:rPr>
        <w:t>reviewing related party transactions;</w:t>
      </w:r>
    </w:p>
    <w:p>
      <w:pPr>
        <w:pStyle w:val="TextBody"/>
        <w:bidi w:val="0"/>
        <w:spacing w:lineRule="auto" w:line="312" w:before="0" w:after="60"/>
        <w:ind w:left="0" w:right="0" w:hanging="360"/>
        <w:jc w:val="left"/>
        <w:rPr/>
      </w:pPr>
      <w:r>
        <w:rPr>
          <w:color w:val="000000"/>
        </w:rPr>
        <w:t>•</w:t>
      </w:r>
      <w:r>
        <w:rPr>
          <w:rFonts w:ascii="Arial;sans-serif" w:hAnsi="Arial;sans-serif"/>
          <w:b w:val="false"/>
          <w:color w:val="000000"/>
          <w:sz w:val="18"/>
        </w:rPr>
        <w:t>reviewing and discussing the adequacy and effectiveness of our accounting and financial reporting processes and internal controls and the annual audits of our financial statements;</w:t>
      </w:r>
    </w:p>
    <w:p>
      <w:pPr>
        <w:pStyle w:val="TextBody"/>
        <w:bidi w:val="0"/>
        <w:spacing w:lineRule="auto" w:line="312" w:before="0" w:after="60"/>
        <w:ind w:left="0" w:right="0" w:hanging="360"/>
        <w:jc w:val="left"/>
        <w:rPr/>
      </w:pPr>
      <w:r>
        <w:rPr>
          <w:color w:val="000000"/>
        </w:rPr>
        <w:t>•</w:t>
      </w:r>
      <w:r>
        <w:rPr>
          <w:rFonts w:ascii="Arial;sans-serif" w:hAnsi="Arial;sans-serif"/>
          <w:b w:val="false"/>
          <w:color w:val="000000"/>
          <w:sz w:val="18"/>
        </w:rPr>
        <w:t>approving (or, as permitted, pre-approving) all audit and all permissible non-audit service to be performed by the independent registered public accounting firm;</w:t>
      </w:r>
    </w:p>
    <w:p>
      <w:pPr>
        <w:pStyle w:val="TextBody"/>
        <w:bidi w:val="0"/>
        <w:spacing w:lineRule="auto" w:line="312" w:before="0" w:after="60"/>
        <w:ind w:left="0" w:right="0" w:hanging="360"/>
        <w:jc w:val="left"/>
        <w:rPr/>
      </w:pPr>
      <w:r>
        <w:rPr>
          <w:color w:val="000000"/>
        </w:rPr>
        <w:t>•</w:t>
      </w:r>
      <w:r>
        <w:rPr>
          <w:rFonts w:ascii="Arial;sans-serif" w:hAnsi="Arial;sans-serif"/>
          <w:b w:val="false"/>
          <w:color w:val="000000"/>
          <w:sz w:val="18"/>
        </w:rPr>
        <w:t>reviewing our guidelines and policies with respect to financial and information security risk management; and</w:t>
      </w:r>
    </w:p>
    <w:p>
      <w:pPr>
        <w:pStyle w:val="TextBody"/>
        <w:bidi w:val="0"/>
        <w:spacing w:lineRule="auto" w:line="312" w:before="0" w:after="180"/>
        <w:ind w:left="0" w:right="0" w:hanging="360"/>
        <w:jc w:val="left"/>
        <w:rPr/>
      </w:pPr>
      <w:r>
        <w:rPr>
          <w:color w:val="000000"/>
        </w:rPr>
        <w:t>•</w:t>
      </w:r>
      <w:r>
        <w:rPr>
          <w:rFonts w:ascii="Arial;sans-serif" w:hAnsi="Arial;sans-serif"/>
          <w:b w:val="false"/>
          <w:color w:val="000000"/>
          <w:sz w:val="18"/>
        </w:rPr>
        <w:t>reviewing, at least annually, the Audit Committee charter and the committee’s performance.</w:t>
      </w:r>
    </w:p>
    <w:p>
      <w:pPr>
        <w:pStyle w:val="TextBody"/>
        <w:bidi w:val="0"/>
        <w:spacing w:lineRule="auto" w:line="312" w:before="0" w:after="180"/>
        <w:jc w:val="left"/>
        <w:rPr>
          <w:rFonts w:ascii="Arial;sans-serif" w:hAnsi="Arial;sans-serif"/>
          <w:b w:val="false"/>
          <w:color w:val="000000"/>
          <w:sz w:val="18"/>
        </w:rPr>
      </w:pPr>
      <w:r>
        <w:rPr>
          <w:rFonts w:ascii="Arial;sans-serif" w:hAnsi="Arial;sans-serif"/>
          <w:b w:val="false"/>
          <w:color w:val="000000"/>
          <w:sz w:val="18"/>
        </w:rPr>
        <w:t>Our Board reviews the Nasdaq listing standards definition of independence for Audit Committee members on an annual basis and has determined that all members of SI-BONE’s Audit Committee are independent (as independence is currently defined in Rule 5605(c)(2)(A)(i) and (ii) of the Nasdaq listing standards).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80"/>
        <w:jc w:val="left"/>
        <w:rPr>
          <w:rFonts w:ascii="Arial;sans-serif" w:hAnsi="Arial;sans-serif"/>
          <w:b w:val="false"/>
          <w:color w:val="000000"/>
          <w:sz w:val="24"/>
        </w:rPr>
      </w:pPr>
      <w:r>
        <w:rPr>
          <w:rFonts w:ascii="Arial;sans-serif" w:hAnsi="Arial;sans-serif"/>
          <w:b w:val="false"/>
          <w:color w:val="000000"/>
          <w:sz w:val="24"/>
        </w:rPr>
        <w:t>COMPENSATION COMMITTEE</w:t>
      </w:r>
    </w:p>
    <w:p>
      <w:pPr>
        <w:pStyle w:val="TextBody"/>
        <w:bidi w:val="0"/>
        <w:spacing w:lineRule="auto" w:line="312" w:before="0" w:after="180"/>
        <w:jc w:val="left"/>
        <w:rPr>
          <w:rFonts w:ascii="Arial;sans-serif" w:hAnsi="Arial;sans-serif"/>
          <w:b w:val="false"/>
          <w:color w:val="000000"/>
          <w:sz w:val="18"/>
        </w:rPr>
      </w:pPr>
      <w:r>
        <w:rPr>
          <w:rFonts w:ascii="Arial;sans-serif" w:hAnsi="Arial;sans-serif"/>
          <w:b w:val="false"/>
          <w:color w:val="000000"/>
          <w:sz w:val="18"/>
        </w:rPr>
        <w:t>Our Compensation Committee currently consists of Mr. Davis, Mr. Hinckley, and Mr. West. The chairperson of our Compensation Committee is Mr. Davis. Our Board has determined Mr. Davis, Mr. Hinckley, and Mr. West to be independent under the Nasdaq Global Market listing standards, and a “non-employee director” as defined in Rule 16b-3 promulgated under the Exchange Act.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739140"/>
                <wp:effectExtent l="0" t="0" r="0" b="0"/>
                <wp:wrapNone/>
                <wp:docPr id="33" name="Frame17"/>
                <a:graphic xmlns:a="http://schemas.openxmlformats.org/drawingml/2006/main">
                  <a:graphicData uri="http://schemas.microsoft.com/office/word/2010/wordprocessingShape">
                    <wps:wsp>
                      <wps:cNvSpPr txBox="1"/>
                      <wps:spPr>
                        <a:xfrm>
                          <a:off x="0" y="0"/>
                          <a:ext cx="6480175" cy="739140"/>
                        </a:xfrm>
                        <a:prstGeom prst="rect"/>
                        <a:solidFill>
                          <a:srgbClr val="FFFFFF"/>
                        </a:solidFill>
                      </wps:spPr>
                      <wps:txbx>
                        <w:txbxContent>
                          <w:tbl>
                            <w:tblPr>
                              <w:tblW w:w="3266" w:type="dxa"/>
                              <w:jc w:val="center"/>
                              <w:tblInd w:w="0" w:type="dxa"/>
                              <w:tblLayout w:type="fixed"/>
                              <w:tblCellMar>
                                <w:top w:w="28" w:type="dxa"/>
                                <w:left w:w="28" w:type="dxa"/>
                                <w:bottom w:w="28" w:type="dxa"/>
                                <w:right w:w="28" w:type="dxa"/>
                              </w:tblCellMar>
                            </w:tblPr>
                            <w:tblGrid>
                              <w:gridCol w:w="424"/>
                              <w:gridCol w:w="372"/>
                              <w:gridCol w:w="374"/>
                              <w:gridCol w:w="109"/>
                              <w:gridCol w:w="109"/>
                              <w:gridCol w:w="109"/>
                              <w:gridCol w:w="517"/>
                              <w:gridCol w:w="517"/>
                              <w:gridCol w:w="735"/>
                            </w:tblGrid>
                            <w:tr>
                              <w:trPr/>
                              <w:tc>
                                <w:tcPr>
                                  <w:tcW w:w="424"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r>
                            <w:tr>
                              <w:trPr/>
                              <w:tc>
                                <w:tcPr>
                                  <w:tcW w:w="1170"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6"/>
                                    </w:rPr>
                                  </w:pPr>
                                  <w:r>
                                    <w:rPr>
                                      <w:rFonts w:ascii="Arial;sans-serif" w:hAnsi="Arial;sans-serif"/>
                                      <w:b/>
                                      <w:color w:val="000000"/>
                                      <w:sz w:val="16"/>
                                    </w:rPr>
                                    <w:t>SI-BONE, Inc.</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000000"/>
                                      <w:sz w:val="16"/>
                                    </w:rPr>
                                  </w:pPr>
                                  <w:r>
                                    <w:rPr>
                                      <w:rFonts w:ascii="Arial;sans-serif" w:hAnsi="Arial;sans-serif"/>
                                      <w:b/>
                                      <w:color w:val="000000"/>
                                      <w:sz w:val="16"/>
                                    </w:rPr>
                                    <w:t>12</w:t>
                                  </w:r>
                                </w:p>
                              </w:tc>
                              <w:tc>
                                <w:tcPr>
                                  <w:tcW w:w="176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2025 Proxy Statement</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2pt;mso-wrap-distance-left:0pt;mso-wrap-distance-right:0pt;mso-wrap-distance-top:0pt;mso-wrap-distance-bottom:0pt;margin-top:0pt;mso-position-vertical:top;mso-position-vertical-relative:text;margin-left:0pt;mso-position-horizontal:left;mso-position-horizontal-relative:text">
                <v:textbox>
                  <w:txbxContent>
                    <w:tbl>
                      <w:tblPr>
                        <w:tblW w:w="3266" w:type="dxa"/>
                        <w:jc w:val="center"/>
                        <w:tblInd w:w="0" w:type="dxa"/>
                        <w:tblLayout w:type="fixed"/>
                        <w:tblCellMar>
                          <w:top w:w="28" w:type="dxa"/>
                          <w:left w:w="28" w:type="dxa"/>
                          <w:bottom w:w="28" w:type="dxa"/>
                          <w:right w:w="28" w:type="dxa"/>
                        </w:tblCellMar>
                      </w:tblPr>
                      <w:tblGrid>
                        <w:gridCol w:w="424"/>
                        <w:gridCol w:w="372"/>
                        <w:gridCol w:w="374"/>
                        <w:gridCol w:w="109"/>
                        <w:gridCol w:w="109"/>
                        <w:gridCol w:w="109"/>
                        <w:gridCol w:w="517"/>
                        <w:gridCol w:w="517"/>
                        <w:gridCol w:w="735"/>
                      </w:tblGrid>
                      <w:tr>
                        <w:trPr/>
                        <w:tc>
                          <w:tcPr>
                            <w:tcW w:w="424"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r>
                      <w:tr>
                        <w:trPr/>
                        <w:tc>
                          <w:tcPr>
                            <w:tcW w:w="1170"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6"/>
                              </w:rPr>
                            </w:pPr>
                            <w:r>
                              <w:rPr>
                                <w:rFonts w:ascii="Arial;sans-serif" w:hAnsi="Arial;sans-serif"/>
                                <w:b/>
                                <w:color w:val="000000"/>
                                <w:sz w:val="16"/>
                              </w:rPr>
                              <w:t>SI-BONE, Inc.</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000000"/>
                                <w:sz w:val="16"/>
                              </w:rPr>
                            </w:pPr>
                            <w:r>
                              <w:rPr>
                                <w:rFonts w:ascii="Arial;sans-serif" w:hAnsi="Arial;sans-serif"/>
                                <w:b/>
                                <w:color w:val="000000"/>
                                <w:sz w:val="16"/>
                              </w:rPr>
                              <w:t>12</w:t>
                            </w:r>
                          </w:p>
                        </w:tc>
                        <w:tc>
                          <w:tcPr>
                            <w:tcW w:w="176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2025 Proxy Statement</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right"/>
        <w:rPr>
          <w:rFonts w:ascii="Arial;sans-serif" w:hAnsi="Arial;sans-serif"/>
          <w:b w:val="false"/>
          <w:color w:val="000000"/>
          <w:sz w:val="16"/>
        </w:rPr>
      </w:pPr>
      <w:r>
        <w:rPr>
          <w:rFonts w:ascii="Arial;sans-serif" w:hAnsi="Arial;sans-serif"/>
          <w:b w:val="false"/>
          <w:color w:val="000000"/>
          <w:sz w:val="16"/>
        </w:rPr>
        <w:t>Table of Contents</w:t>
      </w:r>
    </w:p>
    <w:p>
      <w:pPr>
        <w:pStyle w:val="TextBody"/>
        <w:bidi w:val="0"/>
        <w:spacing w:lineRule="auto" w:line="312" w:before="0" w:after="180"/>
        <w:jc w:val="left"/>
        <w:rPr>
          <w:rFonts w:ascii="Arial;sans-serif" w:hAnsi="Arial;sans-serif"/>
          <w:b w:val="false"/>
          <w:color w:val="000000"/>
          <w:sz w:val="18"/>
        </w:rPr>
      </w:pPr>
      <w:r>
        <w:rPr>
          <w:rFonts w:ascii="Arial;sans-serif" w:hAnsi="Arial;sans-serif"/>
          <w:b w:val="false"/>
          <w:color w:val="000000"/>
          <w:sz w:val="18"/>
        </w:rPr>
        <w:t>The primary purpose of our Compensation Committee is to discharge the responsibilities of our Board to oversee our compensation policies, plans, and programs and to review and determine the compensation to be paid to our executive officers, directors, and other senior management, as appropriate. Specific responsibilities of our Compensation Committee include:</w:t>
      </w:r>
    </w:p>
    <w:p>
      <w:pPr>
        <w:pStyle w:val="TextBody"/>
        <w:bidi w:val="0"/>
        <w:spacing w:lineRule="auto" w:line="312" w:before="0" w:after="60"/>
        <w:ind w:left="0" w:right="0" w:hanging="360"/>
        <w:jc w:val="left"/>
        <w:rPr/>
      </w:pPr>
      <w:r>
        <w:rPr>
          <w:color w:val="000000"/>
        </w:rPr>
        <w:t>•</w:t>
      </w:r>
      <w:r>
        <w:rPr>
          <w:rFonts w:ascii="Arial;sans-serif" w:hAnsi="Arial;sans-serif"/>
          <w:b w:val="false"/>
          <w:color w:val="000000"/>
          <w:sz w:val="18"/>
        </w:rPr>
        <w:t>reviewing and approving, or in the case of our Chief Executive Officer, recommending that our Board approve, the compensation of our executive officers;</w:t>
      </w:r>
    </w:p>
    <w:p>
      <w:pPr>
        <w:pStyle w:val="TextBody"/>
        <w:bidi w:val="0"/>
        <w:spacing w:lineRule="auto" w:line="312" w:before="0" w:after="60"/>
        <w:ind w:left="0" w:right="0" w:hanging="360"/>
        <w:jc w:val="left"/>
        <w:rPr/>
      </w:pPr>
      <w:r>
        <w:rPr>
          <w:color w:val="000000"/>
        </w:rPr>
        <w:t>•</w:t>
      </w:r>
      <w:r>
        <w:rPr>
          <w:rFonts w:ascii="Arial;sans-serif" w:hAnsi="Arial;sans-serif"/>
          <w:b w:val="false"/>
          <w:color w:val="000000"/>
          <w:sz w:val="18"/>
        </w:rPr>
        <w:t>reviewing and recommending to our Board the compensation of our directors;</w:t>
      </w:r>
    </w:p>
    <w:p>
      <w:pPr>
        <w:pStyle w:val="TextBody"/>
        <w:bidi w:val="0"/>
        <w:spacing w:lineRule="auto" w:line="312" w:before="0" w:after="60"/>
        <w:ind w:left="0" w:right="0" w:hanging="360"/>
        <w:jc w:val="left"/>
        <w:rPr/>
      </w:pPr>
      <w:r>
        <w:rPr>
          <w:color w:val="000000"/>
        </w:rPr>
        <w:t>•</w:t>
      </w:r>
      <w:r>
        <w:rPr>
          <w:rFonts w:ascii="Arial;sans-serif" w:hAnsi="Arial;sans-serif"/>
          <w:b w:val="false"/>
          <w:color w:val="000000"/>
          <w:sz w:val="18"/>
        </w:rPr>
        <w:t>reviewing and approving, or recommending that our Board approve, the terms of compensatory arrangements with our executive officers;</w:t>
      </w:r>
    </w:p>
    <w:p>
      <w:pPr>
        <w:pStyle w:val="TextBody"/>
        <w:bidi w:val="0"/>
        <w:spacing w:lineRule="auto" w:line="312" w:before="0" w:after="60"/>
        <w:ind w:left="0" w:right="0" w:hanging="360"/>
        <w:jc w:val="left"/>
        <w:rPr/>
      </w:pPr>
      <w:r>
        <w:rPr>
          <w:color w:val="000000"/>
        </w:rPr>
        <w:t>•</w:t>
      </w:r>
      <w:r>
        <w:rPr>
          <w:rFonts w:ascii="Arial;sans-serif" w:hAnsi="Arial;sans-serif"/>
          <w:b w:val="false"/>
          <w:color w:val="000000"/>
          <w:sz w:val="18"/>
        </w:rPr>
        <w:t>administering our employee stock purchase and equity incentive plans;</w:t>
      </w:r>
    </w:p>
    <w:p>
      <w:pPr>
        <w:pStyle w:val="TextBody"/>
        <w:bidi w:val="0"/>
        <w:spacing w:lineRule="auto" w:line="312" w:before="0" w:after="60"/>
        <w:ind w:left="0" w:right="0" w:hanging="360"/>
        <w:jc w:val="left"/>
        <w:rPr/>
      </w:pPr>
      <w:r>
        <w:rPr>
          <w:color w:val="000000"/>
        </w:rPr>
        <w:t>•</w:t>
      </w:r>
      <w:r>
        <w:rPr>
          <w:rFonts w:ascii="Arial;sans-serif" w:hAnsi="Arial;sans-serif"/>
          <w:b w:val="false"/>
          <w:color w:val="000000"/>
          <w:sz w:val="18"/>
        </w:rPr>
        <w:t>selecting independent compensation consultants and assessing whether there are any conflicts of interest with any of the committee’s compensation advisors;</w:t>
      </w:r>
    </w:p>
    <w:p>
      <w:pPr>
        <w:pStyle w:val="TextBody"/>
        <w:bidi w:val="0"/>
        <w:spacing w:lineRule="auto" w:line="312" w:before="0" w:after="60"/>
        <w:ind w:left="0" w:right="0" w:hanging="360"/>
        <w:jc w:val="left"/>
        <w:rPr/>
      </w:pPr>
      <w:r>
        <w:rPr>
          <w:color w:val="000000"/>
        </w:rPr>
        <w:t>•</w:t>
      </w:r>
      <w:r>
        <w:rPr>
          <w:rFonts w:ascii="Arial;sans-serif" w:hAnsi="Arial;sans-serif"/>
          <w:b w:val="false"/>
          <w:color w:val="000000"/>
          <w:sz w:val="18"/>
        </w:rPr>
        <w:t>reviewing and approving, or recommending that our Board approve, incentive compensation and equity plans, severance agreements, change-of-control protections, and any other compensatory arrangements for our executive officers and other senior management, as appropriate;</w:t>
      </w:r>
    </w:p>
    <w:p>
      <w:pPr>
        <w:pStyle w:val="TextBody"/>
        <w:bidi w:val="0"/>
        <w:spacing w:lineRule="auto" w:line="312" w:before="0" w:after="60"/>
        <w:ind w:left="0" w:right="0" w:hanging="360"/>
        <w:jc w:val="left"/>
        <w:rPr/>
      </w:pPr>
      <w:r>
        <w:rPr>
          <w:color w:val="000000"/>
        </w:rPr>
        <w:t>•</w:t>
      </w:r>
      <w:r>
        <w:rPr>
          <w:rFonts w:ascii="Arial;sans-serif" w:hAnsi="Arial;sans-serif"/>
          <w:b w:val="false"/>
          <w:color w:val="000000"/>
          <w:sz w:val="18"/>
        </w:rPr>
        <w:t>reviewing and establishing general policies relating to compensation and benefits of our employees; and</w:t>
      </w:r>
    </w:p>
    <w:p>
      <w:pPr>
        <w:pStyle w:val="TextBody"/>
        <w:bidi w:val="0"/>
        <w:spacing w:lineRule="auto" w:line="312" w:before="0" w:after="180"/>
        <w:ind w:left="0" w:right="0" w:hanging="360"/>
        <w:jc w:val="left"/>
        <w:rPr/>
      </w:pPr>
      <w:r>
        <w:rPr>
          <w:color w:val="000000"/>
        </w:rPr>
        <w:t>•</w:t>
      </w:r>
      <w:r>
        <w:rPr>
          <w:rFonts w:ascii="Arial;sans-serif" w:hAnsi="Arial;sans-serif"/>
          <w:b w:val="false"/>
          <w:color w:val="000000"/>
          <w:sz w:val="18"/>
        </w:rPr>
        <w:t>reviewing our overall compensation philosophy.</w:t>
      </w:r>
    </w:p>
    <w:p>
      <w:pPr>
        <w:pStyle w:val="TextBody"/>
        <w:bidi w:val="0"/>
        <w:spacing w:lineRule="auto" w:line="312" w:before="0" w:after="120"/>
        <w:jc w:val="left"/>
        <w:rPr>
          <w:rFonts w:ascii="Arial;sans-serif" w:hAnsi="Arial;sans-serif"/>
          <w:b/>
          <w:color w:val="74A333"/>
          <w:sz w:val="18"/>
        </w:rPr>
      </w:pPr>
      <w:r>
        <w:rPr>
          <w:rFonts w:ascii="Arial;sans-serif" w:hAnsi="Arial;sans-serif"/>
          <w:b/>
          <w:color w:val="74A333"/>
          <w:sz w:val="18"/>
        </w:rPr>
        <w:t>Compensation Committee Processes and Procedures</w:t>
      </w:r>
    </w:p>
    <w:p>
      <w:pPr>
        <w:pStyle w:val="TextBody"/>
        <w:bidi w:val="0"/>
        <w:spacing w:lineRule="auto" w:line="312" w:before="0" w:after="180"/>
        <w:jc w:val="left"/>
        <w:rPr>
          <w:rFonts w:ascii="Arial;sans-serif" w:hAnsi="Arial;sans-serif"/>
          <w:b w:val="false"/>
          <w:color w:val="000000"/>
          <w:sz w:val="18"/>
        </w:rPr>
      </w:pPr>
      <w:r>
        <w:rPr>
          <w:rFonts w:ascii="Arial;sans-serif" w:hAnsi="Arial;sans-serif"/>
          <w:b w:val="false"/>
          <w:color w:val="000000"/>
          <w:sz w:val="18"/>
        </w:rPr>
        <w:t>Typically, our Compensation Committee meets at least four times annually and with greater frequency if necessary. The agenda for each meeting is usually developed by the chair of the Compensation Committee, in consultation with the Chief Business &amp; Legal Affairs Officer. The Compensation Committee meets regularly in executive session. However, from time to time, various members of management and other employees as well as outside advisors or consultants may be invited by the Compensation Committee to make presentations, to provide financial or other background information or advice or to otherwise participate in Compensation Committee meetings. The Chief Executive Officer may not participate in, or be present during, any deliberations or determinations of the Compensation Committee regarding her compensation or individual performance objectives. The charter of the Compensation Committee grants the Compensation Committee full access to all books, records, facilities and personnel of SI-BONE. In addition, under the charter, the Compensation Committee has the authority to obtain, at the expense of SI-BONE, advice and assistance from compensation consultants and internal and external legal, accounting or other advisors and other external resources that the Compensation Committee considers necessary or appropriate in the performance of its duties. The Compensation Committee has direct responsibility for the oversight of the work of any consultants or advisers engaged for the purpose of advising the Committee. In particular, the Compensation Committee has the sole authority to retain, in its sole discretion, compensation consultants to assist in its evaluation of executive and director compensation, including the authority to approve the consultant’s reasonable fees and other retention terms. Under the charter, the Compensation Committee may select, or receive advice from, a compensation consultant, legal counsel or other adviser to the Compensation Committee, other than in-house legal counsel and certain other types of advisers, only after taking into consideration six factors, prescribed by the SEC and Nasdaq, that bear upon the adviser’s independence; however, there is no requirement that any adviser be independent.</w:t>
      </w:r>
    </w:p>
    <w:p>
      <w:pPr>
        <w:pStyle w:val="TextBody"/>
        <w:bidi w:val="0"/>
        <w:spacing w:lineRule="auto" w:line="312" w:before="0" w:after="180"/>
        <w:jc w:val="left"/>
        <w:rPr>
          <w:rFonts w:ascii="Arial;sans-serif" w:hAnsi="Arial;sans-serif"/>
          <w:b w:val="false"/>
          <w:color w:val="000000"/>
          <w:sz w:val="18"/>
        </w:rPr>
      </w:pPr>
      <w:r>
        <w:rPr>
          <w:rFonts w:ascii="Arial;sans-serif" w:hAnsi="Arial;sans-serif"/>
          <w:b w:val="false"/>
          <w:color w:val="000000"/>
          <w:sz w:val="18"/>
        </w:rPr>
        <w:t>During the past fiscal year, after taking into consideration the six factors prescribed by the SEC and Nasdaq described above, the Compensation Committee engaged Compensia, Inc., a national compensation consulting firm with compensation expertise relating to technology and life science companies, as compensation consultants. The Compensation Committee requested that Compensia:</w:t>
      </w:r>
    </w:p>
    <w:p>
      <w:pPr>
        <w:pStyle w:val="TextBody"/>
        <w:bidi w:val="0"/>
        <w:spacing w:lineRule="auto" w:line="312" w:before="0" w:after="60"/>
        <w:ind w:left="0" w:right="0" w:hanging="360"/>
        <w:jc w:val="left"/>
        <w:rPr/>
      </w:pPr>
      <w:r>
        <w:rPr>
          <w:color w:val="000000"/>
        </w:rPr>
        <w:t>•</w:t>
      </w:r>
      <w:r>
        <w:rPr>
          <w:rFonts w:ascii="Arial;sans-serif" w:hAnsi="Arial;sans-serif"/>
          <w:b w:val="false"/>
          <w:color w:val="000000"/>
          <w:sz w:val="18"/>
        </w:rPr>
        <w:t>evaluate the efficacy of SI-BONE’s existing compensation strategy and practices in supporting and reinforcing SI-BONE’s long-term strategic goals;</w:t>
      </w:r>
    </w:p>
    <w:p>
      <w:pPr>
        <w:pStyle w:val="TextBody"/>
        <w:bidi w:val="0"/>
        <w:spacing w:lineRule="auto" w:line="312" w:before="0" w:after="60"/>
        <w:ind w:left="0" w:right="0" w:hanging="360"/>
        <w:jc w:val="left"/>
        <w:rPr/>
      </w:pPr>
      <w:r>
        <w:rPr>
          <w:color w:val="000000"/>
        </w:rPr>
        <w:t>•</w:t>
      </w:r>
      <w:r>
        <w:rPr>
          <w:rFonts w:ascii="Arial;sans-serif" w:hAnsi="Arial;sans-serif"/>
          <w:b w:val="false"/>
          <w:color w:val="000000"/>
          <w:sz w:val="18"/>
        </w:rPr>
        <w:t>assist in refining SI-BONE’s compensation strategy and in developing and implementing an executive compensation program to execute that strategy;</w:t>
      </w:r>
    </w:p>
    <w:p>
      <w:pPr>
        <w:pStyle w:val="TextBody"/>
        <w:bidi w:val="0"/>
        <w:spacing w:lineRule="auto" w:line="312" w:before="0" w:after="60"/>
        <w:ind w:left="0" w:right="0" w:hanging="360"/>
        <w:jc w:val="left"/>
        <w:rPr/>
      </w:pPr>
      <w:r>
        <w:rPr>
          <w:color w:val="000000"/>
        </w:rPr>
        <w:t>•</w:t>
      </w:r>
      <w:r>
        <w:rPr>
          <w:rFonts w:ascii="Arial;sans-serif" w:hAnsi="Arial;sans-serif"/>
          <w:b w:val="false"/>
          <w:color w:val="000000"/>
          <w:sz w:val="18"/>
        </w:rPr>
        <w:t>benchmark SI-BONE’s use of its equity in its compensation program against equity utilization of its peers;</w:t>
      </w:r>
    </w:p>
    <w:p>
      <w:pPr>
        <w:pStyle w:val="TextBody"/>
        <w:bidi w:val="0"/>
        <w:spacing w:lineRule="auto" w:line="312" w:before="0" w:after="60"/>
        <w:ind w:left="0" w:right="0" w:hanging="360"/>
        <w:jc w:val="left"/>
        <w:rPr/>
      </w:pPr>
      <w:r>
        <w:rPr>
          <w:color w:val="000000"/>
        </w:rPr>
        <w:t>•</w:t>
      </w:r>
      <w:r>
        <w:rPr>
          <w:rFonts w:ascii="Arial;sans-serif" w:hAnsi="Arial;sans-serif"/>
          <w:b w:val="false"/>
          <w:color w:val="000000"/>
          <w:sz w:val="18"/>
        </w:rPr>
        <w:t>review the adequacy and appropriateness of SI-BONE’s compensation of its independent directors and recommend annual updates to the Company’s non-employee director compensation policy; and</w:t>
      </w:r>
    </w:p>
    <w:p>
      <w:pPr>
        <w:pStyle w:val="TextBody"/>
        <w:bidi w:val="0"/>
        <w:spacing w:lineRule="auto" w:line="312" w:before="0" w:after="180"/>
        <w:ind w:left="0" w:right="0" w:hanging="360"/>
        <w:jc w:val="left"/>
        <w:rPr/>
      </w:pPr>
      <w:r>
        <w:rPr>
          <w:color w:val="000000"/>
        </w:rPr>
        <w:t>•</w:t>
      </w:r>
      <w:r>
        <w:rPr>
          <w:rFonts w:ascii="Arial;sans-serif" w:hAnsi="Arial;sans-serif"/>
          <w:b w:val="false"/>
          <w:color w:val="000000"/>
          <w:sz w:val="18"/>
        </w:rPr>
        <w:t>perform an annual independent compensation risk assessment.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739140"/>
                <wp:effectExtent l="0" t="0" r="0" b="0"/>
                <wp:wrapNone/>
                <wp:docPr id="34" name="Frame18"/>
                <a:graphic xmlns:a="http://schemas.openxmlformats.org/drawingml/2006/main">
                  <a:graphicData uri="http://schemas.microsoft.com/office/word/2010/wordprocessingShape">
                    <wps:wsp>
                      <wps:cNvSpPr txBox="1"/>
                      <wps:spPr>
                        <a:xfrm>
                          <a:off x="0" y="0"/>
                          <a:ext cx="6480175" cy="739140"/>
                        </a:xfrm>
                        <a:prstGeom prst="rect"/>
                        <a:solidFill>
                          <a:srgbClr val="FFFFFF"/>
                        </a:solidFill>
                      </wps:spPr>
                      <wps:txbx>
                        <w:txbxContent>
                          <w:tbl>
                            <w:tblPr>
                              <w:tblW w:w="3266" w:type="dxa"/>
                              <w:jc w:val="center"/>
                              <w:tblInd w:w="0" w:type="dxa"/>
                              <w:tblLayout w:type="fixed"/>
                              <w:tblCellMar>
                                <w:top w:w="28" w:type="dxa"/>
                                <w:left w:w="28" w:type="dxa"/>
                                <w:bottom w:w="28" w:type="dxa"/>
                                <w:right w:w="28" w:type="dxa"/>
                              </w:tblCellMar>
                            </w:tblPr>
                            <w:tblGrid>
                              <w:gridCol w:w="424"/>
                              <w:gridCol w:w="372"/>
                              <w:gridCol w:w="374"/>
                              <w:gridCol w:w="109"/>
                              <w:gridCol w:w="109"/>
                              <w:gridCol w:w="109"/>
                              <w:gridCol w:w="517"/>
                              <w:gridCol w:w="517"/>
                              <w:gridCol w:w="735"/>
                            </w:tblGrid>
                            <w:tr>
                              <w:trPr/>
                              <w:tc>
                                <w:tcPr>
                                  <w:tcW w:w="424"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r>
                            <w:tr>
                              <w:trPr/>
                              <w:tc>
                                <w:tcPr>
                                  <w:tcW w:w="1170"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6"/>
                                    </w:rPr>
                                  </w:pPr>
                                  <w:r>
                                    <w:rPr>
                                      <w:rFonts w:ascii="Arial;sans-serif" w:hAnsi="Arial;sans-serif"/>
                                      <w:b/>
                                      <w:color w:val="000000"/>
                                      <w:sz w:val="16"/>
                                    </w:rPr>
                                    <w:t>SI-BONE, Inc.</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000000"/>
                                      <w:sz w:val="16"/>
                                    </w:rPr>
                                  </w:pPr>
                                  <w:r>
                                    <w:rPr>
                                      <w:rFonts w:ascii="Arial;sans-serif" w:hAnsi="Arial;sans-serif"/>
                                      <w:b/>
                                      <w:color w:val="000000"/>
                                      <w:sz w:val="16"/>
                                    </w:rPr>
                                    <w:t>13</w:t>
                                  </w:r>
                                </w:p>
                              </w:tc>
                              <w:tc>
                                <w:tcPr>
                                  <w:tcW w:w="176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2025 Proxy Statement</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2pt;mso-wrap-distance-left:0pt;mso-wrap-distance-right:0pt;mso-wrap-distance-top:0pt;mso-wrap-distance-bottom:0pt;margin-top:0pt;mso-position-vertical:top;mso-position-vertical-relative:text;margin-left:0pt;mso-position-horizontal:left;mso-position-horizontal-relative:text">
                <v:textbox>
                  <w:txbxContent>
                    <w:tbl>
                      <w:tblPr>
                        <w:tblW w:w="3266" w:type="dxa"/>
                        <w:jc w:val="center"/>
                        <w:tblInd w:w="0" w:type="dxa"/>
                        <w:tblLayout w:type="fixed"/>
                        <w:tblCellMar>
                          <w:top w:w="28" w:type="dxa"/>
                          <w:left w:w="28" w:type="dxa"/>
                          <w:bottom w:w="28" w:type="dxa"/>
                          <w:right w:w="28" w:type="dxa"/>
                        </w:tblCellMar>
                      </w:tblPr>
                      <w:tblGrid>
                        <w:gridCol w:w="424"/>
                        <w:gridCol w:w="372"/>
                        <w:gridCol w:w="374"/>
                        <w:gridCol w:w="109"/>
                        <w:gridCol w:w="109"/>
                        <w:gridCol w:w="109"/>
                        <w:gridCol w:w="517"/>
                        <w:gridCol w:w="517"/>
                        <w:gridCol w:w="735"/>
                      </w:tblGrid>
                      <w:tr>
                        <w:trPr/>
                        <w:tc>
                          <w:tcPr>
                            <w:tcW w:w="424"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r>
                      <w:tr>
                        <w:trPr/>
                        <w:tc>
                          <w:tcPr>
                            <w:tcW w:w="1170"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6"/>
                              </w:rPr>
                            </w:pPr>
                            <w:r>
                              <w:rPr>
                                <w:rFonts w:ascii="Arial;sans-serif" w:hAnsi="Arial;sans-serif"/>
                                <w:b/>
                                <w:color w:val="000000"/>
                                <w:sz w:val="16"/>
                              </w:rPr>
                              <w:t>SI-BONE, Inc.</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000000"/>
                                <w:sz w:val="16"/>
                              </w:rPr>
                            </w:pPr>
                            <w:r>
                              <w:rPr>
                                <w:rFonts w:ascii="Arial;sans-serif" w:hAnsi="Arial;sans-serif"/>
                                <w:b/>
                                <w:color w:val="000000"/>
                                <w:sz w:val="16"/>
                              </w:rPr>
                              <w:t>13</w:t>
                            </w:r>
                          </w:p>
                        </w:tc>
                        <w:tc>
                          <w:tcPr>
                            <w:tcW w:w="176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2025 Proxy Statement</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right"/>
        <w:rPr>
          <w:rFonts w:ascii="Arial;sans-serif" w:hAnsi="Arial;sans-serif"/>
          <w:b w:val="false"/>
          <w:color w:val="000000"/>
          <w:sz w:val="16"/>
        </w:rPr>
      </w:pPr>
      <w:r>
        <w:rPr>
          <w:rFonts w:ascii="Arial;sans-serif" w:hAnsi="Arial;sans-serif"/>
          <w:b w:val="false"/>
          <w:color w:val="000000"/>
          <w:sz w:val="16"/>
        </w:rPr>
        <w:t>Table of Contents</w:t>
      </w:r>
    </w:p>
    <w:p>
      <w:pPr>
        <w:pStyle w:val="TextBody"/>
        <w:bidi w:val="0"/>
        <w:spacing w:lineRule="auto" w:line="312" w:before="0" w:after="180"/>
        <w:jc w:val="left"/>
        <w:rPr>
          <w:rFonts w:ascii="Arial;sans-serif" w:hAnsi="Arial;sans-serif"/>
          <w:b w:val="false"/>
          <w:color w:val="000000"/>
          <w:sz w:val="18"/>
        </w:rPr>
      </w:pPr>
      <w:r>
        <w:rPr>
          <w:rFonts w:ascii="Arial;sans-serif" w:hAnsi="Arial;sans-serif"/>
          <w:b w:val="false"/>
          <w:color w:val="000000"/>
          <w:sz w:val="18"/>
        </w:rPr>
        <w:t>As part of its engagement, the Compensation Committee requested Compensia to develop a comparative group of companies and to perform analyses of competitive performance and compensation levels for that group. Compensia also conducted individual interviews with members of the Compensation Committee and senior management to learn more about SI-BONE’s business operations and strategy, key performance metrics and strategic goals, as well as the labor markets in which SI-BONE competes. Compensia ultimately developed recommendations that were presented to the Compensation Committee for its consideration. Following an active dialogue with Compensia, the Compensation Committee approved the recommendations of Compensia.</w:t>
      </w:r>
    </w:p>
    <w:p>
      <w:pPr>
        <w:pStyle w:val="TextBody"/>
        <w:bidi w:val="0"/>
        <w:spacing w:lineRule="auto" w:line="312" w:before="0" w:after="180"/>
        <w:jc w:val="left"/>
        <w:rPr>
          <w:rFonts w:ascii="Arial;sans-serif" w:hAnsi="Arial;sans-serif"/>
          <w:b w:val="false"/>
          <w:color w:val="000000"/>
          <w:sz w:val="18"/>
        </w:rPr>
      </w:pPr>
      <w:r>
        <w:rPr>
          <w:rFonts w:ascii="Arial;sans-serif" w:hAnsi="Arial;sans-serif"/>
          <w:b w:val="false"/>
          <w:color w:val="000000"/>
          <w:sz w:val="18"/>
        </w:rPr>
        <w:t>Historically, the Compensation Committee has made most of the significant adjustments to annual compensation, determined bonus and equity awards and established new performance objectives at one or more meetings held during the fourth quarter of the preceding year and the first quarter of the year. However, the Compensation Committee also considers matters related to individual compensation, such as compensation for new executive hires, as well as high-level strategic issues, such as the efficacy of SI-BONE’s compensation strategy, potential modifications to that strategy and new trends, plans or approaches to compensation, at various meetings throughout the year. Generally, the Compensation Committee’s process comprises two related elements: the determination of compensation levels and the establishment of performance objectives for the current year. For executives other than the Chief Executive Officer, the Compensation Committee solicits and considers evaluations and recommendations submitted to the Committee by the Chief Executive Officer. In the case of the Chief Executive Officer, the Board conducts the evaluation of her performance, which determines any adjustments to her compensation as well as awards to be granted. For all executives and directors as part of its deliberations, the Compensation Committee may review and consider, as appropriate, materials such as financial reports and projections, operational data, tax and accounting information, tally sheets that set forth the total compensation that may become payable to executives in various hypothetical scenarios, executive and director stock ownership information, company stock performance data, analyses of historical executive compensation levels and current Company-wide compensation levels and recommendations of the Compensation Committee’s compensation consultant, including analyses of executive and director compensation paid at other companies identified by the consultant.</w:t>
      </w:r>
    </w:p>
    <w:p>
      <w:pPr>
        <w:pStyle w:val="TextBody"/>
        <w:bidi w:val="0"/>
        <w:spacing w:lineRule="auto" w:line="312" w:before="0" w:after="120"/>
        <w:jc w:val="left"/>
        <w:rPr>
          <w:rFonts w:ascii="Arial;sans-serif" w:hAnsi="Arial;sans-serif"/>
          <w:b/>
          <w:color w:val="74A333"/>
          <w:sz w:val="18"/>
        </w:rPr>
      </w:pPr>
      <w:r>
        <w:rPr>
          <w:rFonts w:ascii="Arial;sans-serif" w:hAnsi="Arial;sans-serif"/>
          <w:b/>
          <w:color w:val="74A333"/>
          <w:sz w:val="18"/>
        </w:rPr>
        <w:t>Compensation Committee Interlocks and Insider Participation</w:t>
      </w:r>
    </w:p>
    <w:p>
      <w:pPr>
        <w:pStyle w:val="TextBody"/>
        <w:bidi w:val="0"/>
        <w:spacing w:lineRule="auto" w:line="312" w:before="0" w:after="180"/>
        <w:jc w:val="left"/>
        <w:rPr>
          <w:rFonts w:ascii="Arial;sans-serif" w:hAnsi="Arial;sans-serif"/>
          <w:b w:val="false"/>
          <w:color w:val="000000"/>
          <w:sz w:val="18"/>
        </w:rPr>
      </w:pPr>
      <w:r>
        <w:rPr>
          <w:rFonts w:ascii="Arial;sans-serif" w:hAnsi="Arial;sans-serif"/>
          <w:b w:val="false"/>
          <w:color w:val="000000"/>
          <w:sz w:val="18"/>
        </w:rPr>
        <w:t>During the fiscal year ended December 31, 2024, our Compensation Committee consisted of Mr. Davis, Dr. Freund (until he ceased to serve in September 2024), Mr. Hinckley, Ms. Nishimura (until she ceased to serve following the 2024 Annual Meeting), and Mr. West. None of the members of our Compensation Committee is currently or has been at any time one of our officers or employees. During the fiscal year ended December 31, 2024, none of our executive officers served on the board of directors or compensation committee of any other company that has an executive officer serving on our Board of Directors or our Compensation Committee.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80"/>
        <w:jc w:val="left"/>
        <w:rPr>
          <w:rFonts w:ascii="Arial;sans-serif" w:hAnsi="Arial;sans-serif"/>
          <w:b w:val="false"/>
          <w:color w:val="000000"/>
          <w:sz w:val="24"/>
        </w:rPr>
      </w:pPr>
      <w:r>
        <w:rPr>
          <w:rFonts w:ascii="Arial;sans-serif" w:hAnsi="Arial;sans-serif"/>
          <w:b w:val="false"/>
          <w:color w:val="000000"/>
          <w:sz w:val="24"/>
        </w:rPr>
        <w:t>NOMINATING AND CORPORATE GOVERNANCE COMMITTEE</w:t>
      </w:r>
    </w:p>
    <w:p>
      <w:pPr>
        <w:pStyle w:val="TextBody"/>
        <w:bidi w:val="0"/>
        <w:spacing w:lineRule="auto" w:line="312" w:before="0" w:after="180"/>
        <w:jc w:val="left"/>
        <w:rPr>
          <w:rFonts w:ascii="Arial;sans-serif" w:hAnsi="Arial;sans-serif"/>
          <w:b w:val="false"/>
          <w:color w:val="000000"/>
          <w:sz w:val="18"/>
        </w:rPr>
      </w:pPr>
      <w:r>
        <w:rPr>
          <w:rFonts w:ascii="Arial;sans-serif" w:hAnsi="Arial;sans-serif"/>
          <w:b w:val="false"/>
          <w:color w:val="000000"/>
          <w:sz w:val="18"/>
        </w:rPr>
        <w:t xml:space="preserve">Our Nominating and Corporate Governance Committee currently consists of Dr. Freund, Ms. Hilleman, and Ms. Nishimura. The chairperson of our Nominating and Corporate Governance Committee is Ms. Nishimura. Our Board of Directors has determined Dr. Freund, Ms. Hilleman, and Ms. Nishimura each to be independent under the Nasdaq Global Market listing standards. </w:t>
      </w:r>
    </w:p>
    <w:p>
      <w:pPr>
        <w:pStyle w:val="TextBody"/>
        <w:bidi w:val="0"/>
        <w:spacing w:lineRule="auto" w:line="312" w:before="0" w:after="180"/>
        <w:jc w:val="left"/>
        <w:rPr>
          <w:rFonts w:ascii="Arial;sans-serif" w:hAnsi="Arial;sans-serif"/>
          <w:b w:val="false"/>
          <w:color w:val="000000"/>
          <w:sz w:val="18"/>
        </w:rPr>
      </w:pPr>
      <w:r>
        <w:rPr>
          <w:rFonts w:ascii="Arial;sans-serif" w:hAnsi="Arial;sans-serif"/>
          <w:b w:val="false"/>
          <w:color w:val="000000"/>
          <w:sz w:val="18"/>
        </w:rPr>
        <w:t>Specific responsibilities of our Nominating and Corporate Governance Committee include:</w:t>
      </w:r>
    </w:p>
    <w:p>
      <w:pPr>
        <w:pStyle w:val="TextBody"/>
        <w:bidi w:val="0"/>
        <w:spacing w:lineRule="auto" w:line="312" w:before="0" w:after="60"/>
        <w:ind w:left="0" w:right="0" w:hanging="360"/>
        <w:jc w:val="left"/>
        <w:rPr/>
      </w:pPr>
      <w:r>
        <w:rPr>
          <w:color w:val="000000"/>
        </w:rPr>
        <w:t>•</w:t>
      </w:r>
      <w:r>
        <w:rPr>
          <w:rFonts w:ascii="Arial;sans-serif" w:hAnsi="Arial;sans-serif"/>
          <w:b w:val="false"/>
          <w:color w:val="000000"/>
          <w:sz w:val="18"/>
        </w:rPr>
        <w:t>identifying, evaluating, and selecting, or recommending that our Board approve, nominees for election to our Board;</w:t>
      </w:r>
    </w:p>
    <w:p>
      <w:pPr>
        <w:pStyle w:val="TextBody"/>
        <w:bidi w:val="0"/>
        <w:spacing w:lineRule="auto" w:line="312" w:before="0" w:after="60"/>
        <w:ind w:left="0" w:right="0" w:hanging="360"/>
        <w:jc w:val="left"/>
        <w:rPr/>
      </w:pPr>
      <w:r>
        <w:rPr>
          <w:color w:val="000000"/>
        </w:rPr>
        <w:t>•</w:t>
      </w:r>
      <w:r>
        <w:rPr>
          <w:rFonts w:ascii="Arial;sans-serif" w:hAnsi="Arial;sans-serif"/>
          <w:b w:val="false"/>
          <w:color w:val="000000"/>
          <w:sz w:val="18"/>
        </w:rPr>
        <w:t>overseeing the process of evaluating the performance of our Board of Directors;</w:t>
      </w:r>
    </w:p>
    <w:p>
      <w:pPr>
        <w:pStyle w:val="TextBody"/>
        <w:bidi w:val="0"/>
        <w:spacing w:lineRule="auto" w:line="312" w:before="0" w:after="60"/>
        <w:ind w:left="0" w:right="0" w:hanging="360"/>
        <w:jc w:val="left"/>
        <w:rPr/>
      </w:pPr>
      <w:r>
        <w:rPr>
          <w:color w:val="000000"/>
        </w:rPr>
        <w:t>•</w:t>
      </w:r>
      <w:r>
        <w:rPr>
          <w:rFonts w:ascii="Arial;sans-serif" w:hAnsi="Arial;sans-serif"/>
          <w:b w:val="false"/>
          <w:color w:val="000000"/>
          <w:sz w:val="18"/>
        </w:rPr>
        <w:t>reviewing developments in corporate governance practices;</w:t>
      </w:r>
    </w:p>
    <w:p>
      <w:pPr>
        <w:pStyle w:val="TextBody"/>
        <w:bidi w:val="0"/>
        <w:spacing w:lineRule="auto" w:line="312" w:before="0" w:after="60"/>
        <w:ind w:left="0" w:right="0" w:hanging="360"/>
        <w:jc w:val="left"/>
        <w:rPr/>
      </w:pPr>
      <w:r>
        <w:rPr>
          <w:color w:val="000000"/>
        </w:rPr>
        <w:t>•</w:t>
      </w:r>
      <w:r>
        <w:rPr>
          <w:rFonts w:ascii="Arial;sans-serif" w:hAnsi="Arial;sans-serif"/>
          <w:b w:val="false"/>
          <w:color w:val="000000"/>
          <w:sz w:val="18"/>
        </w:rPr>
        <w:t>evaluating the adequacy of our corporate governance practices and reporting;</w:t>
      </w:r>
    </w:p>
    <w:p>
      <w:pPr>
        <w:pStyle w:val="TextBody"/>
        <w:bidi w:val="0"/>
        <w:spacing w:lineRule="auto" w:line="312" w:before="0" w:after="60"/>
        <w:ind w:left="0" w:right="0" w:hanging="360"/>
        <w:jc w:val="left"/>
        <w:rPr/>
      </w:pPr>
      <w:r>
        <w:rPr>
          <w:color w:val="000000"/>
        </w:rPr>
        <w:t>•</w:t>
      </w:r>
      <w:r>
        <w:rPr>
          <w:rFonts w:ascii="Arial;sans-serif" w:hAnsi="Arial;sans-serif"/>
          <w:b w:val="false"/>
          <w:color w:val="000000"/>
          <w:sz w:val="18"/>
        </w:rPr>
        <w:t>developing and making recommendations to our Board regarding corporate governance guidelines and matters;</w:t>
      </w:r>
    </w:p>
    <w:p>
      <w:pPr>
        <w:pStyle w:val="TextBody"/>
        <w:bidi w:val="0"/>
        <w:spacing w:lineRule="auto" w:line="312" w:before="0" w:after="60"/>
        <w:ind w:left="0" w:right="0" w:hanging="360"/>
        <w:jc w:val="left"/>
        <w:rPr/>
      </w:pPr>
      <w:r>
        <w:rPr>
          <w:color w:val="000000"/>
        </w:rPr>
        <w:t>•</w:t>
      </w:r>
      <w:r>
        <w:rPr>
          <w:rFonts w:ascii="Arial;sans-serif" w:hAnsi="Arial;sans-serif"/>
          <w:b w:val="false"/>
          <w:color w:val="000000"/>
          <w:sz w:val="18"/>
        </w:rPr>
        <w:t>overseeing management of our environmental, social and governance oversight program; and</w:t>
      </w:r>
    </w:p>
    <w:p>
      <w:pPr>
        <w:pStyle w:val="TextBody"/>
        <w:bidi w:val="0"/>
        <w:spacing w:lineRule="auto" w:line="312" w:before="0" w:after="180"/>
        <w:ind w:left="0" w:right="0" w:hanging="360"/>
        <w:jc w:val="left"/>
        <w:rPr/>
      </w:pPr>
      <w:r>
        <w:rPr>
          <w:color w:val="000000"/>
        </w:rPr>
        <w:t>•</w:t>
      </w:r>
      <w:r>
        <w:rPr>
          <w:rFonts w:ascii="Arial;sans-serif" w:hAnsi="Arial;sans-serif"/>
          <w:b w:val="false"/>
          <w:color w:val="000000"/>
          <w:sz w:val="18"/>
        </w:rPr>
        <w:t>overseeing administration of our healthcare compliance program.</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739140"/>
                <wp:effectExtent l="0" t="0" r="0" b="0"/>
                <wp:wrapNone/>
                <wp:docPr id="35" name="Frame19"/>
                <a:graphic xmlns:a="http://schemas.openxmlformats.org/drawingml/2006/main">
                  <a:graphicData uri="http://schemas.microsoft.com/office/word/2010/wordprocessingShape">
                    <wps:wsp>
                      <wps:cNvSpPr txBox="1"/>
                      <wps:spPr>
                        <a:xfrm>
                          <a:off x="0" y="0"/>
                          <a:ext cx="6480175" cy="739140"/>
                        </a:xfrm>
                        <a:prstGeom prst="rect"/>
                        <a:solidFill>
                          <a:srgbClr val="FFFFFF"/>
                        </a:solidFill>
                      </wps:spPr>
                      <wps:txbx>
                        <w:txbxContent>
                          <w:tbl>
                            <w:tblPr>
                              <w:tblW w:w="3266" w:type="dxa"/>
                              <w:jc w:val="center"/>
                              <w:tblInd w:w="0" w:type="dxa"/>
                              <w:tblLayout w:type="fixed"/>
                              <w:tblCellMar>
                                <w:top w:w="28" w:type="dxa"/>
                                <w:left w:w="28" w:type="dxa"/>
                                <w:bottom w:w="28" w:type="dxa"/>
                                <w:right w:w="28" w:type="dxa"/>
                              </w:tblCellMar>
                            </w:tblPr>
                            <w:tblGrid>
                              <w:gridCol w:w="424"/>
                              <w:gridCol w:w="372"/>
                              <w:gridCol w:w="374"/>
                              <w:gridCol w:w="109"/>
                              <w:gridCol w:w="109"/>
                              <w:gridCol w:w="109"/>
                              <w:gridCol w:w="517"/>
                              <w:gridCol w:w="517"/>
                              <w:gridCol w:w="735"/>
                            </w:tblGrid>
                            <w:tr>
                              <w:trPr/>
                              <w:tc>
                                <w:tcPr>
                                  <w:tcW w:w="424"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r>
                            <w:tr>
                              <w:trPr/>
                              <w:tc>
                                <w:tcPr>
                                  <w:tcW w:w="1170"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6"/>
                                    </w:rPr>
                                  </w:pPr>
                                  <w:r>
                                    <w:rPr>
                                      <w:rFonts w:ascii="Arial;sans-serif" w:hAnsi="Arial;sans-serif"/>
                                      <w:b/>
                                      <w:color w:val="000000"/>
                                      <w:sz w:val="16"/>
                                    </w:rPr>
                                    <w:t>SI-BONE, Inc.</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000000"/>
                                      <w:sz w:val="16"/>
                                    </w:rPr>
                                  </w:pPr>
                                  <w:r>
                                    <w:rPr>
                                      <w:rFonts w:ascii="Arial;sans-serif" w:hAnsi="Arial;sans-serif"/>
                                      <w:b/>
                                      <w:color w:val="000000"/>
                                      <w:sz w:val="16"/>
                                    </w:rPr>
                                    <w:t>14</w:t>
                                  </w:r>
                                </w:p>
                              </w:tc>
                              <w:tc>
                                <w:tcPr>
                                  <w:tcW w:w="176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2025 Proxy Statement</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2pt;mso-wrap-distance-left:0pt;mso-wrap-distance-right:0pt;mso-wrap-distance-top:0pt;mso-wrap-distance-bottom:0pt;margin-top:0pt;mso-position-vertical:top;mso-position-vertical-relative:text;margin-left:0pt;mso-position-horizontal:left;mso-position-horizontal-relative:text">
                <v:textbox>
                  <w:txbxContent>
                    <w:tbl>
                      <w:tblPr>
                        <w:tblW w:w="3266" w:type="dxa"/>
                        <w:jc w:val="center"/>
                        <w:tblInd w:w="0" w:type="dxa"/>
                        <w:tblLayout w:type="fixed"/>
                        <w:tblCellMar>
                          <w:top w:w="28" w:type="dxa"/>
                          <w:left w:w="28" w:type="dxa"/>
                          <w:bottom w:w="28" w:type="dxa"/>
                          <w:right w:w="28" w:type="dxa"/>
                        </w:tblCellMar>
                      </w:tblPr>
                      <w:tblGrid>
                        <w:gridCol w:w="424"/>
                        <w:gridCol w:w="372"/>
                        <w:gridCol w:w="374"/>
                        <w:gridCol w:w="109"/>
                        <w:gridCol w:w="109"/>
                        <w:gridCol w:w="109"/>
                        <w:gridCol w:w="517"/>
                        <w:gridCol w:w="517"/>
                        <w:gridCol w:w="735"/>
                      </w:tblGrid>
                      <w:tr>
                        <w:trPr/>
                        <w:tc>
                          <w:tcPr>
                            <w:tcW w:w="424"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r>
                      <w:tr>
                        <w:trPr/>
                        <w:tc>
                          <w:tcPr>
                            <w:tcW w:w="1170"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6"/>
                              </w:rPr>
                            </w:pPr>
                            <w:r>
                              <w:rPr>
                                <w:rFonts w:ascii="Arial;sans-serif" w:hAnsi="Arial;sans-serif"/>
                                <w:b/>
                                <w:color w:val="000000"/>
                                <w:sz w:val="16"/>
                              </w:rPr>
                              <w:t>SI-BONE, Inc.</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000000"/>
                                <w:sz w:val="16"/>
                              </w:rPr>
                            </w:pPr>
                            <w:r>
                              <w:rPr>
                                <w:rFonts w:ascii="Arial;sans-serif" w:hAnsi="Arial;sans-serif"/>
                                <w:b/>
                                <w:color w:val="000000"/>
                                <w:sz w:val="16"/>
                              </w:rPr>
                              <w:t>14</w:t>
                            </w:r>
                          </w:p>
                        </w:tc>
                        <w:tc>
                          <w:tcPr>
                            <w:tcW w:w="176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2025 Proxy Statement</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right"/>
        <w:rPr>
          <w:rFonts w:ascii="Arial;sans-serif" w:hAnsi="Arial;sans-serif"/>
          <w:b w:val="false"/>
          <w:color w:val="000000"/>
          <w:sz w:val="16"/>
        </w:rPr>
      </w:pPr>
      <w:r>
        <w:rPr>
          <w:rFonts w:ascii="Arial;sans-serif" w:hAnsi="Arial;sans-serif"/>
          <w:b w:val="false"/>
          <w:color w:val="000000"/>
          <w:sz w:val="16"/>
        </w:rPr>
        <w:t>Table of Contents</w:t>
      </w:r>
    </w:p>
    <w:p>
      <w:pPr>
        <w:pStyle w:val="TextBody"/>
        <w:bidi w:val="0"/>
        <w:spacing w:lineRule="auto" w:line="312" w:before="0" w:after="180"/>
        <w:jc w:val="left"/>
        <w:rPr>
          <w:rFonts w:ascii="Arial;sans-serif" w:hAnsi="Arial;sans-serif"/>
          <w:b w:val="false"/>
          <w:color w:val="000000"/>
          <w:sz w:val="18"/>
        </w:rPr>
      </w:pPr>
      <w:r>
        <w:rPr>
          <w:rFonts w:ascii="Arial;sans-serif" w:hAnsi="Arial;sans-serif"/>
          <w:b w:val="false"/>
          <w:color w:val="000000"/>
          <w:sz w:val="18"/>
        </w:rPr>
        <w:t>The Nominating and Corporate Governance Committee believes that candidates for director should have certain minimum qualifications, including the ability to read and understand basic financial statements, being over 21 years of age and having the highest personal integrity and ethics. The Nominating and Corporate Governance Committee also intends to consider such factors as possessing relevant expertise upon which to be able to offer advice and guidance to management, having sufficient time to devote to the affairs of SI-BONE, demonstrated excellence in his or her field, having the ability to exercise sound business judgment and having the commitment to rigorously represent the long-term interests of SI-BONE’s stockholders. However, the Nominating and Corporate Governance Committee retains the right to modify these qualifications from time to time. Potential director nominees are reviewed in the context of the current composition of the Board, the operating requirements of SI-BONE and the long-term interests of its stockholders. In conducting this assessment, the Nominating and Corporate Governance Committee considers diversity of skills, experience, personal background, perspective and such other factors as it deems appropriate, given the current needs of the Board and SI-BONE, to maintain a balance of knowledge, experience and capability.</w:t>
      </w:r>
    </w:p>
    <w:p>
      <w:pPr>
        <w:pStyle w:val="TextBody"/>
        <w:bidi w:val="0"/>
        <w:spacing w:lineRule="auto" w:line="312" w:before="0" w:after="180"/>
        <w:jc w:val="left"/>
        <w:rPr>
          <w:rFonts w:ascii="Arial;sans-serif" w:hAnsi="Arial;sans-serif"/>
          <w:b w:val="false"/>
          <w:color w:val="000000"/>
          <w:sz w:val="18"/>
        </w:rPr>
      </w:pPr>
      <w:r>
        <w:rPr>
          <w:rFonts w:ascii="Arial;sans-serif" w:hAnsi="Arial;sans-serif"/>
          <w:b w:val="false"/>
          <w:color w:val="000000"/>
          <w:sz w:val="18"/>
        </w:rPr>
        <w:t>The Nominating and Corporate Governance Committee appreciates the value of thoughtful Board refreshment, and regularly identifies and considers qualities, skills and other director attributes that would enhance the composition of the Board. In the case of incumbent directors whose terms of office are set to expire, the Committee reviews these directors’ overall service to SI-BONE during their terms, including the number of meetings attended, level of participation, quality of performance and any other relationships and transactions that might impair the directors’ independence. In the case of potential director nominees, the Nominating and Corporate Governance Committee also determines whether the candidate is independent for Nasdaq purposes, which determination is based upon applicable Nasdaq listing standards, applicable SEC rules and regulations and the advice of counsel, if necessary. The Nominating and Corporate Governance Committee then uses its network of contacts to compile a list of potential nominees, but may also engage, if it deems appropriate, a professional search firm. The Nominating and Corporate Governance Committee conducts any appropriate and necessary inquiries into the backgrounds and qualifications of possible candidates after considering the function and needs of the Board. The Nominating and Corporate Governance Committee meets to discuss and consider the candidates’ qualifications and then selects a nominee for recommendation to the Board by majority vote.</w:t>
      </w:r>
    </w:p>
    <w:p>
      <w:pPr>
        <w:pStyle w:val="TextBody"/>
        <w:bidi w:val="0"/>
        <w:spacing w:lineRule="auto" w:line="312" w:before="0" w:after="180"/>
        <w:jc w:val="left"/>
        <w:rPr>
          <w:rFonts w:ascii="Arial;sans-serif" w:hAnsi="Arial;sans-serif"/>
          <w:b w:val="false"/>
          <w:color w:val="000000"/>
          <w:sz w:val="18"/>
        </w:rPr>
      </w:pPr>
      <w:r>
        <w:rPr>
          <w:rFonts w:ascii="Arial;sans-serif" w:hAnsi="Arial;sans-serif"/>
          <w:b w:val="false"/>
          <w:color w:val="000000"/>
          <w:sz w:val="18"/>
        </w:rPr>
        <w:t>The Nominating and Corporate Governance Committee will consider director candidates recommended by stockholders. The Nominating and Corporate Governance Committee does not intend to alter the manner in which it evaluates candidates, including the minimum criteria set forth above, based on whether or not the candidate was recommended by a stockholder. Stockholders who wish to recommend individuals for consideration by the Nominating and Corporate Governance Committee to become nominees for election to the Board may do so by delivering a written recommendation to the attention of the Nominating and Corporate Governance Committee and care of the Chief Business &amp; Legal Affairs Officer at the following address: 471 El Camino Real, Suite 101, Santa Clara, California 95050 no earlier than 120 days prior to the anniversary date of the mailing of SI-BONE’s proxy statement for the last Annual Meeting of Stockholders and no later than the 90th day prior to the upcoming annual meeting. Submissions must include the full name of the proposed nominee, a description of the proposed nominee’s business experience for at least the previous five years, complete biographical information, a description of the proposed nominee’s qualifications as a director and a representation that the nominating stockholder is a beneficial or record holder of SI-BONE’s stock and has been a holder for at least one year. Any such submission must be accompanied by the written consent of the proposed nominee to be named as a nominee and to serve as a director if elected.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80"/>
        <w:jc w:val="left"/>
        <w:rPr>
          <w:rFonts w:ascii="Arial;sans-serif" w:hAnsi="Arial;sans-serif"/>
          <w:b w:val="false"/>
          <w:color w:val="000000"/>
          <w:sz w:val="24"/>
        </w:rPr>
      </w:pPr>
      <w:r>
        <w:rPr>
          <w:rFonts w:ascii="Arial;sans-serif" w:hAnsi="Arial;sans-serif"/>
          <w:b w:val="false"/>
          <w:color w:val="000000"/>
          <w:sz w:val="24"/>
        </w:rPr>
        <w:t>STOCKHOLDER COMMUNICATIONS WITH THE BOARD OF DIRECTORS</w:t>
      </w:r>
    </w:p>
    <w:p>
      <w:pPr>
        <w:pStyle w:val="TextBody"/>
        <w:bidi w:val="0"/>
        <w:spacing w:lineRule="auto" w:line="312" w:before="0" w:after="180"/>
        <w:jc w:val="left"/>
        <w:rPr>
          <w:rFonts w:ascii="Arial;sans-serif" w:hAnsi="Arial;sans-serif"/>
          <w:b w:val="false"/>
          <w:color w:val="000000"/>
          <w:sz w:val="18"/>
        </w:rPr>
      </w:pPr>
      <w:r>
        <w:rPr>
          <w:rFonts w:ascii="Arial;sans-serif" w:hAnsi="Arial;sans-serif"/>
          <w:b w:val="false"/>
          <w:color w:val="000000"/>
          <w:sz w:val="18"/>
        </w:rPr>
        <w:t>Historically, we have not provided a formal process related to stockholder communications with our Board of Directors. Nevertheless, every effort has been made to ensure that the views of stockholders are heard by the Board or individual directors, as applicable, and that appropriate responses are provided to stockholders in a timely manner. We believe our responsiveness to stockholder communications to our directors has been excellent. Stockholders may communicate with the Board or any of our directors. Stockholders who wish to communicate with the Board may do so by sending written communications addressed as follows: SI-BONE, Inc. Board Communication, 471 El Camino Real, Suite 101, Santa Clara, California 95050. Any communication sent must state the number of shares owned by the stockholder making the communication. The communications will be reviewed by the Chairperson of the Board. The Chairperson of the Board will forward such communication to the Board or to any individual director to whom the communication is addressed unless the communication is unduly frivolous, hostile, threatening or similarly inappropriate, in which case, the Chairperson of the Board shall discard the communication.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739140"/>
                <wp:effectExtent l="0" t="0" r="0" b="0"/>
                <wp:wrapNone/>
                <wp:docPr id="36" name="Frame20"/>
                <a:graphic xmlns:a="http://schemas.openxmlformats.org/drawingml/2006/main">
                  <a:graphicData uri="http://schemas.microsoft.com/office/word/2010/wordprocessingShape">
                    <wps:wsp>
                      <wps:cNvSpPr txBox="1"/>
                      <wps:spPr>
                        <a:xfrm>
                          <a:off x="0" y="0"/>
                          <a:ext cx="6480175" cy="739140"/>
                        </a:xfrm>
                        <a:prstGeom prst="rect"/>
                        <a:solidFill>
                          <a:srgbClr val="FFFFFF"/>
                        </a:solidFill>
                      </wps:spPr>
                      <wps:txbx>
                        <w:txbxContent>
                          <w:tbl>
                            <w:tblPr>
                              <w:tblW w:w="3266" w:type="dxa"/>
                              <w:jc w:val="center"/>
                              <w:tblInd w:w="0" w:type="dxa"/>
                              <w:tblLayout w:type="fixed"/>
                              <w:tblCellMar>
                                <w:top w:w="28" w:type="dxa"/>
                                <w:left w:w="28" w:type="dxa"/>
                                <w:bottom w:w="28" w:type="dxa"/>
                                <w:right w:w="28" w:type="dxa"/>
                              </w:tblCellMar>
                            </w:tblPr>
                            <w:tblGrid>
                              <w:gridCol w:w="424"/>
                              <w:gridCol w:w="372"/>
                              <w:gridCol w:w="374"/>
                              <w:gridCol w:w="109"/>
                              <w:gridCol w:w="109"/>
                              <w:gridCol w:w="109"/>
                              <w:gridCol w:w="517"/>
                              <w:gridCol w:w="517"/>
                              <w:gridCol w:w="735"/>
                            </w:tblGrid>
                            <w:tr>
                              <w:trPr/>
                              <w:tc>
                                <w:tcPr>
                                  <w:tcW w:w="424"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r>
                            <w:tr>
                              <w:trPr/>
                              <w:tc>
                                <w:tcPr>
                                  <w:tcW w:w="1170"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6"/>
                                    </w:rPr>
                                  </w:pPr>
                                  <w:r>
                                    <w:rPr>
                                      <w:rFonts w:ascii="Arial;sans-serif" w:hAnsi="Arial;sans-serif"/>
                                      <w:b/>
                                      <w:color w:val="000000"/>
                                      <w:sz w:val="16"/>
                                    </w:rPr>
                                    <w:t>SI-BONE, Inc.</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000000"/>
                                      <w:sz w:val="16"/>
                                    </w:rPr>
                                  </w:pPr>
                                  <w:r>
                                    <w:rPr>
                                      <w:rFonts w:ascii="Arial;sans-serif" w:hAnsi="Arial;sans-serif"/>
                                      <w:b/>
                                      <w:color w:val="000000"/>
                                      <w:sz w:val="16"/>
                                    </w:rPr>
                                    <w:t>15</w:t>
                                  </w:r>
                                </w:p>
                              </w:tc>
                              <w:tc>
                                <w:tcPr>
                                  <w:tcW w:w="176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2025 Proxy Statement</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2pt;mso-wrap-distance-left:0pt;mso-wrap-distance-right:0pt;mso-wrap-distance-top:0pt;mso-wrap-distance-bottom:0pt;margin-top:0pt;mso-position-vertical:top;mso-position-vertical-relative:text;margin-left:0pt;mso-position-horizontal:left;mso-position-horizontal-relative:text">
                <v:textbox>
                  <w:txbxContent>
                    <w:tbl>
                      <w:tblPr>
                        <w:tblW w:w="3266" w:type="dxa"/>
                        <w:jc w:val="center"/>
                        <w:tblInd w:w="0" w:type="dxa"/>
                        <w:tblLayout w:type="fixed"/>
                        <w:tblCellMar>
                          <w:top w:w="28" w:type="dxa"/>
                          <w:left w:w="28" w:type="dxa"/>
                          <w:bottom w:w="28" w:type="dxa"/>
                          <w:right w:w="28" w:type="dxa"/>
                        </w:tblCellMar>
                      </w:tblPr>
                      <w:tblGrid>
                        <w:gridCol w:w="424"/>
                        <w:gridCol w:w="372"/>
                        <w:gridCol w:w="374"/>
                        <w:gridCol w:w="109"/>
                        <w:gridCol w:w="109"/>
                        <w:gridCol w:w="109"/>
                        <w:gridCol w:w="517"/>
                        <w:gridCol w:w="517"/>
                        <w:gridCol w:w="735"/>
                      </w:tblGrid>
                      <w:tr>
                        <w:trPr/>
                        <w:tc>
                          <w:tcPr>
                            <w:tcW w:w="424"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r>
                      <w:tr>
                        <w:trPr/>
                        <w:tc>
                          <w:tcPr>
                            <w:tcW w:w="1170"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6"/>
                              </w:rPr>
                            </w:pPr>
                            <w:r>
                              <w:rPr>
                                <w:rFonts w:ascii="Arial;sans-serif" w:hAnsi="Arial;sans-serif"/>
                                <w:b/>
                                <w:color w:val="000000"/>
                                <w:sz w:val="16"/>
                              </w:rPr>
                              <w:t>SI-BONE, Inc.</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000000"/>
                                <w:sz w:val="16"/>
                              </w:rPr>
                            </w:pPr>
                            <w:r>
                              <w:rPr>
                                <w:rFonts w:ascii="Arial;sans-serif" w:hAnsi="Arial;sans-serif"/>
                                <w:b/>
                                <w:color w:val="000000"/>
                                <w:sz w:val="16"/>
                              </w:rPr>
                              <w:t>15</w:t>
                            </w:r>
                          </w:p>
                        </w:tc>
                        <w:tc>
                          <w:tcPr>
                            <w:tcW w:w="176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2025 Proxy Statement</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right"/>
        <w:rPr>
          <w:rFonts w:ascii="Arial;sans-serif" w:hAnsi="Arial;sans-serif"/>
          <w:b w:val="false"/>
          <w:color w:val="000000"/>
          <w:sz w:val="16"/>
        </w:rPr>
      </w:pPr>
      <w:r>
        <w:rPr>
          <w:rFonts w:ascii="Arial;sans-serif" w:hAnsi="Arial;sans-serif"/>
          <w:b w:val="false"/>
          <w:color w:val="000000"/>
          <w:sz w:val="16"/>
        </w:rPr>
        <w:t>Table of Contents</w:t>
      </w:r>
    </w:p>
    <w:p>
      <w:pPr>
        <w:pStyle w:val="TextBody"/>
        <w:bidi w:val="0"/>
        <w:spacing w:lineRule="auto" w:line="288" w:before="240" w:after="180"/>
        <w:jc w:val="left"/>
        <w:rPr>
          <w:rFonts w:ascii="Arial;sans-serif" w:hAnsi="Arial;sans-serif"/>
          <w:b w:val="false"/>
          <w:color w:val="000000"/>
          <w:sz w:val="24"/>
        </w:rPr>
      </w:pPr>
      <w:r>
        <w:rPr>
          <w:rFonts w:ascii="Arial;sans-serif" w:hAnsi="Arial;sans-serif"/>
          <w:b w:val="false"/>
          <w:color w:val="000000"/>
          <w:sz w:val="24"/>
        </w:rPr>
        <w:t>CODE OF BUSINESS CONDUCT AND ETHICS</w:t>
      </w:r>
    </w:p>
    <w:p>
      <w:pPr>
        <w:pStyle w:val="TextBody"/>
        <w:bidi w:val="0"/>
        <w:spacing w:lineRule="auto" w:line="312" w:before="0" w:after="180"/>
        <w:jc w:val="left"/>
        <w:rPr>
          <w:rFonts w:ascii="Arial;sans-serif" w:hAnsi="Arial;sans-serif"/>
          <w:b w:val="false"/>
          <w:color w:val="000000"/>
          <w:sz w:val="18"/>
        </w:rPr>
      </w:pPr>
      <w:r>
        <w:rPr>
          <w:rFonts w:ascii="Arial;sans-serif" w:hAnsi="Arial;sans-serif"/>
          <w:b w:val="false"/>
          <w:color w:val="000000"/>
          <w:sz w:val="18"/>
        </w:rPr>
        <w:t>We have adopted the SI-BONE, Inc. Code of Business Conduct and Ethics that applies to all officers, directors and employees. The Code of Business Conduct and Ethics is available on SI-BONE’s website at www.si-bone.com. If SI-BONE makes any substantive amendments to the Code of Business Conduct and Ethics or grants any waiver from a provision of the Code to any executive officer or director, SI-BONE will promptly disclose the nature of the amendment or waiver on its website.</w:t>
      </w:r>
    </w:p>
    <w:p>
      <w:pPr>
        <w:pStyle w:val="TextBody"/>
        <w:bidi w:val="0"/>
        <w:spacing w:lineRule="auto" w:line="312" w:before="0" w:after="180"/>
        <w:jc w:val="left"/>
        <w:rPr>
          <w:rFonts w:ascii="Arial;sans-serif" w:hAnsi="Arial;sans-serif"/>
          <w:b w:val="false"/>
          <w:color w:val="000000"/>
          <w:sz w:val="18"/>
        </w:rPr>
      </w:pPr>
      <w:r>
        <w:rPr>
          <w:rFonts w:ascii="Arial;sans-serif" w:hAnsi="Arial;sans-serif"/>
          <w:b w:val="false"/>
          <w:color w:val="000000"/>
          <w:sz w:val="18"/>
        </w:rPr>
        <w:t>We have a whistleblower hotline and website where people can report violations of the Code of Business Conduct and Ethics anonymously or by name; to date we have never had a good-faith complaint alleging violations of our Code of Conduct come into the hotline.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80"/>
        <w:jc w:val="left"/>
        <w:rPr>
          <w:rFonts w:ascii="Arial;sans-serif" w:hAnsi="Arial;sans-serif"/>
          <w:b w:val="false"/>
          <w:color w:val="000000"/>
          <w:sz w:val="24"/>
        </w:rPr>
      </w:pPr>
      <w:r>
        <w:rPr>
          <w:rFonts w:ascii="Arial;sans-serif" w:hAnsi="Arial;sans-serif"/>
          <w:b w:val="false"/>
          <w:color w:val="000000"/>
          <w:sz w:val="24"/>
        </w:rPr>
        <w:t>CORPORATE GOVERNANCE GUIDELINES</w:t>
      </w:r>
    </w:p>
    <w:p>
      <w:pPr>
        <w:pStyle w:val="TextBody"/>
        <w:bidi w:val="0"/>
        <w:spacing w:lineRule="auto" w:line="312" w:before="0" w:after="180"/>
        <w:jc w:val="left"/>
        <w:rPr>
          <w:rFonts w:ascii="Arial;sans-serif" w:hAnsi="Arial;sans-serif"/>
          <w:b w:val="false"/>
          <w:color w:val="000000"/>
          <w:sz w:val="18"/>
        </w:rPr>
      </w:pPr>
      <w:r>
        <w:rPr>
          <w:rFonts w:ascii="Arial;sans-serif" w:hAnsi="Arial;sans-serif"/>
          <w:b w:val="false"/>
          <w:color w:val="000000"/>
          <w:sz w:val="18"/>
        </w:rPr>
        <w:t>In July 2018, the Board of Directors adopted, and in January 2021, December 2022 and June 2023 revised, our Corporate Governance Guidelines to assure that the Board has the necessary authority and policies in place to review and evaluate SI-BONE’s business operations as needed and to make decisions that are independent of SI-BONE’s management. The guidelines are also intended to align the interests of directors and management with those of SI-BONE’s stockholders. The Corporate Governance Guidelines set forth the practices the Board intends to follow with respect to board composition and selection including qualifications, board meetings and involvement of senior management, Chief Executive Officer performance evaluation and succession planning, board committees and compensation, board and committee self-assessments, and our prohibition on engaging in hedging, pledging or other inherently speculative transactions in our common stock. The Corporate Governance Guidelines, as well as the charters for each committee of the Board, may be viewed at www.si-bone.com.</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80"/>
        <w:jc w:val="left"/>
        <w:rPr>
          <w:rFonts w:ascii="Arial;sans-serif" w:hAnsi="Arial;sans-serif"/>
          <w:b w:val="false"/>
          <w:color w:val="000000"/>
          <w:sz w:val="24"/>
        </w:rPr>
      </w:pPr>
      <w:r>
        <w:rPr>
          <w:rFonts w:ascii="Arial;sans-serif" w:hAnsi="Arial;sans-serif"/>
          <w:b w:val="false"/>
          <w:color w:val="000000"/>
          <w:sz w:val="24"/>
        </w:rPr>
        <w:t>INSIDER TRADING POLICY</w:t>
      </w:r>
    </w:p>
    <w:p>
      <w:pPr>
        <w:pStyle w:val="TextBody"/>
        <w:bidi w:val="0"/>
        <w:spacing w:lineRule="auto" w:line="312" w:before="0" w:after="180"/>
        <w:jc w:val="left"/>
        <w:rPr>
          <w:rFonts w:ascii="Arial;sans-serif" w:hAnsi="Arial;sans-serif"/>
          <w:b w:val="false"/>
          <w:color w:val="000000"/>
          <w:sz w:val="18"/>
        </w:rPr>
      </w:pPr>
      <w:r>
        <w:rPr>
          <w:rFonts w:ascii="Arial;sans-serif" w:hAnsi="Arial;sans-serif"/>
          <w:b w:val="false"/>
          <w:color w:val="000000"/>
          <w:sz w:val="18"/>
        </w:rPr>
        <w:t>We have adopted an Insider Trading Policy governing the purchase, sale, and/or other dispositions of our securities by directors, officers, and employees that is designed to promote compliance with insider trading laws, rules, and regulations, as well as procedures designed to further the foregoing purposes. From time to time, we may engage in transactions in our securities. It is our policy to comply with applicable laws and regulations relating to insider trading. A copy of our insider trading policy is filed as an exhibit to our Annual Report on Form 10-K for our fiscal year ended December 31, 2024.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80"/>
        <w:jc w:val="left"/>
        <w:rPr>
          <w:rFonts w:ascii="Arial;sans-serif" w:hAnsi="Arial;sans-serif"/>
          <w:b w:val="false"/>
          <w:color w:val="000000"/>
          <w:sz w:val="24"/>
        </w:rPr>
      </w:pPr>
      <w:r>
        <w:rPr>
          <w:rFonts w:ascii="Arial;sans-serif" w:hAnsi="Arial;sans-serif"/>
          <w:b w:val="false"/>
          <w:color w:val="000000"/>
          <w:sz w:val="24"/>
        </w:rPr>
        <w:t>HEDGING AND PLEDGING PROHIBITION</w:t>
      </w:r>
    </w:p>
    <w:p>
      <w:pPr>
        <w:pStyle w:val="TextBody"/>
        <w:bidi w:val="0"/>
        <w:spacing w:lineRule="auto" w:line="312" w:before="0" w:after="180"/>
        <w:jc w:val="left"/>
        <w:rPr>
          <w:rFonts w:ascii="Arial;sans-serif" w:hAnsi="Arial;sans-serif"/>
          <w:b w:val="false"/>
          <w:color w:val="000000"/>
          <w:sz w:val="18"/>
        </w:rPr>
      </w:pPr>
      <w:r>
        <w:rPr>
          <w:rFonts w:ascii="Arial;sans-serif" w:hAnsi="Arial;sans-serif"/>
          <w:b w:val="false"/>
          <w:color w:val="000000"/>
          <w:sz w:val="18"/>
        </w:rPr>
        <w:t>As set forth in our Insider Trading Policy and Corporate Governance Guidelines, no director, employee or consultant to SI-BONE may engage in short sales, transactions in put or call options, hedging transactions, margin accounts, pledges, or other inherently speculative transactions with respect to our stock at any time.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80"/>
        <w:jc w:val="left"/>
        <w:rPr>
          <w:rFonts w:ascii="Arial;sans-serif" w:hAnsi="Arial;sans-serif"/>
          <w:b w:val="false"/>
          <w:color w:val="000000"/>
          <w:sz w:val="24"/>
        </w:rPr>
      </w:pPr>
      <w:r>
        <w:rPr>
          <w:rFonts w:ascii="Arial;sans-serif" w:hAnsi="Arial;sans-serif"/>
          <w:b w:val="false"/>
          <w:color w:val="000000"/>
          <w:sz w:val="24"/>
        </w:rPr>
        <w:t>STOCK OWNERSHIP GUIDELINES</w:t>
      </w:r>
    </w:p>
    <w:p>
      <w:pPr>
        <w:pStyle w:val="TextBody"/>
        <w:bidi w:val="0"/>
        <w:spacing w:lineRule="auto" w:line="312" w:before="0" w:after="180"/>
        <w:jc w:val="left"/>
        <w:rPr>
          <w:rFonts w:ascii="Arial;sans-serif" w:hAnsi="Arial;sans-serif"/>
          <w:b w:val="false"/>
          <w:color w:val="000000"/>
          <w:sz w:val="18"/>
        </w:rPr>
      </w:pPr>
      <w:r>
        <w:rPr>
          <w:rFonts w:ascii="Arial;sans-serif" w:hAnsi="Arial;sans-serif"/>
          <w:b w:val="false"/>
          <w:color w:val="000000"/>
          <w:sz w:val="18"/>
        </w:rPr>
        <w:t>In December 2020, the Board of Directors adopted stock ownership guidelines applicable to each of our directors and executive officers. Pursuant to these guidelines, our Chief Executive Officer is expected to own shares of our common stock with a value of at least three times his or her annual base pay, each of our executive officers other than our Chief Executive Officer is expected to own shares of our common stock with a value of at least his or her annual base salary, and each of our directors is expected to own shares of our common stock with a value of at least three times our annual retainer for independent directors for service on the Board of Directors. The guidelines provide that the applicable person has five years from the later of the adoption of this policy and the time the person becomes subject to this policy to achieve their applicable stock ownership.</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80"/>
        <w:jc w:val="left"/>
        <w:rPr>
          <w:rFonts w:ascii="Arial;sans-serif" w:hAnsi="Arial;sans-serif"/>
          <w:b w:val="false"/>
          <w:color w:val="000000"/>
          <w:sz w:val="24"/>
        </w:rPr>
      </w:pPr>
      <w:r>
        <w:rPr>
          <w:rFonts w:ascii="Arial;sans-serif" w:hAnsi="Arial;sans-serif"/>
          <w:b w:val="false"/>
          <w:color w:val="000000"/>
          <w:sz w:val="24"/>
        </w:rPr>
        <w:t>SUSTAINABILITY OVERSIGHT AND ACTIVITIES</w:t>
      </w:r>
    </w:p>
    <w:p>
      <w:pPr>
        <w:pStyle w:val="TextBody"/>
        <w:bidi w:val="0"/>
        <w:spacing w:lineRule="auto" w:line="312" w:before="0" w:after="180"/>
        <w:jc w:val="left"/>
        <w:rPr>
          <w:rFonts w:ascii="Arial;sans-serif" w:hAnsi="Arial;sans-serif"/>
          <w:b w:val="false"/>
          <w:color w:val="000000"/>
          <w:sz w:val="18"/>
        </w:rPr>
      </w:pPr>
      <w:r>
        <w:rPr>
          <w:rFonts w:ascii="Arial;sans-serif" w:hAnsi="Arial;sans-serif"/>
          <w:b w:val="false"/>
          <w:color w:val="000000"/>
          <w:sz w:val="18"/>
        </w:rPr>
        <w:t xml:space="preserve">We strive to advance the interests of all our stakeholders - including patients, healthcare professionals, employees, investors, and our communities - by operating in an ethical and sustainable way. We do this by holding true to our core values of operating with Purpose, Agility and Creativity, and as a single Team. These values are at the heart of our sustainability activities.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739140"/>
                <wp:effectExtent l="0" t="0" r="0" b="0"/>
                <wp:wrapNone/>
                <wp:docPr id="37" name="Frame21"/>
                <a:graphic xmlns:a="http://schemas.openxmlformats.org/drawingml/2006/main">
                  <a:graphicData uri="http://schemas.microsoft.com/office/word/2010/wordprocessingShape">
                    <wps:wsp>
                      <wps:cNvSpPr txBox="1"/>
                      <wps:spPr>
                        <a:xfrm>
                          <a:off x="0" y="0"/>
                          <a:ext cx="6480175" cy="739140"/>
                        </a:xfrm>
                        <a:prstGeom prst="rect"/>
                        <a:solidFill>
                          <a:srgbClr val="FFFFFF"/>
                        </a:solidFill>
                      </wps:spPr>
                      <wps:txbx>
                        <w:txbxContent>
                          <w:tbl>
                            <w:tblPr>
                              <w:tblW w:w="3266" w:type="dxa"/>
                              <w:jc w:val="center"/>
                              <w:tblInd w:w="0" w:type="dxa"/>
                              <w:tblLayout w:type="fixed"/>
                              <w:tblCellMar>
                                <w:top w:w="28" w:type="dxa"/>
                                <w:left w:w="28" w:type="dxa"/>
                                <w:bottom w:w="28" w:type="dxa"/>
                                <w:right w:w="28" w:type="dxa"/>
                              </w:tblCellMar>
                            </w:tblPr>
                            <w:tblGrid>
                              <w:gridCol w:w="424"/>
                              <w:gridCol w:w="372"/>
                              <w:gridCol w:w="374"/>
                              <w:gridCol w:w="109"/>
                              <w:gridCol w:w="109"/>
                              <w:gridCol w:w="109"/>
                              <w:gridCol w:w="517"/>
                              <w:gridCol w:w="517"/>
                              <w:gridCol w:w="735"/>
                            </w:tblGrid>
                            <w:tr>
                              <w:trPr/>
                              <w:tc>
                                <w:tcPr>
                                  <w:tcW w:w="424"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r>
                            <w:tr>
                              <w:trPr/>
                              <w:tc>
                                <w:tcPr>
                                  <w:tcW w:w="1170"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6"/>
                                    </w:rPr>
                                  </w:pPr>
                                  <w:r>
                                    <w:rPr>
                                      <w:rFonts w:ascii="Arial;sans-serif" w:hAnsi="Arial;sans-serif"/>
                                      <w:b/>
                                      <w:color w:val="000000"/>
                                      <w:sz w:val="16"/>
                                    </w:rPr>
                                    <w:t>SI-BONE, Inc.</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000000"/>
                                      <w:sz w:val="16"/>
                                    </w:rPr>
                                  </w:pPr>
                                  <w:r>
                                    <w:rPr>
                                      <w:rFonts w:ascii="Arial;sans-serif" w:hAnsi="Arial;sans-serif"/>
                                      <w:b/>
                                      <w:color w:val="000000"/>
                                      <w:sz w:val="16"/>
                                    </w:rPr>
                                    <w:t>16</w:t>
                                  </w:r>
                                </w:p>
                              </w:tc>
                              <w:tc>
                                <w:tcPr>
                                  <w:tcW w:w="176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2025 Proxy Statement</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2pt;mso-wrap-distance-left:0pt;mso-wrap-distance-right:0pt;mso-wrap-distance-top:0pt;mso-wrap-distance-bottom:0pt;margin-top:0pt;mso-position-vertical:top;mso-position-vertical-relative:text;margin-left:0pt;mso-position-horizontal:left;mso-position-horizontal-relative:text">
                <v:textbox>
                  <w:txbxContent>
                    <w:tbl>
                      <w:tblPr>
                        <w:tblW w:w="3266" w:type="dxa"/>
                        <w:jc w:val="center"/>
                        <w:tblInd w:w="0" w:type="dxa"/>
                        <w:tblLayout w:type="fixed"/>
                        <w:tblCellMar>
                          <w:top w:w="28" w:type="dxa"/>
                          <w:left w:w="28" w:type="dxa"/>
                          <w:bottom w:w="28" w:type="dxa"/>
                          <w:right w:w="28" w:type="dxa"/>
                        </w:tblCellMar>
                      </w:tblPr>
                      <w:tblGrid>
                        <w:gridCol w:w="424"/>
                        <w:gridCol w:w="372"/>
                        <w:gridCol w:w="374"/>
                        <w:gridCol w:w="109"/>
                        <w:gridCol w:w="109"/>
                        <w:gridCol w:w="109"/>
                        <w:gridCol w:w="517"/>
                        <w:gridCol w:w="517"/>
                        <w:gridCol w:w="735"/>
                      </w:tblGrid>
                      <w:tr>
                        <w:trPr/>
                        <w:tc>
                          <w:tcPr>
                            <w:tcW w:w="424"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r>
                      <w:tr>
                        <w:trPr/>
                        <w:tc>
                          <w:tcPr>
                            <w:tcW w:w="1170"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6"/>
                              </w:rPr>
                            </w:pPr>
                            <w:r>
                              <w:rPr>
                                <w:rFonts w:ascii="Arial;sans-serif" w:hAnsi="Arial;sans-serif"/>
                                <w:b/>
                                <w:color w:val="000000"/>
                                <w:sz w:val="16"/>
                              </w:rPr>
                              <w:t>SI-BONE, Inc.</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000000"/>
                                <w:sz w:val="16"/>
                              </w:rPr>
                            </w:pPr>
                            <w:r>
                              <w:rPr>
                                <w:rFonts w:ascii="Arial;sans-serif" w:hAnsi="Arial;sans-serif"/>
                                <w:b/>
                                <w:color w:val="000000"/>
                                <w:sz w:val="16"/>
                              </w:rPr>
                              <w:t>16</w:t>
                            </w:r>
                          </w:p>
                        </w:tc>
                        <w:tc>
                          <w:tcPr>
                            <w:tcW w:w="176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2025 Proxy Statement</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right"/>
        <w:rPr>
          <w:rFonts w:ascii="Arial;sans-serif" w:hAnsi="Arial;sans-serif"/>
          <w:b w:val="false"/>
          <w:color w:val="000000"/>
          <w:sz w:val="16"/>
        </w:rPr>
      </w:pPr>
      <w:r>
        <w:rPr>
          <w:rFonts w:ascii="Arial;sans-serif" w:hAnsi="Arial;sans-serif"/>
          <w:b w:val="false"/>
          <w:color w:val="000000"/>
          <w:sz w:val="16"/>
        </w:rPr>
        <w:t>Table of Contents</w:t>
      </w:r>
    </w:p>
    <w:p>
      <w:pPr>
        <w:pStyle w:val="TextBody"/>
        <w:bidi w:val="0"/>
        <w:spacing w:lineRule="auto" w:line="288" w:before="0" w:after="0"/>
        <w:jc w:val="left"/>
        <w:rPr>
          <w:rFonts w:ascii="Arial;sans-serif" w:hAnsi="Arial;sans-serif"/>
          <w:b/>
          <w:color w:val="000000"/>
          <w:sz w:val="56"/>
        </w:rPr>
      </w:pPr>
      <w:r>
        <w:rPr>
          <w:rFonts w:ascii="Arial;sans-serif" w:hAnsi="Arial;sans-serif"/>
          <w:b/>
          <w:color w:val="000000"/>
          <w:sz w:val="56"/>
        </w:rPr>
        <w:t>Proposal No. 2</w:t>
      </w:r>
    </w:p>
    <w:p>
      <w:pPr>
        <w:pStyle w:val="TextBody"/>
        <w:bidi w:val="0"/>
        <w:spacing w:lineRule="auto" w:line="288" w:before="0" w:after="0"/>
        <w:jc w:val="left"/>
        <w:rPr>
          <w:rFonts w:ascii="Arial;sans-serif" w:hAnsi="Arial;sans-serif"/>
          <w:b/>
          <w:color w:val="000000"/>
          <w:sz w:val="56"/>
        </w:rPr>
      </w:pPr>
      <w:r>
        <w:rPr>
          <w:rFonts w:ascii="Arial;sans-serif" w:hAnsi="Arial;sans-serif"/>
          <w:b/>
          <w:color w:val="000000"/>
          <w:sz w:val="56"/>
        </w:rPr>
        <w:t>Ratification of Selection of Independent Registered Public Accounting Firm</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12" w:before="0" w:after="180"/>
        <w:jc w:val="left"/>
        <w:rPr>
          <w:rFonts w:ascii="Arial;sans-serif" w:hAnsi="Arial;sans-serif"/>
          <w:b w:val="false"/>
          <w:color w:val="000000"/>
          <w:sz w:val="18"/>
        </w:rPr>
      </w:pPr>
      <w:r>
        <w:rPr>
          <w:rFonts w:ascii="Arial;sans-serif" w:hAnsi="Arial;sans-serif"/>
          <w:b w:val="false"/>
          <w:color w:val="000000"/>
          <w:sz w:val="18"/>
        </w:rPr>
        <w:t>The Audit Committee of the Board of Directors has selected PricewaterhouseCoopers LLP as SI-BONE’s independent registered public accounting firm for the fiscal year ending December 31, 2025, and has further directed that management submit the selection of its independent registered public accounting firm for ratification by the stockholders at the Annual Meeting. PricewaterhouseCoopers LLP has audited SI-BONE’s financial statements since our inception in 2008. Representatives of PricewaterhouseCoopers LLP are expected to be present at the Annual Meeting. They will have an opportunity to make a statement if they so desire and will be available to respond to appropriate questions.</w:t>
      </w:r>
    </w:p>
    <w:p>
      <w:pPr>
        <w:pStyle w:val="TextBody"/>
        <w:bidi w:val="0"/>
        <w:spacing w:lineRule="auto" w:line="312" w:before="0" w:after="180"/>
        <w:jc w:val="left"/>
        <w:rPr>
          <w:rFonts w:ascii="Arial;sans-serif" w:hAnsi="Arial;sans-serif"/>
          <w:b w:val="false"/>
          <w:color w:val="000000"/>
          <w:sz w:val="18"/>
        </w:rPr>
      </w:pPr>
      <w:r>
        <w:rPr>
          <w:rFonts w:ascii="Arial;sans-serif" w:hAnsi="Arial;sans-serif"/>
          <w:b w:val="false"/>
          <w:color w:val="000000"/>
          <w:sz w:val="18"/>
        </w:rPr>
        <w:t>Neither our Bylaws or other governing documents nor law require stockholder ratification of the selection of PricewaterhouseCoopers LLP as SI-BONE’s independent registered public accounting firm. However, the Audit Committee of the Board is submitting the selection of PricewaterhouseCoopers LLP to the stockholders for ratification as a matter of good corporate practice. If the stockholders fail to ratify the selection, the Audit Committee of the Board will reconsider whether or not to retain that firm. Even if the selection is ratified, the Audit Committee of the Board in its discretion may direct the appointment of different independent auditors at any time during the year if they determine that such a change would be in the best interests of SI-BONE and its stockholders.</w:t>
      </w:r>
    </w:p>
    <w:tbl>
      <w:tblPr>
        <w:tblW w:w="6884" w:type="dxa"/>
        <w:jc w:val="left"/>
        <w:tblInd w:w="0" w:type="dxa"/>
        <w:tblLayout w:type="fixed"/>
        <w:tblCellMar>
          <w:top w:w="28" w:type="dxa"/>
          <w:left w:w="28" w:type="dxa"/>
          <w:bottom w:w="28" w:type="dxa"/>
          <w:right w:w="28" w:type="dxa"/>
        </w:tblCellMar>
      </w:tblPr>
      <w:tblGrid>
        <w:gridCol w:w="2203"/>
        <w:gridCol w:w="1934"/>
        <w:gridCol w:w="2747"/>
      </w:tblGrid>
      <w:tr>
        <w:trPr/>
        <w:tc>
          <w:tcPr>
            <w:tcW w:w="2203" w:type="dxa"/>
            <w:tcBorders/>
            <w:vAlign w:val="center"/>
          </w:tcPr>
          <w:p>
            <w:pPr>
              <w:pStyle w:val="TableContents"/>
              <w:bidi w:val="0"/>
              <w:spacing w:before="0" w:after="283"/>
              <w:jc w:val="left"/>
              <w:rPr>
                <w:sz w:val="4"/>
                <w:szCs w:val="4"/>
              </w:rPr>
            </w:pPr>
            <w:r>
              <w:rPr>
                <w:sz w:val="4"/>
                <w:szCs w:val="4"/>
              </w:rPr>
            </w:r>
          </w:p>
        </w:tc>
        <w:tc>
          <w:tcPr>
            <w:tcW w:w="1934" w:type="dxa"/>
            <w:tcBorders/>
            <w:vAlign w:val="center"/>
          </w:tcPr>
          <w:p>
            <w:pPr>
              <w:pStyle w:val="TableContents"/>
              <w:bidi w:val="0"/>
              <w:spacing w:before="0" w:after="283"/>
              <w:jc w:val="left"/>
              <w:rPr>
                <w:sz w:val="4"/>
                <w:szCs w:val="4"/>
              </w:rPr>
            </w:pPr>
            <w:r>
              <w:rPr>
                <w:sz w:val="4"/>
                <w:szCs w:val="4"/>
              </w:rPr>
            </w:r>
          </w:p>
        </w:tc>
        <w:tc>
          <w:tcPr>
            <w:tcW w:w="2747" w:type="dxa"/>
            <w:tcBorders/>
            <w:vAlign w:val="center"/>
          </w:tcPr>
          <w:p>
            <w:pPr>
              <w:pStyle w:val="TableContents"/>
              <w:bidi w:val="0"/>
              <w:spacing w:before="0" w:after="283"/>
              <w:jc w:val="left"/>
              <w:rPr>
                <w:sz w:val="4"/>
                <w:szCs w:val="4"/>
              </w:rPr>
            </w:pPr>
            <w:r>
              <w:rPr>
                <w:sz w:val="4"/>
                <w:szCs w:val="4"/>
              </w:rPr>
            </w:r>
          </w:p>
        </w:tc>
      </w:tr>
      <w:tr>
        <w:trPr/>
        <w:tc>
          <w:tcPr>
            <w:tcW w:w="6884" w:type="dxa"/>
            <w:gridSpan w:val="3"/>
            <w:tcBorders/>
            <w:shd w:fill="74A333"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FFFFFF"/>
                <w:sz w:val="20"/>
              </w:rPr>
            </w:pPr>
            <w:r>
              <w:rPr>
                <w:rFonts w:ascii="Arial;sans-serif" w:hAnsi="Arial;sans-serif"/>
                <w:b/>
                <w:color w:val="FFFFFF"/>
                <w:sz w:val="20"/>
              </w:rPr>
              <w:t>The Board of Directors recommends a vote IN FAVOR of Proposal No. 2.</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80"/>
        <w:jc w:val="left"/>
        <w:rPr>
          <w:rFonts w:ascii="Arial;sans-serif" w:hAnsi="Arial;sans-serif"/>
          <w:b w:val="false"/>
          <w:color w:val="000000"/>
          <w:sz w:val="24"/>
        </w:rPr>
      </w:pPr>
      <w:r>
        <w:rPr>
          <w:rFonts w:ascii="Arial;sans-serif" w:hAnsi="Arial;sans-serif"/>
          <w:b w:val="false"/>
          <w:color w:val="000000"/>
          <w:sz w:val="24"/>
        </w:rPr>
        <w:t>PRINCIPAL ACCOUNTANT FEES AND SERVICES</w:t>
      </w:r>
    </w:p>
    <w:p>
      <w:pPr>
        <w:pStyle w:val="TextBody"/>
        <w:bidi w:val="0"/>
        <w:spacing w:lineRule="auto" w:line="312" w:before="0" w:after="180"/>
        <w:jc w:val="left"/>
        <w:rPr>
          <w:rFonts w:ascii="Arial;sans-serif" w:hAnsi="Arial;sans-serif"/>
          <w:b w:val="false"/>
          <w:color w:val="000000"/>
          <w:sz w:val="18"/>
        </w:rPr>
      </w:pPr>
      <w:r>
        <w:rPr>
          <w:rFonts w:ascii="Arial;sans-serif" w:hAnsi="Arial;sans-serif"/>
          <w:b w:val="false"/>
          <w:color w:val="000000"/>
          <w:sz w:val="18"/>
        </w:rPr>
        <w:t>The following table represents aggregate fees billed to SI-BONE for the fiscal years ended December 31, 2024 and 2023, respectively, by PricewaterhouseCoopers LLP, our independent registered public accounting firm.</w:t>
      </w:r>
    </w:p>
    <w:tbl>
      <w:tblPr>
        <w:tblW w:w="3854" w:type="dxa"/>
        <w:jc w:val="left"/>
        <w:tblInd w:w="0" w:type="dxa"/>
        <w:tblLayout w:type="fixed"/>
        <w:tblCellMar>
          <w:top w:w="28" w:type="dxa"/>
          <w:left w:w="28" w:type="dxa"/>
          <w:bottom w:w="28" w:type="dxa"/>
          <w:right w:w="28" w:type="dxa"/>
        </w:tblCellMar>
      </w:tblPr>
      <w:tblGrid>
        <w:gridCol w:w="540"/>
        <w:gridCol w:w="478"/>
        <w:gridCol w:w="482"/>
        <w:gridCol w:w="285"/>
        <w:gridCol w:w="286"/>
        <w:gridCol w:w="168"/>
        <w:gridCol w:w="168"/>
        <w:gridCol w:w="168"/>
        <w:gridCol w:w="168"/>
        <w:gridCol w:w="285"/>
        <w:gridCol w:w="286"/>
        <w:gridCol w:w="168"/>
        <w:gridCol w:w="109"/>
        <w:gridCol w:w="109"/>
        <w:gridCol w:w="154"/>
      </w:tblGrid>
      <w:tr>
        <w:trPr/>
        <w:tc>
          <w:tcPr>
            <w:tcW w:w="540" w:type="dxa"/>
            <w:tcBorders/>
            <w:vAlign w:val="center"/>
          </w:tcPr>
          <w:p>
            <w:pPr>
              <w:pStyle w:val="TableContents"/>
              <w:bidi w:val="0"/>
              <w:spacing w:before="0" w:after="283"/>
              <w:jc w:val="left"/>
              <w:rPr>
                <w:sz w:val="4"/>
                <w:szCs w:val="4"/>
              </w:rPr>
            </w:pPr>
            <w:r>
              <w:rPr>
                <w:sz w:val="4"/>
                <w:szCs w:val="4"/>
              </w:rPr>
            </w:r>
          </w:p>
        </w:tc>
        <w:tc>
          <w:tcPr>
            <w:tcW w:w="478"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2" w:type="dxa"/>
            <w:gridSpan w:val="9"/>
            <w:tcBorders>
              <w:bottom w:val="single" w:sz="8" w:space="0" w:color="74A333"/>
            </w:tcBorders>
            <w:tcMar>
              <w:top w:w="0" w:type="dxa"/>
              <w:left w:w="0" w:type="dxa"/>
              <w:bottom w:w="3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Fiscal Year Ended</w:t>
            </w:r>
          </w:p>
        </w:tc>
        <w:tc>
          <w:tcPr>
            <w:tcW w:w="372" w:type="dxa"/>
            <w:gridSpan w:val="3"/>
            <w:tcBorders>
              <w:bottom w:val="single" w:sz="8" w:space="0" w:color="74A333"/>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15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9" w:type="dxa"/>
            <w:gridSpan w:val="3"/>
            <w:tcBorders>
              <w:top w:val="single" w:sz="8" w:space="0" w:color="74A333"/>
            </w:tcBorders>
            <w:tcMar>
              <w:top w:w="30" w:type="dxa"/>
              <w:left w:w="0" w:type="dxa"/>
              <w:bottom w:w="0" w:type="dxa"/>
              <w:right w:w="0" w:type="dxa"/>
            </w:tcMar>
            <w:vAlign w:val="center"/>
          </w:tcPr>
          <w:p>
            <w:pPr>
              <w:pStyle w:val="TableContents"/>
              <w:bidi w:val="0"/>
              <w:spacing w:lineRule="auto" w:line="288" w:before="0" w:after="0"/>
              <w:jc w:val="right"/>
              <w:rPr>
                <w:rFonts w:ascii="Arial;sans-serif" w:hAnsi="Arial;sans-serif"/>
                <w:b/>
                <w:color w:val="000000"/>
                <w:sz w:val="16"/>
              </w:rPr>
            </w:pPr>
            <w:r>
              <w:rPr>
                <w:rFonts w:ascii="Arial;sans-serif" w:hAnsi="Arial;sans-serif"/>
                <w:b/>
                <w:color w:val="000000"/>
                <w:sz w:val="16"/>
              </w:rPr>
              <w:t>2024</w:t>
            </w:r>
          </w:p>
        </w:tc>
        <w:tc>
          <w:tcPr>
            <w:tcW w:w="504" w:type="dxa"/>
            <w:gridSpan w:val="3"/>
            <w:tcBorders>
              <w:top w:val="single" w:sz="8" w:space="0" w:color="74A33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9" w:type="dxa"/>
            <w:gridSpan w:val="3"/>
            <w:tcBorders>
              <w:top w:val="single" w:sz="8" w:space="0" w:color="74A333"/>
            </w:tcBorders>
            <w:tcMar>
              <w:top w:w="30" w:type="dxa"/>
              <w:left w:w="0" w:type="dxa"/>
              <w:bottom w:w="0" w:type="dxa"/>
              <w:right w:w="0" w:type="dxa"/>
            </w:tcMar>
            <w:vAlign w:val="center"/>
          </w:tcPr>
          <w:p>
            <w:pPr>
              <w:pStyle w:val="TableContents"/>
              <w:bidi w:val="0"/>
              <w:spacing w:lineRule="auto" w:line="288" w:before="0" w:after="0"/>
              <w:jc w:val="right"/>
              <w:rPr>
                <w:rFonts w:ascii="Arial;sans-serif" w:hAnsi="Arial;sans-serif"/>
                <w:b/>
                <w:color w:val="000000"/>
                <w:sz w:val="16"/>
              </w:rPr>
            </w:pPr>
            <w:r>
              <w:rPr>
                <w:rFonts w:ascii="Arial;sans-serif" w:hAnsi="Arial;sans-serif"/>
                <w:b/>
                <w:color w:val="000000"/>
                <w:sz w:val="16"/>
              </w:rPr>
              <w:t>2023</w:t>
            </w:r>
          </w:p>
        </w:tc>
        <w:tc>
          <w:tcPr>
            <w:tcW w:w="372" w:type="dxa"/>
            <w:gridSpan w:val="3"/>
            <w:tcBorders>
              <w:top w:val="single" w:sz="8" w:space="0" w:color="74A33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2" w:type="dxa"/>
            <w:gridSpan w:val="9"/>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6"/>
              </w:rPr>
            </w:pPr>
            <w:r>
              <w:rPr>
                <w:rFonts w:ascii="Arial;sans-serif" w:hAnsi="Arial;sans-serif"/>
                <w:b/>
                <w:color w:val="000000"/>
                <w:sz w:val="16"/>
              </w:rPr>
              <w:t>(in thousands)($)</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0" w:type="dxa"/>
            <w:gridSpan w:val="3"/>
            <w:tcBorders/>
            <w:shd w:fill="EDEDEE"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Audit Fees</w:t>
            </w:r>
          </w:p>
        </w:tc>
        <w:tc>
          <w:tcPr>
            <w:tcW w:w="571" w:type="dxa"/>
            <w:gridSpan w:val="2"/>
            <w:tcBorders/>
            <w:shd w:fill="EDEDEE"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1,814 </w:t>
            </w:r>
          </w:p>
        </w:tc>
        <w:tc>
          <w:tcPr>
            <w:tcW w:w="168"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EDEDEE"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1,934 </w:t>
            </w:r>
          </w:p>
        </w:tc>
        <w:tc>
          <w:tcPr>
            <w:tcW w:w="168"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 xml:space="preserve">Audit-related Fees </w:t>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0" w:type="dxa"/>
            <w:gridSpan w:val="3"/>
            <w:tcBorders/>
            <w:shd w:fill="EDEDEE"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 xml:space="preserve">Tax Fees </w:t>
            </w:r>
          </w:p>
        </w:tc>
        <w:tc>
          <w:tcPr>
            <w:tcW w:w="571" w:type="dxa"/>
            <w:gridSpan w:val="2"/>
            <w:tcBorders/>
            <w:shd w:fill="EDEDEE"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70 </w:t>
            </w:r>
          </w:p>
        </w:tc>
        <w:tc>
          <w:tcPr>
            <w:tcW w:w="168"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EDEDEE"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70 </w:t>
            </w:r>
          </w:p>
        </w:tc>
        <w:tc>
          <w:tcPr>
            <w:tcW w:w="168"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 xml:space="preserve">All Other Fees </w:t>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0" w:type="dxa"/>
            <w:gridSpan w:val="3"/>
            <w:tcBorders>
              <w:bottom w:val="single" w:sz="12" w:space="0" w:color="74A333"/>
            </w:tcBorders>
            <w:shd w:fill="EDEDEE" w:val="clear"/>
            <w:tcMar>
              <w:top w:w="0" w:type="dxa"/>
              <w:left w:w="0" w:type="dxa"/>
              <w:bottom w:w="30" w:type="dxa"/>
              <w:right w:w="0" w:type="dxa"/>
            </w:tcMar>
            <w:vAlign w:val="center"/>
          </w:tcPr>
          <w:p>
            <w:pPr>
              <w:pStyle w:val="TableContents"/>
              <w:bidi w:val="0"/>
              <w:spacing w:lineRule="auto" w:line="288" w:before="0" w:after="283"/>
              <w:jc w:val="left"/>
              <w:rPr>
                <w:rFonts w:ascii="Arial;sans-serif" w:hAnsi="Arial;sans-serif"/>
                <w:b/>
                <w:color w:val="000000"/>
                <w:sz w:val="16"/>
              </w:rPr>
            </w:pPr>
            <w:r>
              <w:rPr>
                <w:rFonts w:ascii="Arial;sans-serif" w:hAnsi="Arial;sans-serif"/>
                <w:b/>
                <w:color w:val="000000"/>
                <w:sz w:val="16"/>
              </w:rPr>
              <w:t>Total Fees</w:t>
            </w:r>
          </w:p>
        </w:tc>
        <w:tc>
          <w:tcPr>
            <w:tcW w:w="571" w:type="dxa"/>
            <w:gridSpan w:val="2"/>
            <w:tcBorders>
              <w:bottom w:val="single" w:sz="12" w:space="0" w:color="74A333"/>
            </w:tcBorders>
            <w:shd w:fill="EDEDEE" w:val="clear"/>
            <w:tcMar>
              <w:top w:w="0" w:type="dxa"/>
              <w:left w:w="0" w:type="dxa"/>
              <w:bottom w:w="30" w:type="dxa"/>
              <w:right w:w="0" w:type="dxa"/>
            </w:tcMar>
            <w:vAlign w:val="center"/>
          </w:tcPr>
          <w:p>
            <w:pPr>
              <w:pStyle w:val="TableContents"/>
              <w:bidi w:val="0"/>
              <w:spacing w:lineRule="auto" w:line="288" w:before="0" w:after="283"/>
              <w:jc w:val="right"/>
              <w:rPr/>
            </w:pPr>
            <w:r>
              <w:rPr>
                <w:rFonts w:ascii="Arial;sans-serif" w:hAnsi="Arial;sans-serif"/>
                <w:b/>
                <w:color w:val="000000"/>
                <w:sz w:val="16"/>
              </w:rPr>
              <w:t>1,886</w:t>
            </w:r>
            <w:r>
              <w:rPr>
                <w:color w:val="000000"/>
              </w:rPr>
              <w:t> </w:t>
            </w:r>
          </w:p>
        </w:tc>
        <w:tc>
          <w:tcPr>
            <w:tcW w:w="168" w:type="dxa"/>
            <w:tcBorders>
              <w:bottom w:val="single" w:sz="12" w:space="0" w:color="74A333"/>
            </w:tcBorders>
            <w:shd w:fill="EDEDEE"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04" w:type="dxa"/>
            <w:gridSpan w:val="3"/>
            <w:tcBorders>
              <w:bottom w:val="single" w:sz="12" w:space="0" w:color="74A333"/>
            </w:tcBorders>
            <w:shd w:fill="EDEDEE"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bottom w:val="single" w:sz="12" w:space="0" w:color="74A333"/>
            </w:tcBorders>
            <w:shd w:fill="EDEDEE" w:val="clear"/>
            <w:tcMar>
              <w:top w:w="0" w:type="dxa"/>
              <w:left w:w="0" w:type="dxa"/>
              <w:bottom w:w="30" w:type="dxa"/>
              <w:right w:w="0" w:type="dxa"/>
            </w:tcMar>
            <w:vAlign w:val="center"/>
          </w:tcPr>
          <w:p>
            <w:pPr>
              <w:pStyle w:val="TableContents"/>
              <w:bidi w:val="0"/>
              <w:spacing w:lineRule="auto" w:line="288" w:before="0" w:after="283"/>
              <w:jc w:val="right"/>
              <w:rPr/>
            </w:pPr>
            <w:r>
              <w:rPr>
                <w:rFonts w:ascii="Arial;sans-serif" w:hAnsi="Arial;sans-serif"/>
                <w:b/>
                <w:color w:val="000000"/>
                <w:sz w:val="16"/>
              </w:rPr>
              <w:t>2,005</w:t>
            </w:r>
            <w:r>
              <w:rPr>
                <w:color w:val="000000"/>
              </w:rPr>
              <w:t> </w:t>
            </w:r>
          </w:p>
        </w:tc>
        <w:tc>
          <w:tcPr>
            <w:tcW w:w="168" w:type="dxa"/>
            <w:tcBorders>
              <w:bottom w:val="single" w:sz="12" w:space="0" w:color="74A333"/>
            </w:tcBorders>
            <w:shd w:fill="EDEDEE"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bottom w:val="single" w:sz="12" w:space="0" w:color="74A333"/>
            </w:tcBorders>
            <w:shd w:fill="EDEDEE"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739140"/>
                <wp:effectExtent l="0" t="0" r="0" b="0"/>
                <wp:wrapNone/>
                <wp:docPr id="38" name="Frame22"/>
                <a:graphic xmlns:a="http://schemas.openxmlformats.org/drawingml/2006/main">
                  <a:graphicData uri="http://schemas.microsoft.com/office/word/2010/wordprocessingShape">
                    <wps:wsp>
                      <wps:cNvSpPr txBox="1"/>
                      <wps:spPr>
                        <a:xfrm>
                          <a:off x="0" y="0"/>
                          <a:ext cx="6480175" cy="739140"/>
                        </a:xfrm>
                        <a:prstGeom prst="rect"/>
                        <a:solidFill>
                          <a:srgbClr val="FFFFFF"/>
                        </a:solidFill>
                      </wps:spPr>
                      <wps:txbx>
                        <w:txbxContent>
                          <w:tbl>
                            <w:tblPr>
                              <w:tblW w:w="3266" w:type="dxa"/>
                              <w:jc w:val="center"/>
                              <w:tblInd w:w="0" w:type="dxa"/>
                              <w:tblLayout w:type="fixed"/>
                              <w:tblCellMar>
                                <w:top w:w="28" w:type="dxa"/>
                                <w:left w:w="28" w:type="dxa"/>
                                <w:bottom w:w="28" w:type="dxa"/>
                                <w:right w:w="28" w:type="dxa"/>
                              </w:tblCellMar>
                            </w:tblPr>
                            <w:tblGrid>
                              <w:gridCol w:w="424"/>
                              <w:gridCol w:w="372"/>
                              <w:gridCol w:w="374"/>
                              <w:gridCol w:w="109"/>
                              <w:gridCol w:w="109"/>
                              <w:gridCol w:w="109"/>
                              <w:gridCol w:w="517"/>
                              <w:gridCol w:w="517"/>
                              <w:gridCol w:w="735"/>
                            </w:tblGrid>
                            <w:tr>
                              <w:trPr/>
                              <w:tc>
                                <w:tcPr>
                                  <w:tcW w:w="424"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r>
                            <w:tr>
                              <w:trPr/>
                              <w:tc>
                                <w:tcPr>
                                  <w:tcW w:w="1170"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6"/>
                                    </w:rPr>
                                  </w:pPr>
                                  <w:r>
                                    <w:rPr>
                                      <w:rFonts w:ascii="Arial;sans-serif" w:hAnsi="Arial;sans-serif"/>
                                      <w:b/>
                                      <w:color w:val="000000"/>
                                      <w:sz w:val="16"/>
                                    </w:rPr>
                                    <w:t>SI-BONE, Inc.</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000000"/>
                                      <w:sz w:val="16"/>
                                    </w:rPr>
                                  </w:pPr>
                                  <w:r>
                                    <w:rPr>
                                      <w:rFonts w:ascii="Arial;sans-serif" w:hAnsi="Arial;sans-serif"/>
                                      <w:b/>
                                      <w:color w:val="000000"/>
                                      <w:sz w:val="16"/>
                                    </w:rPr>
                                    <w:t>17</w:t>
                                  </w:r>
                                </w:p>
                              </w:tc>
                              <w:tc>
                                <w:tcPr>
                                  <w:tcW w:w="176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2025 Proxy Statement</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2pt;mso-wrap-distance-left:0pt;mso-wrap-distance-right:0pt;mso-wrap-distance-top:0pt;mso-wrap-distance-bottom:0pt;margin-top:0pt;mso-position-vertical:top;mso-position-vertical-relative:text;margin-left:0pt;mso-position-horizontal:left;mso-position-horizontal-relative:text">
                <v:textbox>
                  <w:txbxContent>
                    <w:tbl>
                      <w:tblPr>
                        <w:tblW w:w="3266" w:type="dxa"/>
                        <w:jc w:val="center"/>
                        <w:tblInd w:w="0" w:type="dxa"/>
                        <w:tblLayout w:type="fixed"/>
                        <w:tblCellMar>
                          <w:top w:w="28" w:type="dxa"/>
                          <w:left w:w="28" w:type="dxa"/>
                          <w:bottom w:w="28" w:type="dxa"/>
                          <w:right w:w="28" w:type="dxa"/>
                        </w:tblCellMar>
                      </w:tblPr>
                      <w:tblGrid>
                        <w:gridCol w:w="424"/>
                        <w:gridCol w:w="372"/>
                        <w:gridCol w:w="374"/>
                        <w:gridCol w:w="109"/>
                        <w:gridCol w:w="109"/>
                        <w:gridCol w:w="109"/>
                        <w:gridCol w:w="517"/>
                        <w:gridCol w:w="517"/>
                        <w:gridCol w:w="735"/>
                      </w:tblGrid>
                      <w:tr>
                        <w:trPr/>
                        <w:tc>
                          <w:tcPr>
                            <w:tcW w:w="424"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r>
                      <w:tr>
                        <w:trPr/>
                        <w:tc>
                          <w:tcPr>
                            <w:tcW w:w="1170"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6"/>
                              </w:rPr>
                            </w:pPr>
                            <w:r>
                              <w:rPr>
                                <w:rFonts w:ascii="Arial;sans-serif" w:hAnsi="Arial;sans-serif"/>
                                <w:b/>
                                <w:color w:val="000000"/>
                                <w:sz w:val="16"/>
                              </w:rPr>
                              <w:t>SI-BONE, Inc.</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000000"/>
                                <w:sz w:val="16"/>
                              </w:rPr>
                            </w:pPr>
                            <w:r>
                              <w:rPr>
                                <w:rFonts w:ascii="Arial;sans-serif" w:hAnsi="Arial;sans-serif"/>
                                <w:b/>
                                <w:color w:val="000000"/>
                                <w:sz w:val="16"/>
                              </w:rPr>
                              <w:t>17</w:t>
                            </w:r>
                          </w:p>
                        </w:tc>
                        <w:tc>
                          <w:tcPr>
                            <w:tcW w:w="176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2025 Proxy Statement</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right"/>
        <w:rPr>
          <w:rFonts w:ascii="Arial;sans-serif" w:hAnsi="Arial;sans-serif"/>
          <w:b w:val="false"/>
          <w:color w:val="000000"/>
          <w:sz w:val="16"/>
        </w:rPr>
      </w:pPr>
      <w:r>
        <w:rPr>
          <w:rFonts w:ascii="Arial;sans-serif" w:hAnsi="Arial;sans-serif"/>
          <w:b w:val="false"/>
          <w:color w:val="000000"/>
          <w:sz w:val="16"/>
        </w:rPr>
        <w:t>Table of Contents</w:t>
      </w:r>
    </w:p>
    <w:p>
      <w:pPr>
        <w:pStyle w:val="TextBody"/>
        <w:bidi w:val="0"/>
        <w:spacing w:lineRule="auto" w:line="312" w:before="0" w:after="180"/>
        <w:ind w:left="0" w:right="0" w:hanging="360"/>
        <w:jc w:val="left"/>
        <w:rPr/>
      </w:pPr>
      <w:r>
        <w:rPr>
          <w:color w:val="000000"/>
        </w:rPr>
        <w:t>•</w:t>
      </w:r>
      <w:r>
        <w:rPr>
          <w:rFonts w:ascii="Arial;sans-serif" w:hAnsi="Arial;sans-serif"/>
          <w:b/>
          <w:i/>
          <w:color w:val="000000"/>
          <w:sz w:val="18"/>
        </w:rPr>
        <w:t xml:space="preserve">Audit Fees </w:t>
      </w:r>
      <w:r>
        <w:rPr>
          <w:rFonts w:ascii="Arial;sans-serif" w:hAnsi="Arial;sans-serif"/>
          <w:b w:val="false"/>
          <w:color w:val="000000"/>
          <w:sz w:val="18"/>
        </w:rPr>
        <w:t>consist of fees incurred for professional services rendered for the audit of our annual consolidated financial statements, review of our quarterly consolidated financial statements, and other services normally provided by PricewaterhouseCoopers LLP in connection with regulatory filings. The audit fee for the fiscal year ended December 31, 2023 includes $0.2 million related to services provided in connection with our follow-on public offering.</w:t>
      </w:r>
    </w:p>
    <w:p>
      <w:pPr>
        <w:pStyle w:val="TextBody"/>
        <w:bidi w:val="0"/>
        <w:spacing w:lineRule="auto" w:line="312" w:before="0" w:after="180"/>
        <w:ind w:left="0" w:right="0" w:hanging="360"/>
        <w:jc w:val="left"/>
        <w:rPr/>
      </w:pPr>
      <w:r>
        <w:rPr>
          <w:color w:val="000000"/>
        </w:rPr>
        <w:t>•</w:t>
      </w:r>
      <w:r>
        <w:rPr>
          <w:rFonts w:ascii="Arial;sans-serif" w:hAnsi="Arial;sans-serif"/>
          <w:b/>
          <w:i/>
          <w:color w:val="000000"/>
          <w:sz w:val="18"/>
        </w:rPr>
        <w:t>Tax Fees</w:t>
      </w:r>
      <w:r>
        <w:rPr>
          <w:color w:val="000000"/>
        </w:rPr>
        <w:t xml:space="preserve"> </w:t>
      </w:r>
      <w:r>
        <w:rPr>
          <w:rFonts w:ascii="Arial;sans-serif" w:hAnsi="Arial;sans-serif"/>
          <w:b w:val="false"/>
          <w:color w:val="000000"/>
          <w:sz w:val="18"/>
        </w:rPr>
        <w:t>consist of fees for professional services for tax compliance, tax advice and tax planning.</w:t>
      </w:r>
    </w:p>
    <w:p>
      <w:pPr>
        <w:pStyle w:val="TextBody"/>
        <w:bidi w:val="0"/>
        <w:spacing w:lineRule="auto" w:line="312" w:before="0" w:after="180"/>
        <w:ind w:left="0" w:right="0" w:hanging="360"/>
        <w:jc w:val="left"/>
        <w:rPr/>
      </w:pPr>
      <w:r>
        <w:rPr>
          <w:color w:val="000000"/>
        </w:rPr>
        <w:t>•</w:t>
      </w:r>
      <w:r>
        <w:rPr>
          <w:rFonts w:ascii="Arial;sans-serif" w:hAnsi="Arial;sans-serif"/>
          <w:b/>
          <w:i/>
          <w:color w:val="000000"/>
          <w:sz w:val="18"/>
        </w:rPr>
        <w:t>All Other Fees</w:t>
      </w:r>
      <w:r>
        <w:rPr>
          <w:color w:val="000000"/>
        </w:rPr>
        <w:t xml:space="preserve"> </w:t>
      </w:r>
      <w:r>
        <w:rPr>
          <w:rFonts w:ascii="Arial;sans-serif" w:hAnsi="Arial;sans-serif"/>
          <w:b w:val="false"/>
          <w:color w:val="000000"/>
          <w:sz w:val="18"/>
        </w:rPr>
        <w:t>consist of fees for professional services other than the services reported above, including permissible consulting services.</w:t>
      </w:r>
    </w:p>
    <w:p>
      <w:pPr>
        <w:pStyle w:val="TextBody"/>
        <w:bidi w:val="0"/>
        <w:spacing w:lineRule="auto" w:line="312" w:before="0" w:after="180"/>
        <w:jc w:val="left"/>
        <w:rPr>
          <w:rFonts w:ascii="Arial;sans-serif" w:hAnsi="Arial;sans-serif"/>
          <w:b w:val="false"/>
          <w:color w:val="000000"/>
          <w:sz w:val="18"/>
        </w:rPr>
      </w:pPr>
      <w:r>
        <w:rPr>
          <w:rFonts w:ascii="Arial;sans-serif" w:hAnsi="Arial;sans-serif"/>
          <w:b w:val="false"/>
          <w:color w:val="000000"/>
          <w:sz w:val="18"/>
        </w:rPr>
        <w:t>All fees described above were pre-approved by the Audit Committee.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80"/>
        <w:jc w:val="left"/>
        <w:rPr>
          <w:rFonts w:ascii="Arial;sans-serif" w:hAnsi="Arial;sans-serif"/>
          <w:b w:val="false"/>
          <w:color w:val="000000"/>
          <w:sz w:val="24"/>
        </w:rPr>
      </w:pPr>
      <w:r>
        <w:rPr>
          <w:rFonts w:ascii="Arial;sans-serif" w:hAnsi="Arial;sans-serif"/>
          <w:b w:val="false"/>
          <w:color w:val="000000"/>
          <w:sz w:val="24"/>
        </w:rPr>
        <w:t>PRE-APPROVAL POLICIES AND PROCEDURES</w:t>
      </w:r>
    </w:p>
    <w:p>
      <w:pPr>
        <w:pStyle w:val="TextBody"/>
        <w:bidi w:val="0"/>
        <w:spacing w:lineRule="auto" w:line="312" w:before="0" w:after="180"/>
        <w:jc w:val="left"/>
        <w:rPr>
          <w:rFonts w:ascii="Arial;sans-serif" w:hAnsi="Arial;sans-serif"/>
          <w:b w:val="false"/>
          <w:color w:val="000000"/>
          <w:sz w:val="18"/>
        </w:rPr>
      </w:pPr>
      <w:r>
        <w:rPr>
          <w:rFonts w:ascii="Arial;sans-serif" w:hAnsi="Arial;sans-serif"/>
          <w:b w:val="false"/>
          <w:color w:val="000000"/>
          <w:sz w:val="18"/>
        </w:rPr>
        <w:t>Our Audit Committee has adopted a policy and procedures for the pre-approval of audit and non-audit services rendered by SI-BONE’s independent registered public accounting firm, PricewaterhouseCoopers LLP. The policy generally pre-approves specified services in the defined categories of audit services, audit-related services and tax services up to specified amounts. We also maintain a small standing authority for management to direct pre-approved fees, the uses of which are reviewed by the Audit Committee and the pre-approved amount of which is replenished as necessary at each meeting. Pre-approval may also be given as part of the Audit Committee’s approval of the scope of the engagement of the independent auditor or on an individual, explicit, case-by-case basis before the independent auditor is engaged to provide each service. The pre-approval of services may be delegated to one or more of the Audit Committee’s members, but the decision must be reported to the full Audit Committee at its next scheduled meeting.</w:t>
      </w:r>
    </w:p>
    <w:p>
      <w:pPr>
        <w:pStyle w:val="TextBody"/>
        <w:bidi w:val="0"/>
        <w:spacing w:lineRule="auto" w:line="312" w:before="0" w:after="180"/>
        <w:jc w:val="left"/>
        <w:rPr>
          <w:rFonts w:ascii="Arial;sans-serif" w:hAnsi="Arial;sans-serif"/>
          <w:b w:val="false"/>
          <w:color w:val="000000"/>
          <w:sz w:val="18"/>
        </w:rPr>
      </w:pPr>
      <w:r>
        <w:rPr>
          <w:rFonts w:ascii="Arial;sans-serif" w:hAnsi="Arial;sans-serif"/>
          <w:b w:val="false"/>
          <w:color w:val="000000"/>
          <w:sz w:val="18"/>
        </w:rPr>
        <w:t>The Audit Committee has determined that the rendering of services other than audit services by PricewaterhouseCoopers LLP is compatible with maintaining the principal accountant’s independence.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739140"/>
                <wp:effectExtent l="0" t="0" r="0" b="0"/>
                <wp:wrapNone/>
                <wp:docPr id="39" name="Frame23"/>
                <a:graphic xmlns:a="http://schemas.openxmlformats.org/drawingml/2006/main">
                  <a:graphicData uri="http://schemas.microsoft.com/office/word/2010/wordprocessingShape">
                    <wps:wsp>
                      <wps:cNvSpPr txBox="1"/>
                      <wps:spPr>
                        <a:xfrm>
                          <a:off x="0" y="0"/>
                          <a:ext cx="6480175" cy="739140"/>
                        </a:xfrm>
                        <a:prstGeom prst="rect"/>
                        <a:solidFill>
                          <a:srgbClr val="FFFFFF"/>
                        </a:solidFill>
                      </wps:spPr>
                      <wps:txbx>
                        <w:txbxContent>
                          <w:tbl>
                            <w:tblPr>
                              <w:tblW w:w="3266" w:type="dxa"/>
                              <w:jc w:val="center"/>
                              <w:tblInd w:w="0" w:type="dxa"/>
                              <w:tblLayout w:type="fixed"/>
                              <w:tblCellMar>
                                <w:top w:w="28" w:type="dxa"/>
                                <w:left w:w="28" w:type="dxa"/>
                                <w:bottom w:w="28" w:type="dxa"/>
                                <w:right w:w="28" w:type="dxa"/>
                              </w:tblCellMar>
                            </w:tblPr>
                            <w:tblGrid>
                              <w:gridCol w:w="424"/>
                              <w:gridCol w:w="372"/>
                              <w:gridCol w:w="374"/>
                              <w:gridCol w:w="109"/>
                              <w:gridCol w:w="109"/>
                              <w:gridCol w:w="109"/>
                              <w:gridCol w:w="517"/>
                              <w:gridCol w:w="517"/>
                              <w:gridCol w:w="735"/>
                            </w:tblGrid>
                            <w:tr>
                              <w:trPr/>
                              <w:tc>
                                <w:tcPr>
                                  <w:tcW w:w="424"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r>
                            <w:tr>
                              <w:trPr/>
                              <w:tc>
                                <w:tcPr>
                                  <w:tcW w:w="1170"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6"/>
                                    </w:rPr>
                                  </w:pPr>
                                  <w:r>
                                    <w:rPr>
                                      <w:rFonts w:ascii="Arial;sans-serif" w:hAnsi="Arial;sans-serif"/>
                                      <w:b/>
                                      <w:color w:val="000000"/>
                                      <w:sz w:val="16"/>
                                    </w:rPr>
                                    <w:t>SI-BONE, Inc.</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000000"/>
                                      <w:sz w:val="16"/>
                                    </w:rPr>
                                  </w:pPr>
                                  <w:r>
                                    <w:rPr>
                                      <w:rFonts w:ascii="Arial;sans-serif" w:hAnsi="Arial;sans-serif"/>
                                      <w:b/>
                                      <w:color w:val="000000"/>
                                      <w:sz w:val="16"/>
                                    </w:rPr>
                                    <w:t>18</w:t>
                                  </w:r>
                                </w:p>
                              </w:tc>
                              <w:tc>
                                <w:tcPr>
                                  <w:tcW w:w="176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2025 Proxy Statement</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2pt;mso-wrap-distance-left:0pt;mso-wrap-distance-right:0pt;mso-wrap-distance-top:0pt;mso-wrap-distance-bottom:0pt;margin-top:0pt;mso-position-vertical:top;mso-position-vertical-relative:text;margin-left:0pt;mso-position-horizontal:left;mso-position-horizontal-relative:text">
                <v:textbox>
                  <w:txbxContent>
                    <w:tbl>
                      <w:tblPr>
                        <w:tblW w:w="3266" w:type="dxa"/>
                        <w:jc w:val="center"/>
                        <w:tblInd w:w="0" w:type="dxa"/>
                        <w:tblLayout w:type="fixed"/>
                        <w:tblCellMar>
                          <w:top w:w="28" w:type="dxa"/>
                          <w:left w:w="28" w:type="dxa"/>
                          <w:bottom w:w="28" w:type="dxa"/>
                          <w:right w:w="28" w:type="dxa"/>
                        </w:tblCellMar>
                      </w:tblPr>
                      <w:tblGrid>
                        <w:gridCol w:w="424"/>
                        <w:gridCol w:w="372"/>
                        <w:gridCol w:w="374"/>
                        <w:gridCol w:w="109"/>
                        <w:gridCol w:w="109"/>
                        <w:gridCol w:w="109"/>
                        <w:gridCol w:w="517"/>
                        <w:gridCol w:w="517"/>
                        <w:gridCol w:w="735"/>
                      </w:tblGrid>
                      <w:tr>
                        <w:trPr/>
                        <w:tc>
                          <w:tcPr>
                            <w:tcW w:w="424"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r>
                      <w:tr>
                        <w:trPr/>
                        <w:tc>
                          <w:tcPr>
                            <w:tcW w:w="1170"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6"/>
                              </w:rPr>
                            </w:pPr>
                            <w:r>
                              <w:rPr>
                                <w:rFonts w:ascii="Arial;sans-serif" w:hAnsi="Arial;sans-serif"/>
                                <w:b/>
                                <w:color w:val="000000"/>
                                <w:sz w:val="16"/>
                              </w:rPr>
                              <w:t>SI-BONE, Inc.</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000000"/>
                                <w:sz w:val="16"/>
                              </w:rPr>
                            </w:pPr>
                            <w:r>
                              <w:rPr>
                                <w:rFonts w:ascii="Arial;sans-serif" w:hAnsi="Arial;sans-serif"/>
                                <w:b/>
                                <w:color w:val="000000"/>
                                <w:sz w:val="16"/>
                              </w:rPr>
                              <w:t>18</w:t>
                            </w:r>
                          </w:p>
                        </w:tc>
                        <w:tc>
                          <w:tcPr>
                            <w:tcW w:w="176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2025 Proxy Statement</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right"/>
        <w:rPr>
          <w:rFonts w:ascii="Arial;sans-serif" w:hAnsi="Arial;sans-serif"/>
          <w:b w:val="false"/>
          <w:color w:val="000000"/>
          <w:sz w:val="16"/>
        </w:rPr>
      </w:pPr>
      <w:r>
        <w:rPr>
          <w:rFonts w:ascii="Arial;sans-serif" w:hAnsi="Arial;sans-serif"/>
          <w:b w:val="false"/>
          <w:color w:val="000000"/>
          <w:sz w:val="16"/>
        </w:rPr>
        <w:t>Table of Contents</w:t>
      </w:r>
    </w:p>
    <w:p>
      <w:pPr>
        <w:pStyle w:val="TextBody"/>
        <w:bidi w:val="0"/>
        <w:spacing w:lineRule="auto" w:line="288" w:before="0" w:after="0"/>
        <w:jc w:val="left"/>
        <w:rPr>
          <w:rFonts w:ascii="Arial;sans-serif" w:hAnsi="Arial;sans-serif"/>
          <w:b/>
          <w:color w:val="000000"/>
          <w:sz w:val="56"/>
        </w:rPr>
      </w:pPr>
      <w:r>
        <w:rPr>
          <w:rFonts w:ascii="Arial;sans-serif" w:hAnsi="Arial;sans-serif"/>
          <w:b/>
          <w:color w:val="000000"/>
          <w:sz w:val="56"/>
        </w:rPr>
        <w:t>Report of the Audit Committee of the Board of Directors</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12" w:before="0" w:after="180"/>
        <w:jc w:val="left"/>
        <w:rPr>
          <w:rFonts w:ascii="Arial;sans-serif" w:hAnsi="Arial;sans-serif"/>
          <w:b w:val="false"/>
          <w:color w:val="000000"/>
          <w:sz w:val="18"/>
        </w:rPr>
      </w:pPr>
      <w:r>
        <w:rPr>
          <w:rFonts w:ascii="Arial;sans-serif" w:hAnsi="Arial;sans-serif"/>
          <w:b w:val="false"/>
          <w:color w:val="000000"/>
          <w:sz w:val="18"/>
        </w:rPr>
        <w:t>Our Audit Committee has reviewed and discussed the audited financial statements for the fiscal year ended December 31, 2024 with management of SI-BONE. The Audit Committee has discussed with the independent registered public accounting firm the matters required to be discussed by the applicable requirements of the Public Company Accounting Oversight Board (“PCAOB”) and the Securities and Exchange Commission. The Audit Committee has also received the written disclosures and the letter from the independent registered public accounting firm required by applicable requirements of the PCAOB regarding the independent accountants’ communications with the audit committee concerning independence and has discussed with the independent registered public accounting firm the accounting firm’s independence. Based on the foregoing, the Audit Committee has recommended to the Board of Directors that the audited financial statements be included in SI-BONE’s Annual Report on Form 10-K for the fiscal year ended December 31, 2024.</w:t>
      </w:r>
    </w:p>
    <w:p>
      <w:pPr>
        <w:pStyle w:val="TextBody"/>
        <w:bidi w:val="0"/>
        <w:spacing w:lineRule="auto" w:line="312" w:before="0" w:after="60"/>
        <w:jc w:val="left"/>
        <w:rPr>
          <w:rFonts w:ascii="Arial;sans-serif" w:hAnsi="Arial;sans-serif"/>
          <w:b/>
          <w:color w:val="000000"/>
          <w:sz w:val="18"/>
        </w:rPr>
      </w:pPr>
      <w:r>
        <w:rPr>
          <w:rFonts w:ascii="Arial;sans-serif" w:hAnsi="Arial;sans-serif"/>
          <w:b/>
          <w:color w:val="000000"/>
          <w:sz w:val="18"/>
        </w:rPr>
        <w:t>Jeryl L. Hilleman (Chairperson)</w:t>
      </w:r>
    </w:p>
    <w:p>
      <w:pPr>
        <w:pStyle w:val="TextBody"/>
        <w:bidi w:val="0"/>
        <w:spacing w:lineRule="auto" w:line="312" w:before="0" w:after="180"/>
        <w:jc w:val="left"/>
        <w:rPr>
          <w:rFonts w:ascii="Arial;sans-serif" w:hAnsi="Arial;sans-serif"/>
          <w:b/>
          <w:color w:val="000000"/>
          <w:sz w:val="18"/>
        </w:rPr>
      </w:pPr>
      <w:r>
        <w:rPr>
          <w:rFonts w:ascii="Arial;sans-serif" w:hAnsi="Arial;sans-serif"/>
          <w:b/>
          <w:color w:val="000000"/>
          <w:sz w:val="18"/>
        </w:rPr>
        <w:t>Timothy E. Davis, Jr.</w:t>
        <w:br/>
        <w:t>Daniel W. Wolf</w:t>
      </w:r>
    </w:p>
    <w:p>
      <w:pPr>
        <w:pStyle w:val="TextBody"/>
        <w:bidi w:val="0"/>
        <w:spacing w:lineRule="auto" w:line="312" w:before="0" w:after="180"/>
        <w:jc w:val="left"/>
        <w:rPr>
          <w:rFonts w:ascii="Arial;sans-serif" w:hAnsi="Arial;sans-serif"/>
          <w:b w:val="false"/>
          <w:i/>
          <w:color w:val="000000"/>
          <w:sz w:val="18"/>
        </w:rPr>
      </w:pPr>
      <w:r>
        <w:rPr>
          <w:rFonts w:ascii="Arial;sans-serif" w:hAnsi="Arial;sans-serif"/>
          <w:b w:val="false"/>
          <w:i/>
          <w:color w:val="000000"/>
          <w:sz w:val="18"/>
        </w:rPr>
        <w:t>The material in this report is not “soliciting material,” is not deemed “filed” with the Commission and is not to be incorporated by reference in any filing of SI-BONE under the Securities Act or the Exchange Act, whether made before or after the date hereof and irrespective of any general incorporation language in any such filing.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739140"/>
                <wp:effectExtent l="0" t="0" r="0" b="0"/>
                <wp:wrapNone/>
                <wp:docPr id="40" name="Frame24"/>
                <a:graphic xmlns:a="http://schemas.openxmlformats.org/drawingml/2006/main">
                  <a:graphicData uri="http://schemas.microsoft.com/office/word/2010/wordprocessingShape">
                    <wps:wsp>
                      <wps:cNvSpPr txBox="1"/>
                      <wps:spPr>
                        <a:xfrm>
                          <a:off x="0" y="0"/>
                          <a:ext cx="6480175" cy="739140"/>
                        </a:xfrm>
                        <a:prstGeom prst="rect"/>
                        <a:solidFill>
                          <a:srgbClr val="FFFFFF"/>
                        </a:solidFill>
                      </wps:spPr>
                      <wps:txbx>
                        <w:txbxContent>
                          <w:tbl>
                            <w:tblPr>
                              <w:tblW w:w="3266" w:type="dxa"/>
                              <w:jc w:val="center"/>
                              <w:tblInd w:w="0" w:type="dxa"/>
                              <w:tblLayout w:type="fixed"/>
                              <w:tblCellMar>
                                <w:top w:w="28" w:type="dxa"/>
                                <w:left w:w="28" w:type="dxa"/>
                                <w:bottom w:w="28" w:type="dxa"/>
                                <w:right w:w="28" w:type="dxa"/>
                              </w:tblCellMar>
                            </w:tblPr>
                            <w:tblGrid>
                              <w:gridCol w:w="424"/>
                              <w:gridCol w:w="372"/>
                              <w:gridCol w:w="374"/>
                              <w:gridCol w:w="109"/>
                              <w:gridCol w:w="109"/>
                              <w:gridCol w:w="109"/>
                              <w:gridCol w:w="517"/>
                              <w:gridCol w:w="517"/>
                              <w:gridCol w:w="735"/>
                            </w:tblGrid>
                            <w:tr>
                              <w:trPr/>
                              <w:tc>
                                <w:tcPr>
                                  <w:tcW w:w="424"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r>
                            <w:tr>
                              <w:trPr/>
                              <w:tc>
                                <w:tcPr>
                                  <w:tcW w:w="1170"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6"/>
                                    </w:rPr>
                                  </w:pPr>
                                  <w:r>
                                    <w:rPr>
                                      <w:rFonts w:ascii="Arial;sans-serif" w:hAnsi="Arial;sans-serif"/>
                                      <w:b/>
                                      <w:color w:val="000000"/>
                                      <w:sz w:val="16"/>
                                    </w:rPr>
                                    <w:t>SI-BONE, Inc.</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000000"/>
                                      <w:sz w:val="16"/>
                                    </w:rPr>
                                  </w:pPr>
                                  <w:r>
                                    <w:rPr>
                                      <w:rFonts w:ascii="Arial;sans-serif" w:hAnsi="Arial;sans-serif"/>
                                      <w:b/>
                                      <w:color w:val="000000"/>
                                      <w:sz w:val="16"/>
                                    </w:rPr>
                                    <w:t>19</w:t>
                                  </w:r>
                                </w:p>
                              </w:tc>
                              <w:tc>
                                <w:tcPr>
                                  <w:tcW w:w="176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2025 Proxy Statement</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2pt;mso-wrap-distance-left:0pt;mso-wrap-distance-right:0pt;mso-wrap-distance-top:0pt;mso-wrap-distance-bottom:0pt;margin-top:0pt;mso-position-vertical:top;mso-position-vertical-relative:text;margin-left:0pt;mso-position-horizontal:left;mso-position-horizontal-relative:text">
                <v:textbox>
                  <w:txbxContent>
                    <w:tbl>
                      <w:tblPr>
                        <w:tblW w:w="3266" w:type="dxa"/>
                        <w:jc w:val="center"/>
                        <w:tblInd w:w="0" w:type="dxa"/>
                        <w:tblLayout w:type="fixed"/>
                        <w:tblCellMar>
                          <w:top w:w="28" w:type="dxa"/>
                          <w:left w:w="28" w:type="dxa"/>
                          <w:bottom w:w="28" w:type="dxa"/>
                          <w:right w:w="28" w:type="dxa"/>
                        </w:tblCellMar>
                      </w:tblPr>
                      <w:tblGrid>
                        <w:gridCol w:w="424"/>
                        <w:gridCol w:w="372"/>
                        <w:gridCol w:w="374"/>
                        <w:gridCol w:w="109"/>
                        <w:gridCol w:w="109"/>
                        <w:gridCol w:w="109"/>
                        <w:gridCol w:w="517"/>
                        <w:gridCol w:w="517"/>
                        <w:gridCol w:w="735"/>
                      </w:tblGrid>
                      <w:tr>
                        <w:trPr/>
                        <w:tc>
                          <w:tcPr>
                            <w:tcW w:w="424"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r>
                      <w:tr>
                        <w:trPr/>
                        <w:tc>
                          <w:tcPr>
                            <w:tcW w:w="1170"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6"/>
                              </w:rPr>
                            </w:pPr>
                            <w:r>
                              <w:rPr>
                                <w:rFonts w:ascii="Arial;sans-serif" w:hAnsi="Arial;sans-serif"/>
                                <w:b/>
                                <w:color w:val="000000"/>
                                <w:sz w:val="16"/>
                              </w:rPr>
                              <w:t>SI-BONE, Inc.</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000000"/>
                                <w:sz w:val="16"/>
                              </w:rPr>
                            </w:pPr>
                            <w:r>
                              <w:rPr>
                                <w:rFonts w:ascii="Arial;sans-serif" w:hAnsi="Arial;sans-serif"/>
                                <w:b/>
                                <w:color w:val="000000"/>
                                <w:sz w:val="16"/>
                              </w:rPr>
                              <w:t>19</w:t>
                            </w:r>
                          </w:p>
                        </w:tc>
                        <w:tc>
                          <w:tcPr>
                            <w:tcW w:w="176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2025 Proxy Statement</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right"/>
        <w:rPr>
          <w:rFonts w:ascii="Arial;sans-serif" w:hAnsi="Arial;sans-serif"/>
          <w:b w:val="false"/>
          <w:color w:val="000000"/>
          <w:sz w:val="16"/>
        </w:rPr>
      </w:pPr>
      <w:r>
        <w:rPr>
          <w:rFonts w:ascii="Arial;sans-serif" w:hAnsi="Arial;sans-serif"/>
          <w:b w:val="false"/>
          <w:color w:val="000000"/>
          <w:sz w:val="16"/>
        </w:rPr>
        <w:t>Table of Contents</w:t>
      </w:r>
    </w:p>
    <w:p>
      <w:pPr>
        <w:pStyle w:val="TextBody"/>
        <w:bidi w:val="0"/>
        <w:spacing w:lineRule="auto" w:line="288" w:before="0" w:after="0"/>
        <w:jc w:val="left"/>
        <w:rPr>
          <w:rFonts w:ascii="Arial;sans-serif" w:hAnsi="Arial;sans-serif"/>
          <w:b/>
          <w:color w:val="000000"/>
          <w:sz w:val="56"/>
        </w:rPr>
      </w:pPr>
      <w:r>
        <w:rPr>
          <w:rFonts w:ascii="Arial;sans-serif" w:hAnsi="Arial;sans-serif"/>
          <w:b/>
          <w:color w:val="000000"/>
          <w:sz w:val="56"/>
        </w:rPr>
        <w:t>Proposal No. 3</w:t>
      </w:r>
    </w:p>
    <w:p>
      <w:pPr>
        <w:pStyle w:val="TextBody"/>
        <w:bidi w:val="0"/>
        <w:spacing w:lineRule="auto" w:line="288" w:before="0" w:after="0"/>
        <w:jc w:val="left"/>
        <w:rPr>
          <w:rFonts w:ascii="Arial;sans-serif" w:hAnsi="Arial;sans-serif"/>
          <w:b/>
          <w:color w:val="000000"/>
          <w:sz w:val="56"/>
        </w:rPr>
      </w:pPr>
      <w:r>
        <w:rPr>
          <w:rFonts w:ascii="Arial;sans-serif" w:hAnsi="Arial;sans-serif"/>
          <w:b/>
          <w:color w:val="000000"/>
          <w:sz w:val="56"/>
        </w:rPr>
        <w:t>Advisory Vote on Executive Compensation</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12" w:before="0" w:after="180"/>
        <w:jc w:val="left"/>
        <w:rPr>
          <w:rFonts w:ascii="Arial;sans-serif" w:hAnsi="Arial;sans-serif"/>
          <w:b w:val="false"/>
          <w:color w:val="000000"/>
          <w:sz w:val="18"/>
        </w:rPr>
      </w:pPr>
      <w:r>
        <w:rPr>
          <w:rFonts w:ascii="Arial;sans-serif" w:hAnsi="Arial;sans-serif"/>
          <w:b w:val="false"/>
          <w:color w:val="000000"/>
          <w:sz w:val="18"/>
        </w:rPr>
        <w:t>Under the Dodd-Frank Wall Street Reform and Consumer Protection Act, or the Dodd-Frank Act, and Section 14A of the Exchange Act, our stockholders are entitled to vote to approve, on an advisory basis, the compensation of our named executive officers as disclosed in this proxy statement in accordance with SEC rules.</w:t>
      </w:r>
    </w:p>
    <w:p>
      <w:pPr>
        <w:pStyle w:val="TextBody"/>
        <w:bidi w:val="0"/>
        <w:spacing w:lineRule="auto" w:line="312" w:before="0" w:after="180"/>
        <w:jc w:val="left"/>
        <w:rPr>
          <w:rFonts w:ascii="Arial;sans-serif" w:hAnsi="Arial;sans-serif"/>
          <w:b w:val="false"/>
          <w:color w:val="000000"/>
          <w:sz w:val="18"/>
        </w:rPr>
      </w:pPr>
      <w:r>
        <w:rPr>
          <w:rFonts w:ascii="Arial;sans-serif" w:hAnsi="Arial;sans-serif"/>
          <w:b w:val="false"/>
          <w:color w:val="000000"/>
          <w:sz w:val="18"/>
        </w:rPr>
        <w:t>This vote is not intended to address any specific item of compensation, but rather the overall compensation of our named executive officers and the philosophy, policies and practices described in this proxy statement. The compensation of our named executive officers subject to the vote is disclosed in the compensation tables and the related narrative disclosure contained in this proxy statement. As discussed in those disclosures, we believe that our compensation policies and decisions are focused on pay-for-performance principles and strongly aligned with our stockholders’ interests, consistent with current market practices. Compensation of our named executive officers is designed to enable us to attract and retain talented and experienced executives to lead our company successfully in a competitive environment. Please see the Compensation Discussion &amp; Analysis for a description of our compensation policies and decisions.</w:t>
      </w:r>
    </w:p>
    <w:p>
      <w:pPr>
        <w:pStyle w:val="TextBody"/>
        <w:bidi w:val="0"/>
        <w:spacing w:lineRule="auto" w:line="312" w:before="0" w:after="180"/>
        <w:jc w:val="left"/>
        <w:rPr>
          <w:rFonts w:ascii="Arial;sans-serif" w:hAnsi="Arial;sans-serif"/>
          <w:b w:val="false"/>
          <w:color w:val="000000"/>
          <w:sz w:val="18"/>
        </w:rPr>
      </w:pPr>
      <w:r>
        <w:rPr>
          <w:rFonts w:ascii="Arial;sans-serif" w:hAnsi="Arial;sans-serif"/>
          <w:b w:val="false"/>
          <w:color w:val="000000"/>
          <w:sz w:val="18"/>
        </w:rPr>
        <w:t>Accordingly, the Board is asking our stockholders to indicate their support for the compensation of our named executive officers as described in this proxy statement by casting a non-binding advisory vote “FOR” the following resolution:</w:t>
      </w:r>
    </w:p>
    <w:p>
      <w:pPr>
        <w:pStyle w:val="TextBody"/>
        <w:bidi w:val="0"/>
        <w:spacing w:lineRule="auto" w:line="312" w:before="0" w:after="180"/>
        <w:jc w:val="left"/>
        <w:rPr>
          <w:color w:val="000000"/>
        </w:rPr>
      </w:pPr>
      <w:r>
        <w:rPr>
          <w:color w:val="000000"/>
        </w:rPr>
        <w:t>“</w:t>
      </w:r>
      <w:r>
        <w:rPr>
          <w:rFonts w:ascii="Arial;sans-serif" w:hAnsi="Arial;sans-serif"/>
          <w:b w:val="false"/>
          <w:color w:val="000000"/>
          <w:sz w:val="18"/>
        </w:rPr>
        <w:t>RESOLVED, that the compensation paid to our named executive officers, as disclosed pursuant to Item 402 of Regulation S-K, including the compensation tables and narrative discussion, is hereby APPROVED.”</w:t>
      </w:r>
    </w:p>
    <w:p>
      <w:pPr>
        <w:pStyle w:val="TextBody"/>
        <w:bidi w:val="0"/>
        <w:spacing w:lineRule="auto" w:line="312" w:before="0" w:after="180"/>
        <w:jc w:val="left"/>
        <w:rPr>
          <w:rFonts w:ascii="Arial;sans-serif" w:hAnsi="Arial;sans-serif"/>
          <w:b w:val="false"/>
          <w:color w:val="000000"/>
          <w:sz w:val="18"/>
        </w:rPr>
      </w:pPr>
      <w:r>
        <w:rPr>
          <w:rFonts w:ascii="Arial;sans-serif" w:hAnsi="Arial;sans-serif"/>
          <w:b w:val="false"/>
          <w:color w:val="000000"/>
          <w:sz w:val="18"/>
        </w:rPr>
        <w:t>Because the vote is advisory, it is not binding on the Board of Directors or SI-BONE. Nevertheless, the views expressed by our stockholders, whether through this vote or otherwise, are important to management and the Board and, accordingly, the Board and the Compensation Committee intend to consider the results of this vote in making determinations in the future regarding executive compensation arrangements.</w:t>
      </w:r>
    </w:p>
    <w:p>
      <w:pPr>
        <w:pStyle w:val="TextBody"/>
        <w:bidi w:val="0"/>
        <w:spacing w:lineRule="auto" w:line="312" w:before="0" w:after="180"/>
        <w:jc w:val="left"/>
        <w:rPr>
          <w:rFonts w:ascii="Arial;sans-serif" w:hAnsi="Arial;sans-serif"/>
          <w:b w:val="false"/>
          <w:color w:val="000000"/>
          <w:sz w:val="18"/>
        </w:rPr>
      </w:pPr>
      <w:r>
        <w:rPr>
          <w:rFonts w:ascii="Arial;sans-serif" w:hAnsi="Arial;sans-serif"/>
          <w:b w:val="false"/>
          <w:color w:val="000000"/>
          <w:sz w:val="18"/>
        </w:rPr>
        <w:t>Unless the Board decides to modify its policy regarding the frequency of soliciting advisory votes on the compensation of our named executives, the next scheduled say-on-pay vote will be at the 2026 Annual Meeting of Stockholders.</w:t>
      </w:r>
    </w:p>
    <w:tbl>
      <w:tblPr>
        <w:tblW w:w="6884" w:type="dxa"/>
        <w:jc w:val="left"/>
        <w:tblInd w:w="0" w:type="dxa"/>
        <w:tblLayout w:type="fixed"/>
        <w:tblCellMar>
          <w:top w:w="28" w:type="dxa"/>
          <w:left w:w="28" w:type="dxa"/>
          <w:bottom w:w="28" w:type="dxa"/>
          <w:right w:w="28" w:type="dxa"/>
        </w:tblCellMar>
      </w:tblPr>
      <w:tblGrid>
        <w:gridCol w:w="2203"/>
        <w:gridCol w:w="1934"/>
        <w:gridCol w:w="2747"/>
      </w:tblGrid>
      <w:tr>
        <w:trPr/>
        <w:tc>
          <w:tcPr>
            <w:tcW w:w="2203" w:type="dxa"/>
            <w:tcBorders/>
            <w:vAlign w:val="center"/>
          </w:tcPr>
          <w:p>
            <w:pPr>
              <w:pStyle w:val="TableContents"/>
              <w:bidi w:val="0"/>
              <w:spacing w:before="0" w:after="283"/>
              <w:jc w:val="left"/>
              <w:rPr>
                <w:sz w:val="4"/>
                <w:szCs w:val="4"/>
              </w:rPr>
            </w:pPr>
            <w:r>
              <w:rPr>
                <w:sz w:val="4"/>
                <w:szCs w:val="4"/>
              </w:rPr>
            </w:r>
          </w:p>
        </w:tc>
        <w:tc>
          <w:tcPr>
            <w:tcW w:w="1934" w:type="dxa"/>
            <w:tcBorders/>
            <w:vAlign w:val="center"/>
          </w:tcPr>
          <w:p>
            <w:pPr>
              <w:pStyle w:val="TableContents"/>
              <w:bidi w:val="0"/>
              <w:spacing w:before="0" w:after="283"/>
              <w:jc w:val="left"/>
              <w:rPr>
                <w:sz w:val="4"/>
                <w:szCs w:val="4"/>
              </w:rPr>
            </w:pPr>
            <w:r>
              <w:rPr>
                <w:sz w:val="4"/>
                <w:szCs w:val="4"/>
              </w:rPr>
            </w:r>
          </w:p>
        </w:tc>
        <w:tc>
          <w:tcPr>
            <w:tcW w:w="2747" w:type="dxa"/>
            <w:tcBorders/>
            <w:vAlign w:val="center"/>
          </w:tcPr>
          <w:p>
            <w:pPr>
              <w:pStyle w:val="TableContents"/>
              <w:bidi w:val="0"/>
              <w:spacing w:before="0" w:after="283"/>
              <w:jc w:val="left"/>
              <w:rPr>
                <w:sz w:val="4"/>
                <w:szCs w:val="4"/>
              </w:rPr>
            </w:pPr>
            <w:r>
              <w:rPr>
                <w:sz w:val="4"/>
                <w:szCs w:val="4"/>
              </w:rPr>
            </w:r>
          </w:p>
        </w:tc>
      </w:tr>
      <w:tr>
        <w:trPr/>
        <w:tc>
          <w:tcPr>
            <w:tcW w:w="6884" w:type="dxa"/>
            <w:gridSpan w:val="3"/>
            <w:tcBorders/>
            <w:shd w:fill="74A333"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FFFFFF"/>
                <w:sz w:val="20"/>
              </w:rPr>
            </w:pPr>
            <w:r>
              <w:rPr>
                <w:rFonts w:ascii="Arial;sans-serif" w:hAnsi="Arial;sans-serif"/>
                <w:b/>
                <w:color w:val="FFFFFF"/>
                <w:sz w:val="20"/>
              </w:rPr>
              <w:t>The Board of Directors recommends a vote IN FAVOR of Proposal No. 3.</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739140"/>
                <wp:effectExtent l="0" t="0" r="0" b="0"/>
                <wp:wrapNone/>
                <wp:docPr id="41" name="Frame25"/>
                <a:graphic xmlns:a="http://schemas.openxmlformats.org/drawingml/2006/main">
                  <a:graphicData uri="http://schemas.microsoft.com/office/word/2010/wordprocessingShape">
                    <wps:wsp>
                      <wps:cNvSpPr txBox="1"/>
                      <wps:spPr>
                        <a:xfrm>
                          <a:off x="0" y="0"/>
                          <a:ext cx="6480175" cy="739140"/>
                        </a:xfrm>
                        <a:prstGeom prst="rect"/>
                        <a:solidFill>
                          <a:srgbClr val="FFFFFF"/>
                        </a:solidFill>
                      </wps:spPr>
                      <wps:txbx>
                        <w:txbxContent>
                          <w:tbl>
                            <w:tblPr>
                              <w:tblW w:w="3266" w:type="dxa"/>
                              <w:jc w:val="center"/>
                              <w:tblInd w:w="0" w:type="dxa"/>
                              <w:tblLayout w:type="fixed"/>
                              <w:tblCellMar>
                                <w:top w:w="28" w:type="dxa"/>
                                <w:left w:w="28" w:type="dxa"/>
                                <w:bottom w:w="28" w:type="dxa"/>
                                <w:right w:w="28" w:type="dxa"/>
                              </w:tblCellMar>
                            </w:tblPr>
                            <w:tblGrid>
                              <w:gridCol w:w="424"/>
                              <w:gridCol w:w="372"/>
                              <w:gridCol w:w="374"/>
                              <w:gridCol w:w="109"/>
                              <w:gridCol w:w="109"/>
                              <w:gridCol w:w="109"/>
                              <w:gridCol w:w="517"/>
                              <w:gridCol w:w="517"/>
                              <w:gridCol w:w="735"/>
                            </w:tblGrid>
                            <w:tr>
                              <w:trPr/>
                              <w:tc>
                                <w:tcPr>
                                  <w:tcW w:w="424"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r>
                            <w:tr>
                              <w:trPr/>
                              <w:tc>
                                <w:tcPr>
                                  <w:tcW w:w="1170"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6"/>
                                    </w:rPr>
                                  </w:pPr>
                                  <w:r>
                                    <w:rPr>
                                      <w:rFonts w:ascii="Arial;sans-serif" w:hAnsi="Arial;sans-serif"/>
                                      <w:b/>
                                      <w:color w:val="000000"/>
                                      <w:sz w:val="16"/>
                                    </w:rPr>
                                    <w:t>SI-BONE, Inc.</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000000"/>
                                      <w:sz w:val="16"/>
                                    </w:rPr>
                                  </w:pPr>
                                  <w:r>
                                    <w:rPr>
                                      <w:rFonts w:ascii="Arial;sans-serif" w:hAnsi="Arial;sans-serif"/>
                                      <w:b/>
                                      <w:color w:val="000000"/>
                                      <w:sz w:val="16"/>
                                    </w:rPr>
                                    <w:t>20</w:t>
                                  </w:r>
                                </w:p>
                              </w:tc>
                              <w:tc>
                                <w:tcPr>
                                  <w:tcW w:w="176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2025 Proxy Statement</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2pt;mso-wrap-distance-left:0pt;mso-wrap-distance-right:0pt;mso-wrap-distance-top:0pt;mso-wrap-distance-bottom:0pt;margin-top:0pt;mso-position-vertical:top;mso-position-vertical-relative:text;margin-left:0pt;mso-position-horizontal:left;mso-position-horizontal-relative:text">
                <v:textbox>
                  <w:txbxContent>
                    <w:tbl>
                      <w:tblPr>
                        <w:tblW w:w="3266" w:type="dxa"/>
                        <w:jc w:val="center"/>
                        <w:tblInd w:w="0" w:type="dxa"/>
                        <w:tblLayout w:type="fixed"/>
                        <w:tblCellMar>
                          <w:top w:w="28" w:type="dxa"/>
                          <w:left w:w="28" w:type="dxa"/>
                          <w:bottom w:w="28" w:type="dxa"/>
                          <w:right w:w="28" w:type="dxa"/>
                        </w:tblCellMar>
                      </w:tblPr>
                      <w:tblGrid>
                        <w:gridCol w:w="424"/>
                        <w:gridCol w:w="372"/>
                        <w:gridCol w:w="374"/>
                        <w:gridCol w:w="109"/>
                        <w:gridCol w:w="109"/>
                        <w:gridCol w:w="109"/>
                        <w:gridCol w:w="517"/>
                        <w:gridCol w:w="517"/>
                        <w:gridCol w:w="735"/>
                      </w:tblGrid>
                      <w:tr>
                        <w:trPr/>
                        <w:tc>
                          <w:tcPr>
                            <w:tcW w:w="424"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r>
                      <w:tr>
                        <w:trPr/>
                        <w:tc>
                          <w:tcPr>
                            <w:tcW w:w="1170"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6"/>
                              </w:rPr>
                            </w:pPr>
                            <w:r>
                              <w:rPr>
                                <w:rFonts w:ascii="Arial;sans-serif" w:hAnsi="Arial;sans-serif"/>
                                <w:b/>
                                <w:color w:val="000000"/>
                                <w:sz w:val="16"/>
                              </w:rPr>
                              <w:t>SI-BONE, Inc.</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000000"/>
                                <w:sz w:val="16"/>
                              </w:rPr>
                            </w:pPr>
                            <w:r>
                              <w:rPr>
                                <w:rFonts w:ascii="Arial;sans-serif" w:hAnsi="Arial;sans-serif"/>
                                <w:b/>
                                <w:color w:val="000000"/>
                                <w:sz w:val="16"/>
                              </w:rPr>
                              <w:t>20</w:t>
                            </w:r>
                          </w:p>
                        </w:tc>
                        <w:tc>
                          <w:tcPr>
                            <w:tcW w:w="176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2025 Proxy Statement</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right"/>
        <w:rPr>
          <w:rFonts w:ascii="Arial;sans-serif" w:hAnsi="Arial;sans-serif"/>
          <w:b w:val="false"/>
          <w:color w:val="000000"/>
          <w:sz w:val="16"/>
        </w:rPr>
      </w:pPr>
      <w:r>
        <w:rPr>
          <w:rFonts w:ascii="Arial;sans-serif" w:hAnsi="Arial;sans-serif"/>
          <w:b w:val="false"/>
          <w:color w:val="000000"/>
          <w:sz w:val="16"/>
        </w:rPr>
        <w:t>Table of Contents</w:t>
      </w:r>
    </w:p>
    <w:p>
      <w:pPr>
        <w:pStyle w:val="TextBody"/>
        <w:bidi w:val="0"/>
        <w:spacing w:lineRule="auto" w:line="288" w:before="0" w:after="0"/>
        <w:jc w:val="left"/>
        <w:rPr>
          <w:rFonts w:ascii="Arial;sans-serif" w:hAnsi="Arial;sans-serif"/>
          <w:b/>
          <w:color w:val="000000"/>
          <w:sz w:val="56"/>
        </w:rPr>
      </w:pPr>
      <w:r>
        <w:rPr>
          <w:rFonts w:ascii="Arial;sans-serif" w:hAnsi="Arial;sans-serif"/>
          <w:b/>
          <w:color w:val="000000"/>
          <w:sz w:val="56"/>
        </w:rPr>
        <w:t>Security Ownership of Certain Beneficial Owners and Management</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12" w:before="0" w:after="180"/>
        <w:jc w:val="left"/>
        <w:rPr>
          <w:rFonts w:ascii="Arial;sans-serif" w:hAnsi="Arial;sans-serif"/>
          <w:b w:val="false"/>
          <w:color w:val="000000"/>
          <w:sz w:val="18"/>
        </w:rPr>
      </w:pPr>
      <w:r>
        <w:rPr>
          <w:rFonts w:ascii="Arial;sans-serif" w:hAnsi="Arial;sans-serif"/>
          <w:b w:val="false"/>
          <w:color w:val="000000"/>
          <w:sz w:val="18"/>
        </w:rPr>
        <w:t>The following table sets forth certain information regarding the ownership of SI-BONE’s common stock as of March 31, 2025, by: (i) each director and nominee for director; (ii) each of the executive officers named in the Summary Compensation Table; (iii) all executive officers and directors of SI-BONE as a group; and (iv) all those known by SI-BONE to be beneficial owners of more than five percent of its common stock.</w:t>
      </w:r>
    </w:p>
    <w:p>
      <w:pPr>
        <w:pStyle w:val="TextBody"/>
        <w:bidi w:val="0"/>
        <w:spacing w:lineRule="auto" w:line="312" w:before="0" w:after="180"/>
        <w:jc w:val="left"/>
        <w:rPr>
          <w:rFonts w:ascii="Arial;sans-serif" w:hAnsi="Arial;sans-serif"/>
          <w:b w:val="false"/>
          <w:color w:val="000000"/>
          <w:sz w:val="18"/>
        </w:rPr>
      </w:pPr>
      <w:r>
        <w:rPr>
          <w:rFonts w:ascii="Arial;sans-serif" w:hAnsi="Arial;sans-serif"/>
          <w:b w:val="false"/>
          <w:color w:val="000000"/>
          <w:sz w:val="18"/>
        </w:rPr>
        <w:t>This table is based upon information supplied by officers, directors and principal stockholders and Schedules 13F and 13G filed with the SEC. Unless otherwise indicated in the footnotes to this table and subject to community property laws where applicable, SI-BONE believes that each of the stockholders named in this table has sole voting and investment power with respect to the shares indicated as beneficially owned. Applicable percentages are based on 42,479,600 shares outstanding on March 31, 2025, adjusted as required by rules promulgated by the SEC.</w:t>
      </w:r>
    </w:p>
    <w:tbl>
      <w:tblPr>
        <w:tblW w:w="10205" w:type="dxa"/>
        <w:jc w:val="left"/>
        <w:tblInd w:w="0" w:type="dxa"/>
        <w:tblLayout w:type="fixed"/>
        <w:tblCellMar>
          <w:top w:w="28" w:type="dxa"/>
          <w:left w:w="28" w:type="dxa"/>
          <w:bottom w:w="28" w:type="dxa"/>
          <w:right w:w="28" w:type="dxa"/>
        </w:tblCellMar>
      </w:tblPr>
      <w:tblGrid>
        <w:gridCol w:w="1188"/>
        <w:gridCol w:w="982"/>
        <w:gridCol w:w="985"/>
        <w:gridCol w:w="435"/>
        <w:gridCol w:w="436"/>
        <w:gridCol w:w="228"/>
        <w:gridCol w:w="814"/>
        <w:gridCol w:w="702"/>
        <w:gridCol w:w="706"/>
        <w:gridCol w:w="813"/>
        <w:gridCol w:w="730"/>
        <w:gridCol w:w="732"/>
        <w:gridCol w:w="358"/>
        <w:gridCol w:w="358"/>
        <w:gridCol w:w="359"/>
        <w:gridCol w:w="109"/>
        <w:gridCol w:w="109"/>
        <w:gridCol w:w="161"/>
      </w:tblGrid>
      <w:tr>
        <w:trPr/>
        <w:tc>
          <w:tcPr>
            <w:tcW w:w="1188" w:type="dxa"/>
            <w:tcBorders/>
            <w:vAlign w:val="center"/>
          </w:tcPr>
          <w:p>
            <w:pPr>
              <w:pStyle w:val="TableContents"/>
              <w:bidi w:val="0"/>
              <w:spacing w:before="0" w:after="283"/>
              <w:jc w:val="left"/>
              <w:rPr>
                <w:sz w:val="4"/>
                <w:szCs w:val="4"/>
              </w:rPr>
            </w:pPr>
            <w:r>
              <w:rPr>
                <w:sz w:val="4"/>
                <w:szCs w:val="4"/>
              </w:rPr>
            </w:r>
          </w:p>
        </w:tc>
        <w:tc>
          <w:tcPr>
            <w:tcW w:w="982" w:type="dxa"/>
            <w:tcBorders/>
            <w:vAlign w:val="center"/>
          </w:tcPr>
          <w:p>
            <w:pPr>
              <w:pStyle w:val="TableContents"/>
              <w:bidi w:val="0"/>
              <w:spacing w:before="0" w:after="283"/>
              <w:jc w:val="left"/>
              <w:rPr>
                <w:sz w:val="4"/>
                <w:szCs w:val="4"/>
              </w:rPr>
            </w:pPr>
            <w:r>
              <w:rPr>
                <w:sz w:val="4"/>
                <w:szCs w:val="4"/>
              </w:rPr>
            </w:r>
          </w:p>
        </w:tc>
        <w:tc>
          <w:tcPr>
            <w:tcW w:w="985"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814" w:type="dxa"/>
            <w:tcBorders/>
            <w:vAlign w:val="center"/>
          </w:tcPr>
          <w:p>
            <w:pPr>
              <w:pStyle w:val="TableContents"/>
              <w:bidi w:val="0"/>
              <w:spacing w:before="0" w:after="283"/>
              <w:jc w:val="left"/>
              <w:rPr>
                <w:sz w:val="4"/>
                <w:szCs w:val="4"/>
              </w:rPr>
            </w:pPr>
            <w:r>
              <w:rPr>
                <w:sz w:val="4"/>
                <w:szCs w:val="4"/>
              </w:rPr>
            </w:r>
          </w:p>
        </w:tc>
        <w:tc>
          <w:tcPr>
            <w:tcW w:w="702"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813" w:type="dxa"/>
            <w:tcBorders/>
            <w:vAlign w:val="center"/>
          </w:tcPr>
          <w:p>
            <w:pPr>
              <w:pStyle w:val="TableContents"/>
              <w:bidi w:val="0"/>
              <w:spacing w:before="0" w:after="283"/>
              <w:jc w:val="left"/>
              <w:rPr>
                <w:sz w:val="4"/>
                <w:szCs w:val="4"/>
              </w:rPr>
            </w:pPr>
            <w:r>
              <w:rPr>
                <w:sz w:val="4"/>
                <w:szCs w:val="4"/>
              </w:rPr>
            </w:r>
          </w:p>
        </w:tc>
        <w:tc>
          <w:tcPr>
            <w:tcW w:w="730" w:type="dxa"/>
            <w:tcBorders/>
            <w:vAlign w:val="center"/>
          </w:tcPr>
          <w:p>
            <w:pPr>
              <w:pStyle w:val="TableContents"/>
              <w:bidi w:val="0"/>
              <w:spacing w:before="0" w:after="283"/>
              <w:jc w:val="left"/>
              <w:rPr>
                <w:sz w:val="4"/>
                <w:szCs w:val="4"/>
              </w:rPr>
            </w:pPr>
            <w:r>
              <w:rPr>
                <w:sz w:val="4"/>
                <w:szCs w:val="4"/>
              </w:rPr>
            </w:r>
          </w:p>
        </w:tc>
        <w:tc>
          <w:tcPr>
            <w:tcW w:w="732"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1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71" w:type="dxa"/>
            <w:gridSpan w:val="12"/>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Total Beneficial Ownership</w:t>
            </w:r>
          </w:p>
        </w:tc>
        <w:tc>
          <w:tcPr>
            <w:tcW w:w="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5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6"/>
              </w:rPr>
            </w:pPr>
            <w:r>
              <w:rPr>
                <w:rFonts w:ascii="Arial;sans-serif" w:hAnsi="Arial;sans-serif"/>
                <w:b/>
                <w:color w:val="000000"/>
                <w:sz w:val="16"/>
              </w:rPr>
              <w:t>Name of Beneficial Owner</w:t>
            </w:r>
          </w:p>
        </w:tc>
        <w:tc>
          <w:tcPr>
            <w:tcW w:w="1099" w:type="dxa"/>
            <w:gridSpan w:val="3"/>
            <w:tcBorders>
              <w:top w:val="single" w:sz="8" w:space="0" w:color="74A333"/>
            </w:tcBorders>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6"/>
              </w:rPr>
            </w:pPr>
            <w:r>
              <w:rPr>
                <w:rFonts w:ascii="Arial;sans-serif" w:hAnsi="Arial;sans-serif"/>
                <w:b/>
                <w:color w:val="000000"/>
                <w:sz w:val="16"/>
              </w:rPr>
              <w:t xml:space="preserve">Shares </w:t>
              <w:br/>
              <w:t>Owned</w:t>
              <w:br/>
              <w:t>(#)</w:t>
            </w:r>
          </w:p>
        </w:tc>
        <w:tc>
          <w:tcPr>
            <w:tcW w:w="2222" w:type="dxa"/>
            <w:gridSpan w:val="3"/>
            <w:tcBorders>
              <w:top w:val="single" w:sz="8" w:space="0" w:color="74A333"/>
            </w:tcBorders>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6"/>
              </w:rPr>
            </w:pPr>
            <w:r>
              <w:rPr>
                <w:rFonts w:ascii="Arial;sans-serif" w:hAnsi="Arial;sans-serif"/>
                <w:b/>
                <w:color w:val="000000"/>
                <w:sz w:val="16"/>
              </w:rPr>
              <w:t>Right to Acquire Shares Within 60 days</w:t>
              <w:br/>
              <w:t>(#)</w:t>
            </w:r>
          </w:p>
        </w:tc>
        <w:tc>
          <w:tcPr>
            <w:tcW w:w="2275" w:type="dxa"/>
            <w:gridSpan w:val="3"/>
            <w:tcBorders>
              <w:top w:val="single" w:sz="8" w:space="0" w:color="74A333"/>
            </w:tcBorders>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6"/>
              </w:rPr>
            </w:pPr>
            <w:r>
              <w:rPr>
                <w:rFonts w:ascii="Arial;sans-serif" w:hAnsi="Arial;sans-serif"/>
                <w:b/>
                <w:color w:val="000000"/>
                <w:sz w:val="16"/>
              </w:rPr>
              <w:t>Number of Shares Beneficially Owned</w:t>
              <w:br/>
              <w:t>(#)</w:t>
            </w:r>
          </w:p>
        </w:tc>
        <w:tc>
          <w:tcPr>
            <w:tcW w:w="1075" w:type="dxa"/>
            <w:gridSpan w:val="3"/>
            <w:tcBorders>
              <w:top w:val="single" w:sz="8" w:space="0" w:color="74A333"/>
            </w:tcBorders>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6"/>
              </w:rPr>
            </w:pPr>
            <w:r>
              <w:rPr>
                <w:rFonts w:ascii="Arial;sans-serif" w:hAnsi="Arial;sans-serif"/>
                <w:b/>
                <w:color w:val="000000"/>
                <w:sz w:val="16"/>
              </w:rPr>
              <w:t>Percent of Total</w:t>
              <w:br/>
              <w:t>(%)</w:t>
            </w:r>
          </w:p>
        </w:tc>
        <w:tc>
          <w:tcPr>
            <w:tcW w:w="379" w:type="dxa"/>
            <w:gridSpan w:val="3"/>
            <w:tcBorders>
              <w:top w:val="single" w:sz="8" w:space="0" w:color="74A33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55" w:type="dxa"/>
            <w:gridSpan w:val="3"/>
            <w:tcBorders/>
            <w:shd w:fill="74A333"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FFFFFF"/>
                <w:sz w:val="16"/>
              </w:rPr>
            </w:pPr>
            <w:r>
              <w:rPr>
                <w:rFonts w:ascii="Arial;sans-serif" w:hAnsi="Arial;sans-serif"/>
                <w:b/>
                <w:color w:val="FFFFFF"/>
                <w:sz w:val="16"/>
              </w:rPr>
              <w:t>Named Executive Officers and Directors:</w:t>
            </w:r>
          </w:p>
        </w:tc>
        <w:tc>
          <w:tcPr>
            <w:tcW w:w="1099" w:type="dxa"/>
            <w:gridSpan w:val="3"/>
            <w:tcBorders/>
            <w:shd w:fill="74A33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2" w:type="dxa"/>
            <w:gridSpan w:val="3"/>
            <w:tcBorders/>
            <w:shd w:fill="74A33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5" w:type="dxa"/>
            <w:gridSpan w:val="3"/>
            <w:tcBorders/>
            <w:shd w:fill="74A33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3"/>
            <w:tcBorders/>
            <w:shd w:fill="74A33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gridSpan w:val="3"/>
            <w:tcBorders/>
            <w:shd w:fill="74A33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74A333"/>
                <w:sz w:val="16"/>
              </w:rPr>
            </w:pPr>
            <w:r>
              <w:rPr>
                <w:rFonts w:ascii="Arial;sans-serif" w:hAnsi="Arial;sans-serif"/>
                <w:b/>
                <w:color w:val="74A333"/>
                <w:sz w:val="16"/>
              </w:rPr>
              <w:t xml:space="preserve">Timothy E. Davis, Jr. </w:t>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38,606 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54,893 </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93,499 </w:t>
            </w:r>
          </w:p>
        </w:tc>
        <w:tc>
          <w:tcPr>
            <w:tcW w:w="7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w:t>
            </w:r>
          </w:p>
        </w:tc>
        <w:tc>
          <w:tcPr>
            <w:tcW w:w="3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55" w:type="dxa"/>
            <w:gridSpan w:val="3"/>
            <w:tcBorders/>
            <w:shd w:fill="EDEDEE" w:val="clear"/>
            <w:tcMar>
              <w:top w:w="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color w:val="74A333"/>
                <w:sz w:val="16"/>
              </w:rPr>
              <w:t>Jeffrey W. Dunn</w:t>
            </w:r>
            <w:r>
              <w:rPr>
                <w:color w:val="74A333"/>
              </w:rPr>
              <w:t xml:space="preserve"> </w:t>
            </w:r>
            <w:r>
              <w:rPr>
                <w:rFonts w:ascii="Arial;sans-serif" w:hAnsi="Arial;sans-serif"/>
                <w:b/>
                <w:color w:val="74A333"/>
                <w:sz w:val="10"/>
              </w:rPr>
              <w:t>(1)</w:t>
            </w:r>
          </w:p>
        </w:tc>
        <w:tc>
          <w:tcPr>
            <w:tcW w:w="871" w:type="dxa"/>
            <w:gridSpan w:val="2"/>
            <w:tcBorders/>
            <w:shd w:fill="EDEDEE"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111,933 </w:t>
            </w:r>
          </w:p>
        </w:tc>
        <w:tc>
          <w:tcPr>
            <w:tcW w:w="228"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6" w:type="dxa"/>
            <w:gridSpan w:val="2"/>
            <w:tcBorders/>
            <w:shd w:fill="EDEDEE"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229,570 </w:t>
            </w:r>
          </w:p>
        </w:tc>
        <w:tc>
          <w:tcPr>
            <w:tcW w:w="706"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3" w:type="dxa"/>
            <w:gridSpan w:val="2"/>
            <w:tcBorders/>
            <w:shd w:fill="EDEDEE"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341,503 </w:t>
            </w:r>
          </w:p>
        </w:tc>
        <w:tc>
          <w:tcPr>
            <w:tcW w:w="732"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3"/>
            <w:tcBorders/>
            <w:shd w:fill="EDEDEE"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w:t>
            </w:r>
          </w:p>
        </w:tc>
        <w:tc>
          <w:tcPr>
            <w:tcW w:w="379"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5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color w:val="74A333"/>
                <w:sz w:val="16"/>
              </w:rPr>
              <w:t xml:space="preserve">John G. Freund, M.D. </w:t>
            </w:r>
            <w:r>
              <w:rPr>
                <w:rFonts w:ascii="Arial;sans-serif" w:hAnsi="Arial;sans-serif"/>
                <w:b/>
                <w:color w:val="74A333"/>
                <w:sz w:val="10"/>
              </w:rPr>
              <w:t>(2)</w:t>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129,734 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37,963 </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167,697 </w:t>
            </w:r>
          </w:p>
        </w:tc>
        <w:tc>
          <w:tcPr>
            <w:tcW w:w="7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w:t>
            </w:r>
          </w:p>
        </w:tc>
        <w:tc>
          <w:tcPr>
            <w:tcW w:w="3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55" w:type="dxa"/>
            <w:gridSpan w:val="3"/>
            <w:tcBorders/>
            <w:shd w:fill="EDEDEE"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74A333"/>
                <w:sz w:val="16"/>
              </w:rPr>
            </w:pPr>
            <w:r>
              <w:rPr>
                <w:rFonts w:ascii="Arial;sans-serif" w:hAnsi="Arial;sans-serif"/>
                <w:b/>
                <w:color w:val="74A333"/>
                <w:sz w:val="16"/>
              </w:rPr>
              <w:t>Jeryl L. Hilleman</w:t>
            </w:r>
          </w:p>
        </w:tc>
        <w:tc>
          <w:tcPr>
            <w:tcW w:w="871" w:type="dxa"/>
            <w:gridSpan w:val="2"/>
            <w:tcBorders/>
            <w:shd w:fill="EDEDEE"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10,483 </w:t>
            </w:r>
          </w:p>
        </w:tc>
        <w:tc>
          <w:tcPr>
            <w:tcW w:w="228"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6" w:type="dxa"/>
            <w:gridSpan w:val="2"/>
            <w:tcBorders/>
            <w:shd w:fill="EDEDEE"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31,102 </w:t>
            </w:r>
          </w:p>
        </w:tc>
        <w:tc>
          <w:tcPr>
            <w:tcW w:w="706"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3" w:type="dxa"/>
            <w:gridSpan w:val="2"/>
            <w:tcBorders/>
            <w:shd w:fill="EDEDEE"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41,585 </w:t>
            </w:r>
          </w:p>
        </w:tc>
        <w:tc>
          <w:tcPr>
            <w:tcW w:w="732"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3"/>
            <w:tcBorders/>
            <w:shd w:fill="EDEDEE"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w:t>
            </w:r>
          </w:p>
        </w:tc>
        <w:tc>
          <w:tcPr>
            <w:tcW w:w="379"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5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color w:val="74A333"/>
                <w:sz w:val="16"/>
              </w:rPr>
              <w:t xml:space="preserve">Gregory K. Hinckley </w:t>
            </w:r>
            <w:r>
              <w:rPr>
                <w:rFonts w:ascii="Arial;sans-serif" w:hAnsi="Arial;sans-serif"/>
                <w:b/>
                <w:color w:val="74A333"/>
                <w:sz w:val="10"/>
              </w:rPr>
              <w:t>(3)</w:t>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160,187 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18,826 </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179,013 </w:t>
            </w:r>
          </w:p>
        </w:tc>
        <w:tc>
          <w:tcPr>
            <w:tcW w:w="7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w:t>
            </w:r>
          </w:p>
        </w:tc>
        <w:tc>
          <w:tcPr>
            <w:tcW w:w="3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55" w:type="dxa"/>
            <w:gridSpan w:val="3"/>
            <w:tcBorders/>
            <w:shd w:fill="EDEDEE"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color w:val="74A333"/>
                <w:sz w:val="16"/>
              </w:rPr>
            </w:pPr>
            <w:r>
              <w:rPr>
                <w:rFonts w:ascii="Arial;sans-serif" w:hAnsi="Arial;sans-serif"/>
                <w:b/>
                <w:color w:val="74A333"/>
                <w:sz w:val="16"/>
              </w:rPr>
              <w:t>Mika Nishimura</w:t>
            </w:r>
          </w:p>
        </w:tc>
        <w:tc>
          <w:tcPr>
            <w:tcW w:w="871" w:type="dxa"/>
            <w:gridSpan w:val="2"/>
            <w:tcBorders/>
            <w:shd w:fill="EDEDEE"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19,350 </w:t>
            </w:r>
          </w:p>
        </w:tc>
        <w:tc>
          <w:tcPr>
            <w:tcW w:w="228"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6" w:type="dxa"/>
            <w:gridSpan w:val="2"/>
            <w:tcBorders/>
            <w:shd w:fill="EDEDEE"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706"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3" w:type="dxa"/>
            <w:gridSpan w:val="2"/>
            <w:tcBorders/>
            <w:shd w:fill="EDEDEE"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19,350 </w:t>
            </w:r>
          </w:p>
        </w:tc>
        <w:tc>
          <w:tcPr>
            <w:tcW w:w="732"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3"/>
            <w:tcBorders/>
            <w:shd w:fill="EDEDEE"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w:t>
            </w:r>
          </w:p>
        </w:tc>
        <w:tc>
          <w:tcPr>
            <w:tcW w:w="379"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5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color w:val="74A333"/>
                <w:sz w:val="16"/>
              </w:rPr>
            </w:pPr>
            <w:r>
              <w:rPr>
                <w:rFonts w:ascii="Arial;sans-serif" w:hAnsi="Arial;sans-serif"/>
                <w:b/>
                <w:color w:val="74A333"/>
                <w:sz w:val="16"/>
              </w:rPr>
              <w:t>Thomas A. West</w:t>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3,053 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3,053 </w:t>
            </w:r>
          </w:p>
        </w:tc>
        <w:tc>
          <w:tcPr>
            <w:tcW w:w="7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w:t>
            </w:r>
          </w:p>
        </w:tc>
        <w:tc>
          <w:tcPr>
            <w:tcW w:w="3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55" w:type="dxa"/>
            <w:gridSpan w:val="3"/>
            <w:tcBorders/>
            <w:shd w:fill="EDEDEE"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74A333"/>
                <w:sz w:val="16"/>
              </w:rPr>
            </w:pPr>
            <w:r>
              <w:rPr>
                <w:rFonts w:ascii="Arial;sans-serif" w:hAnsi="Arial;sans-serif"/>
                <w:b/>
                <w:color w:val="74A333"/>
                <w:sz w:val="16"/>
              </w:rPr>
              <w:t>Daniel W. Wolf</w:t>
            </w:r>
          </w:p>
        </w:tc>
        <w:tc>
          <w:tcPr>
            <w:tcW w:w="871" w:type="dxa"/>
            <w:gridSpan w:val="2"/>
            <w:tcBorders/>
            <w:shd w:fill="EDEDEE"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2,864 </w:t>
            </w:r>
          </w:p>
        </w:tc>
        <w:tc>
          <w:tcPr>
            <w:tcW w:w="228"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6" w:type="dxa"/>
            <w:gridSpan w:val="2"/>
            <w:tcBorders/>
            <w:shd w:fill="EDEDEE"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706"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3" w:type="dxa"/>
            <w:gridSpan w:val="2"/>
            <w:tcBorders/>
            <w:shd w:fill="EDEDEE"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2,864 </w:t>
            </w:r>
          </w:p>
        </w:tc>
        <w:tc>
          <w:tcPr>
            <w:tcW w:w="732"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3"/>
            <w:tcBorders/>
            <w:shd w:fill="EDEDEE"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w:t>
            </w:r>
          </w:p>
        </w:tc>
        <w:tc>
          <w:tcPr>
            <w:tcW w:w="379"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5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color w:val="74A333"/>
                <w:sz w:val="16"/>
              </w:rPr>
              <w:t xml:space="preserve">Laura A. Francis </w:t>
            </w:r>
            <w:r>
              <w:rPr>
                <w:rFonts w:ascii="Arial;sans-serif" w:hAnsi="Arial;sans-serif"/>
                <w:b/>
                <w:color w:val="74A333"/>
                <w:sz w:val="10"/>
              </w:rPr>
              <w:t>(4)</w:t>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405,236 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29,946 </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435,182 </w:t>
            </w:r>
          </w:p>
        </w:tc>
        <w:tc>
          <w:tcPr>
            <w:tcW w:w="7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1 </w:t>
            </w:r>
          </w:p>
        </w:tc>
        <w:tc>
          <w:tcPr>
            <w:tcW w:w="3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55" w:type="dxa"/>
            <w:gridSpan w:val="3"/>
            <w:tcBorders/>
            <w:shd w:fill="EDEDEE"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74A333"/>
                <w:sz w:val="16"/>
              </w:rPr>
            </w:pPr>
            <w:r>
              <w:rPr>
                <w:rFonts w:ascii="Arial;sans-serif" w:hAnsi="Arial;sans-serif"/>
                <w:b/>
                <w:color w:val="74A333"/>
                <w:sz w:val="16"/>
              </w:rPr>
              <w:t>Anshul Maheshwari</w:t>
            </w:r>
          </w:p>
        </w:tc>
        <w:tc>
          <w:tcPr>
            <w:tcW w:w="871" w:type="dxa"/>
            <w:gridSpan w:val="2"/>
            <w:tcBorders/>
            <w:shd w:fill="EDEDEE"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86,495 </w:t>
            </w:r>
          </w:p>
        </w:tc>
        <w:tc>
          <w:tcPr>
            <w:tcW w:w="228"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6" w:type="dxa"/>
            <w:gridSpan w:val="2"/>
            <w:tcBorders/>
            <w:shd w:fill="EDEDEE"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16,257 </w:t>
            </w:r>
          </w:p>
        </w:tc>
        <w:tc>
          <w:tcPr>
            <w:tcW w:w="706"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3" w:type="dxa"/>
            <w:gridSpan w:val="2"/>
            <w:tcBorders/>
            <w:shd w:fill="EDEDEE"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102,752 </w:t>
            </w:r>
          </w:p>
        </w:tc>
        <w:tc>
          <w:tcPr>
            <w:tcW w:w="732"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3"/>
            <w:tcBorders/>
            <w:shd w:fill="EDEDEE"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w:t>
            </w:r>
          </w:p>
        </w:tc>
        <w:tc>
          <w:tcPr>
            <w:tcW w:w="379"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74A333"/>
                <w:sz w:val="16"/>
              </w:rPr>
            </w:pPr>
            <w:r>
              <w:rPr>
                <w:rFonts w:ascii="Arial;sans-serif" w:hAnsi="Arial;sans-serif"/>
                <w:b/>
                <w:color w:val="74A333"/>
                <w:sz w:val="16"/>
              </w:rPr>
              <w:t>Anthony J. Recupero</w:t>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110,016 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211,105 </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321,121 </w:t>
            </w:r>
          </w:p>
        </w:tc>
        <w:tc>
          <w:tcPr>
            <w:tcW w:w="7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w:t>
            </w:r>
          </w:p>
        </w:tc>
        <w:tc>
          <w:tcPr>
            <w:tcW w:w="3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55" w:type="dxa"/>
            <w:gridSpan w:val="3"/>
            <w:tcBorders/>
            <w:vAlign w:val="center"/>
          </w:tcPr>
          <w:p>
            <w:pPr>
              <w:pStyle w:val="TableContents"/>
              <w:bidi w:val="0"/>
              <w:spacing w:before="0" w:after="283"/>
              <w:jc w:val="left"/>
              <w:rPr>
                <w:sz w:val="4"/>
                <w:szCs w:val="4"/>
              </w:rPr>
            </w:pPr>
            <w:r>
              <w:rPr>
                <w:sz w:val="4"/>
                <w:szCs w:val="4"/>
              </w:rPr>
            </w:r>
          </w:p>
        </w:tc>
        <w:tc>
          <w:tcPr>
            <w:tcW w:w="1099" w:type="dxa"/>
            <w:gridSpan w:val="3"/>
            <w:tcBorders/>
            <w:vAlign w:val="center"/>
          </w:tcPr>
          <w:p>
            <w:pPr>
              <w:pStyle w:val="TableContents"/>
              <w:bidi w:val="0"/>
              <w:spacing w:before="0" w:after="283"/>
              <w:jc w:val="left"/>
              <w:rPr>
                <w:sz w:val="4"/>
                <w:szCs w:val="4"/>
              </w:rPr>
            </w:pPr>
            <w:r>
              <w:rPr>
                <w:sz w:val="4"/>
                <w:szCs w:val="4"/>
              </w:rPr>
            </w:r>
          </w:p>
        </w:tc>
        <w:tc>
          <w:tcPr>
            <w:tcW w:w="2222" w:type="dxa"/>
            <w:gridSpan w:val="3"/>
            <w:tcBorders/>
            <w:vAlign w:val="center"/>
          </w:tcPr>
          <w:p>
            <w:pPr>
              <w:pStyle w:val="TableContents"/>
              <w:bidi w:val="0"/>
              <w:spacing w:before="0" w:after="283"/>
              <w:jc w:val="left"/>
              <w:rPr>
                <w:sz w:val="4"/>
                <w:szCs w:val="4"/>
              </w:rPr>
            </w:pPr>
            <w:r>
              <w:rPr>
                <w:sz w:val="4"/>
                <w:szCs w:val="4"/>
              </w:rPr>
            </w:r>
          </w:p>
        </w:tc>
        <w:tc>
          <w:tcPr>
            <w:tcW w:w="2275" w:type="dxa"/>
            <w:gridSpan w:val="3"/>
            <w:tcBorders/>
            <w:vAlign w:val="center"/>
          </w:tcPr>
          <w:p>
            <w:pPr>
              <w:pStyle w:val="TableContents"/>
              <w:bidi w:val="0"/>
              <w:spacing w:before="0" w:after="283"/>
              <w:jc w:val="left"/>
              <w:rPr>
                <w:sz w:val="4"/>
                <w:szCs w:val="4"/>
              </w:rPr>
            </w:pPr>
            <w:r>
              <w:rPr>
                <w:sz w:val="4"/>
                <w:szCs w:val="4"/>
              </w:rPr>
            </w:r>
          </w:p>
        </w:tc>
        <w:tc>
          <w:tcPr>
            <w:tcW w:w="1075" w:type="dxa"/>
            <w:gridSpan w:val="3"/>
            <w:tcBorders/>
            <w:vAlign w:val="center"/>
          </w:tcPr>
          <w:p>
            <w:pPr>
              <w:pStyle w:val="TableContents"/>
              <w:bidi w:val="0"/>
              <w:spacing w:before="0" w:after="283"/>
              <w:jc w:val="left"/>
              <w:rPr>
                <w:sz w:val="4"/>
                <w:szCs w:val="4"/>
              </w:rPr>
            </w:pPr>
            <w:r>
              <w:rPr>
                <w:sz w:val="4"/>
                <w:szCs w:val="4"/>
              </w:rPr>
            </w:r>
          </w:p>
        </w:tc>
        <w:tc>
          <w:tcPr>
            <w:tcW w:w="379" w:type="dxa"/>
            <w:gridSpan w:val="3"/>
            <w:tcBorders/>
            <w:vAlign w:val="center"/>
          </w:tcPr>
          <w:p>
            <w:pPr>
              <w:pStyle w:val="TableContents"/>
              <w:bidi w:val="0"/>
              <w:spacing w:before="0" w:after="283"/>
              <w:jc w:val="left"/>
              <w:rPr>
                <w:sz w:val="4"/>
                <w:szCs w:val="4"/>
              </w:rPr>
            </w:pPr>
            <w:r>
              <w:rPr>
                <w:sz w:val="4"/>
                <w:szCs w:val="4"/>
              </w:rPr>
            </w:r>
          </w:p>
        </w:tc>
      </w:tr>
      <w:tr>
        <w:trPr/>
        <w:tc>
          <w:tcPr>
            <w:tcW w:w="3155" w:type="dxa"/>
            <w:gridSpan w:val="3"/>
            <w:tcBorders/>
            <w:shd w:fill="EDEDEE"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74A333"/>
                <w:sz w:val="16"/>
              </w:rPr>
            </w:pPr>
            <w:r>
              <w:rPr>
                <w:rFonts w:ascii="Arial;sans-serif" w:hAnsi="Arial;sans-serif"/>
                <w:b/>
                <w:color w:val="74A333"/>
                <w:sz w:val="16"/>
              </w:rPr>
              <w:t>All executive officers and directors as a group (12 persons)</w:t>
            </w:r>
          </w:p>
        </w:tc>
        <w:tc>
          <w:tcPr>
            <w:tcW w:w="871" w:type="dxa"/>
            <w:gridSpan w:val="2"/>
            <w:tcBorders/>
            <w:shd w:fill="EDEDEE"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1,161,839 </w:t>
            </w:r>
          </w:p>
        </w:tc>
        <w:tc>
          <w:tcPr>
            <w:tcW w:w="228"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6" w:type="dxa"/>
            <w:gridSpan w:val="2"/>
            <w:tcBorders/>
            <w:shd w:fill="EDEDEE"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688,667 </w:t>
            </w:r>
          </w:p>
        </w:tc>
        <w:tc>
          <w:tcPr>
            <w:tcW w:w="706"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3" w:type="dxa"/>
            <w:gridSpan w:val="2"/>
            <w:tcBorders/>
            <w:shd w:fill="EDEDEE"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1,850,506 </w:t>
            </w:r>
          </w:p>
        </w:tc>
        <w:tc>
          <w:tcPr>
            <w:tcW w:w="732"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6" w:type="dxa"/>
            <w:gridSpan w:val="2"/>
            <w:tcBorders/>
            <w:shd w:fill="EDEDEE"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4 </w:t>
            </w:r>
          </w:p>
        </w:tc>
        <w:tc>
          <w:tcPr>
            <w:tcW w:w="359"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55" w:type="dxa"/>
            <w:gridSpan w:val="3"/>
            <w:tcBorders/>
            <w:shd w:fill="74A333"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FFFFFF"/>
                <w:sz w:val="16"/>
              </w:rPr>
            </w:pPr>
            <w:r>
              <w:rPr>
                <w:rFonts w:ascii="Arial;sans-serif" w:hAnsi="Arial;sans-serif"/>
                <w:b/>
                <w:color w:val="FFFFFF"/>
                <w:sz w:val="16"/>
              </w:rPr>
              <w:t>5% Stockholders:</w:t>
            </w:r>
          </w:p>
        </w:tc>
        <w:tc>
          <w:tcPr>
            <w:tcW w:w="1099" w:type="dxa"/>
            <w:gridSpan w:val="3"/>
            <w:tcBorders/>
            <w:shd w:fill="74A33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2" w:type="dxa"/>
            <w:gridSpan w:val="3"/>
            <w:tcBorders/>
            <w:shd w:fill="74A33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5" w:type="dxa"/>
            <w:gridSpan w:val="3"/>
            <w:tcBorders/>
            <w:shd w:fill="74A33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3"/>
            <w:tcBorders/>
            <w:shd w:fill="74A33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gridSpan w:val="3"/>
            <w:tcBorders/>
            <w:shd w:fill="74A33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55" w:type="dxa"/>
            <w:gridSpan w:val="3"/>
            <w:tcBorders/>
            <w:shd w:fill="EDEDEE" w:val="clear"/>
            <w:tcMar>
              <w:top w:w="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val="false"/>
                <w:color w:val="000000"/>
                <w:sz w:val="16"/>
              </w:rPr>
              <w:t xml:space="preserve">OrbiMed Advisors LLC </w:t>
            </w:r>
            <w:r>
              <w:rPr>
                <w:rFonts w:ascii="Arial;sans-serif" w:hAnsi="Arial;sans-serif"/>
                <w:b w:val="false"/>
                <w:color w:val="000000"/>
                <w:sz w:val="10"/>
              </w:rPr>
              <w:t>(5)</w:t>
            </w:r>
          </w:p>
        </w:tc>
        <w:tc>
          <w:tcPr>
            <w:tcW w:w="871" w:type="dxa"/>
            <w:gridSpan w:val="2"/>
            <w:tcBorders/>
            <w:shd w:fill="EDEDEE"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3,442,853 </w:t>
            </w:r>
          </w:p>
        </w:tc>
        <w:tc>
          <w:tcPr>
            <w:tcW w:w="228"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6" w:type="dxa"/>
            <w:gridSpan w:val="2"/>
            <w:tcBorders/>
            <w:shd w:fill="EDEDEE"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706"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3" w:type="dxa"/>
            <w:gridSpan w:val="2"/>
            <w:tcBorders/>
            <w:shd w:fill="EDEDEE"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3,442,853 </w:t>
            </w:r>
          </w:p>
        </w:tc>
        <w:tc>
          <w:tcPr>
            <w:tcW w:w="732"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6" w:type="dxa"/>
            <w:gridSpan w:val="2"/>
            <w:tcBorders/>
            <w:shd w:fill="EDEDEE"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8 </w:t>
            </w:r>
          </w:p>
        </w:tc>
        <w:tc>
          <w:tcPr>
            <w:tcW w:w="359"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5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val="false"/>
                <w:color w:val="000000"/>
                <w:sz w:val="16"/>
              </w:rPr>
              <w:t xml:space="preserve">Blackrock, Inc. </w:t>
            </w:r>
            <w:r>
              <w:rPr>
                <w:rFonts w:ascii="Arial;sans-serif" w:hAnsi="Arial;sans-serif"/>
                <w:b w:val="false"/>
                <w:color w:val="000000"/>
                <w:sz w:val="10"/>
              </w:rPr>
              <w:t>(6)</w:t>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3,423,923 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3,423,923 </w:t>
            </w:r>
          </w:p>
        </w:tc>
        <w:tc>
          <w:tcPr>
            <w:tcW w:w="7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8 </w:t>
            </w:r>
          </w:p>
        </w:tc>
        <w:tc>
          <w:tcPr>
            <w:tcW w:w="3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55" w:type="dxa"/>
            <w:gridSpan w:val="3"/>
            <w:tcBorders/>
            <w:shd w:fill="EDEDEE" w:val="clear"/>
            <w:tcMar>
              <w:top w:w="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val="false"/>
                <w:color w:val="000000"/>
                <w:sz w:val="16"/>
              </w:rPr>
              <w:t xml:space="preserve">Brown Advisory Incorporated </w:t>
            </w:r>
            <w:r>
              <w:rPr>
                <w:rFonts w:ascii="Arial;sans-serif" w:hAnsi="Arial;sans-serif"/>
                <w:b w:val="false"/>
                <w:color w:val="000000"/>
                <w:sz w:val="10"/>
              </w:rPr>
              <w:t>(7)</w:t>
            </w:r>
          </w:p>
        </w:tc>
        <w:tc>
          <w:tcPr>
            <w:tcW w:w="871" w:type="dxa"/>
            <w:gridSpan w:val="2"/>
            <w:tcBorders/>
            <w:shd w:fill="EDEDEE"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3,219,079 </w:t>
            </w:r>
          </w:p>
        </w:tc>
        <w:tc>
          <w:tcPr>
            <w:tcW w:w="228"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6" w:type="dxa"/>
            <w:gridSpan w:val="2"/>
            <w:tcBorders/>
            <w:shd w:fill="EDEDEE"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706"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3" w:type="dxa"/>
            <w:gridSpan w:val="2"/>
            <w:tcBorders/>
            <w:shd w:fill="EDEDEE"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3,219,079 </w:t>
            </w:r>
          </w:p>
        </w:tc>
        <w:tc>
          <w:tcPr>
            <w:tcW w:w="732"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6" w:type="dxa"/>
            <w:gridSpan w:val="2"/>
            <w:tcBorders/>
            <w:shd w:fill="EDEDEE"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8 </w:t>
            </w:r>
          </w:p>
        </w:tc>
        <w:tc>
          <w:tcPr>
            <w:tcW w:w="359"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5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val="false"/>
                <w:color w:val="000000"/>
                <w:sz w:val="16"/>
              </w:rPr>
              <w:t>Champlain Investment Partners, LLC</w:t>
            </w:r>
            <w:r>
              <w:rPr>
                <w:rFonts w:ascii="Arial;sans-serif" w:hAnsi="Arial;sans-serif"/>
                <w:b w:val="false"/>
                <w:color w:val="000000"/>
                <w:sz w:val="10"/>
              </w:rPr>
              <w:t>(8)</w:t>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2,720,824 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2,720,824 </w:t>
            </w:r>
          </w:p>
        </w:tc>
        <w:tc>
          <w:tcPr>
            <w:tcW w:w="7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6 </w:t>
            </w:r>
          </w:p>
        </w:tc>
        <w:tc>
          <w:tcPr>
            <w:tcW w:w="3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55" w:type="dxa"/>
            <w:gridSpan w:val="3"/>
            <w:tcBorders/>
            <w:shd w:fill="EDEDEE" w:val="clear"/>
            <w:tcMar>
              <w:top w:w="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val="false"/>
                <w:color w:val="000000"/>
                <w:sz w:val="16"/>
              </w:rPr>
              <w:t xml:space="preserve">Vanguard Group Inc. </w:t>
            </w:r>
            <w:r>
              <w:rPr>
                <w:rFonts w:ascii="Arial;sans-serif" w:hAnsi="Arial;sans-serif"/>
                <w:b w:val="false"/>
                <w:color w:val="000000"/>
                <w:sz w:val="10"/>
              </w:rPr>
              <w:t>(9)</w:t>
            </w:r>
          </w:p>
        </w:tc>
        <w:tc>
          <w:tcPr>
            <w:tcW w:w="871" w:type="dxa"/>
            <w:gridSpan w:val="2"/>
            <w:tcBorders/>
            <w:shd w:fill="EDEDEE"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2,408,810 </w:t>
            </w:r>
          </w:p>
        </w:tc>
        <w:tc>
          <w:tcPr>
            <w:tcW w:w="228"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6" w:type="dxa"/>
            <w:gridSpan w:val="2"/>
            <w:tcBorders/>
            <w:shd w:fill="EDEDEE"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706"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3" w:type="dxa"/>
            <w:gridSpan w:val="2"/>
            <w:tcBorders/>
            <w:shd w:fill="EDEDEE"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2,408,810 </w:t>
            </w:r>
          </w:p>
        </w:tc>
        <w:tc>
          <w:tcPr>
            <w:tcW w:w="732"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6" w:type="dxa"/>
            <w:gridSpan w:val="2"/>
            <w:tcBorders/>
            <w:shd w:fill="EDEDEE"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6 </w:t>
            </w:r>
          </w:p>
        </w:tc>
        <w:tc>
          <w:tcPr>
            <w:tcW w:w="359"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55" w:type="dxa"/>
            <w:gridSpan w:val="3"/>
            <w:tcBorders>
              <w:bottom w:val="single" w:sz="12" w:space="0" w:color="74A333"/>
            </w:tcBorders>
            <w:shd w:fill="FFFFFF" w:val="clear"/>
            <w:tcMar>
              <w:top w:w="0" w:type="dxa"/>
              <w:left w:w="0" w:type="dxa"/>
              <w:bottom w:w="30" w:type="dxa"/>
              <w:right w:w="0" w:type="dxa"/>
            </w:tcMar>
            <w:vAlign w:val="center"/>
          </w:tcPr>
          <w:p>
            <w:pPr>
              <w:pStyle w:val="TableContents"/>
              <w:bidi w:val="0"/>
              <w:spacing w:lineRule="auto" w:line="288" w:before="0" w:after="0"/>
              <w:jc w:val="left"/>
              <w:rPr/>
            </w:pPr>
            <w:r>
              <w:rPr>
                <w:rFonts w:ascii="Arial;sans-serif" w:hAnsi="Arial;sans-serif"/>
                <w:b w:val="false"/>
                <w:color w:val="000000"/>
                <w:sz w:val="16"/>
              </w:rPr>
              <w:t>American Century Companies Inc.</w:t>
            </w:r>
            <w:r>
              <w:rPr>
                <w:rFonts w:ascii="Arial;sans-serif" w:hAnsi="Arial;sans-serif"/>
                <w:b w:val="false"/>
                <w:color w:val="000000"/>
                <w:sz w:val="10"/>
              </w:rPr>
              <w:t>(10)</w:t>
            </w:r>
          </w:p>
        </w:tc>
        <w:tc>
          <w:tcPr>
            <w:tcW w:w="871" w:type="dxa"/>
            <w:gridSpan w:val="2"/>
            <w:tcBorders>
              <w:bottom w:val="single" w:sz="12" w:space="0" w:color="74A333"/>
            </w:tcBorders>
            <w:shd w:fill="FFFFFF" w:val="clear"/>
            <w:tcMar>
              <w:top w:w="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2,378,068 </w:t>
            </w:r>
          </w:p>
        </w:tc>
        <w:tc>
          <w:tcPr>
            <w:tcW w:w="228" w:type="dxa"/>
            <w:tcBorders>
              <w:bottom w:val="single" w:sz="12" w:space="0" w:color="74A333"/>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516" w:type="dxa"/>
            <w:gridSpan w:val="2"/>
            <w:tcBorders>
              <w:bottom w:val="single" w:sz="12" w:space="0" w:color="74A333"/>
            </w:tcBorders>
            <w:shd w:fill="FFFFFF" w:val="clear"/>
            <w:tcMar>
              <w:top w:w="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706" w:type="dxa"/>
            <w:tcBorders>
              <w:bottom w:val="single" w:sz="12" w:space="0" w:color="74A333"/>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543" w:type="dxa"/>
            <w:gridSpan w:val="2"/>
            <w:tcBorders>
              <w:bottom w:val="single" w:sz="12" w:space="0" w:color="74A333"/>
            </w:tcBorders>
            <w:shd w:fill="FFFFFF" w:val="clear"/>
            <w:tcMar>
              <w:top w:w="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2,378,068 </w:t>
            </w:r>
          </w:p>
        </w:tc>
        <w:tc>
          <w:tcPr>
            <w:tcW w:w="732" w:type="dxa"/>
            <w:tcBorders>
              <w:bottom w:val="single" w:sz="12" w:space="0" w:color="74A333"/>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716" w:type="dxa"/>
            <w:gridSpan w:val="2"/>
            <w:tcBorders>
              <w:bottom w:val="single" w:sz="12" w:space="0" w:color="74A333"/>
            </w:tcBorders>
            <w:shd w:fill="FFFFFF" w:val="clear"/>
            <w:tcMar>
              <w:top w:w="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6 </w:t>
            </w:r>
          </w:p>
        </w:tc>
        <w:tc>
          <w:tcPr>
            <w:tcW w:w="359" w:type="dxa"/>
            <w:tcBorders>
              <w:bottom w:val="single" w:sz="12" w:space="0" w:color="74A333"/>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9" w:type="dxa"/>
            <w:gridSpan w:val="3"/>
            <w:tcBorders>
              <w:bottom w:val="single" w:sz="12" w:space="0" w:color="74A333"/>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ind w:left="0" w:right="0" w:hanging="360"/>
        <w:jc w:val="left"/>
        <w:rPr>
          <w:rFonts w:ascii="Arial;sans-serif" w:hAnsi="Arial;sans-serif"/>
          <w:b w:val="false"/>
          <w:color w:val="52575F"/>
          <w:sz w:val="16"/>
        </w:rPr>
      </w:pPr>
      <w:r>
        <w:rPr>
          <w:rFonts w:ascii="Arial;sans-serif" w:hAnsi="Arial;sans-serif"/>
          <w:b w:val="false"/>
          <w:color w:val="52575F"/>
          <w:sz w:val="16"/>
        </w:rPr>
        <w:t>*Less than one percent.</w:t>
      </w:r>
    </w:p>
    <w:p>
      <w:pPr>
        <w:pStyle w:val="TextBody"/>
        <w:bidi w:val="0"/>
        <w:spacing w:lineRule="auto" w:line="288" w:before="0" w:after="120"/>
        <w:ind w:left="0" w:right="0" w:hanging="360"/>
        <w:jc w:val="left"/>
        <w:rPr>
          <w:rFonts w:ascii="Arial;sans-serif" w:hAnsi="Arial;sans-serif"/>
          <w:b w:val="false"/>
          <w:color w:val="52575F"/>
          <w:sz w:val="16"/>
        </w:rPr>
      </w:pPr>
      <w:r>
        <w:rPr>
          <w:rFonts w:ascii="Arial;sans-serif" w:hAnsi="Arial;sans-serif"/>
          <w:b w:val="false"/>
          <w:color w:val="52575F"/>
          <w:sz w:val="16"/>
        </w:rPr>
        <w:t>1.The outstanding shares of 111,933 shares of common stock are held by Jeffrey W. Dunn as Trustee of the Jeffrey W. Dunn Living Trust Dated May 17, 2012.</w:t>
      </w:r>
    </w:p>
    <w:p>
      <w:pPr>
        <w:pStyle w:val="TextBody"/>
        <w:bidi w:val="0"/>
        <w:spacing w:lineRule="auto" w:line="288" w:before="0" w:after="120"/>
        <w:ind w:left="0" w:right="0" w:hanging="360"/>
        <w:jc w:val="left"/>
        <w:rPr>
          <w:rFonts w:ascii="Arial;sans-serif" w:hAnsi="Arial;sans-serif"/>
          <w:b w:val="false"/>
          <w:color w:val="52575F"/>
          <w:sz w:val="16"/>
        </w:rPr>
      </w:pPr>
      <w:r>
        <w:rPr>
          <w:rFonts w:ascii="Arial;sans-serif" w:hAnsi="Arial;sans-serif"/>
          <w:b w:val="false"/>
          <w:color w:val="52575F"/>
          <w:sz w:val="16"/>
        </w:rPr>
        <w:t>2.The outstanding shares consist of (i) 103,899 shares of common stock held by the John Freund Family Partnership IV, L.P. (the “Family Partnership”) and (ii) 25,835 shares held by Dr. Freund. Dr. Freund disclaims beneficial ownership of the shares held by the Family Partnership, except to the extent of his pecuniary interest therein.</w:t>
      </w:r>
    </w:p>
    <w:p>
      <w:pPr>
        <w:pStyle w:val="TextBody"/>
        <w:bidi w:val="0"/>
        <w:spacing w:lineRule="auto" w:line="288" w:before="0" w:after="120"/>
        <w:ind w:left="0" w:right="0" w:hanging="360"/>
        <w:jc w:val="left"/>
        <w:rPr>
          <w:rFonts w:ascii="Arial;sans-serif" w:hAnsi="Arial;sans-serif"/>
          <w:b w:val="false"/>
          <w:color w:val="52575F"/>
          <w:sz w:val="16"/>
        </w:rPr>
      </w:pPr>
      <w:r>
        <w:rPr>
          <w:rFonts w:ascii="Arial;sans-serif" w:hAnsi="Arial;sans-serif"/>
          <w:b w:val="false"/>
          <w:color w:val="52575F"/>
          <w:sz w:val="16"/>
        </w:rPr>
        <w:t>3.The outstanding shares consist of (i) 84,584 shares of common stock held by Mr. Hinckley and (ii) 75,603 shares of common stock held by Gregory K. Hinckley and Mary C. Hinckley as Community Property with the Right of Survivorship.</w:t>
      </w:r>
    </w:p>
    <w:p>
      <w:pPr>
        <w:pStyle w:val="TextBody"/>
        <w:bidi w:val="0"/>
        <w:spacing w:lineRule="auto" w:line="288" w:before="0" w:after="120"/>
        <w:ind w:left="0" w:right="0" w:hanging="360"/>
        <w:jc w:val="left"/>
        <w:rPr>
          <w:rFonts w:ascii="Arial;sans-serif" w:hAnsi="Arial;sans-serif"/>
          <w:b w:val="false"/>
          <w:color w:val="52575F"/>
          <w:sz w:val="16"/>
        </w:rPr>
      </w:pPr>
      <w:r>
        <w:rPr>
          <w:rFonts w:ascii="Arial;sans-serif" w:hAnsi="Arial;sans-serif"/>
          <w:b w:val="false"/>
          <w:color w:val="52575F"/>
          <w:sz w:val="16"/>
        </w:rPr>
        <w:t>4.The outstanding shares consist of (i) 341,462 shares of common stock held by the David T and Laura A Francis Joint Revocable Trust and (ii) 63,774 shares held by Ms. Francis.</w:t>
      </w:r>
    </w:p>
    <w:p>
      <w:pPr>
        <w:pStyle w:val="TextBody"/>
        <w:bidi w:val="0"/>
        <w:spacing w:lineRule="auto" w:line="288" w:before="0" w:after="120"/>
        <w:ind w:left="0" w:right="0" w:hanging="360"/>
        <w:jc w:val="left"/>
        <w:rPr>
          <w:rFonts w:ascii="Arial;sans-serif" w:hAnsi="Arial;sans-serif"/>
          <w:b w:val="false"/>
          <w:color w:val="52575F"/>
          <w:sz w:val="16"/>
        </w:rPr>
      </w:pPr>
      <w:r>
        <w:rPr>
          <w:rFonts w:ascii="Arial;sans-serif" w:hAnsi="Arial;sans-serif"/>
          <w:b w:val="false"/>
          <w:color w:val="52575F"/>
          <w:sz w:val="16"/>
        </w:rPr>
        <w:t>5.Based on a Schedule 13F filed on February 14, 2025, reporting beneficial ownership as of December 31, 2024. OrbiMed Advisors LLC has sole voting power over 473,353 and no voting power over 2,969,500. The address for OrbiMed Advisors LLC is 601 Lexington Avenue, 54th Floor, New York, New York 10022.</w:t>
      </w:r>
    </w:p>
    <w:p>
      <w:pPr>
        <w:pStyle w:val="TextBody"/>
        <w:bidi w:val="0"/>
        <w:spacing w:lineRule="auto" w:line="288" w:before="0" w:after="120"/>
        <w:ind w:left="0" w:right="0" w:hanging="360"/>
        <w:jc w:val="left"/>
        <w:rPr>
          <w:rFonts w:ascii="Arial;sans-serif" w:hAnsi="Arial;sans-serif"/>
          <w:b w:val="false"/>
          <w:color w:val="52575F"/>
          <w:sz w:val="16"/>
        </w:rPr>
      </w:pPr>
      <w:r>
        <w:rPr>
          <w:rFonts w:ascii="Arial;sans-serif" w:hAnsi="Arial;sans-serif"/>
          <w:b w:val="false"/>
          <w:color w:val="52575F"/>
          <w:sz w:val="16"/>
        </w:rPr>
        <w:t>6.Based on a Schedule 13G filed on April 17, 2025, reporting beneficial ownership as of March 31, 2025. Blackrock, Inc. has sole voting power over 3,375,225 of these shares and sole dispositive power over 3,423,923 of these shares. The address for Blackrock, Inc. is 50 Hudson Yards, New York, New York 10001.</w:t>
      </w:r>
    </w:p>
    <w:p>
      <w:pPr>
        <w:pStyle w:val="TextBody"/>
        <w:bidi w:val="0"/>
        <w:spacing w:lineRule="auto" w:line="288" w:before="0" w:after="120"/>
        <w:ind w:left="0" w:right="0" w:hanging="360"/>
        <w:jc w:val="left"/>
        <w:rPr>
          <w:rFonts w:ascii="Arial;sans-serif" w:hAnsi="Arial;sans-serif"/>
          <w:b w:val="false"/>
          <w:color w:val="52575F"/>
          <w:sz w:val="16"/>
        </w:rPr>
      </w:pPr>
      <w:r>
        <w:rPr>
          <w:rFonts w:ascii="Arial;sans-serif" w:hAnsi="Arial;sans-serif"/>
          <w:b w:val="false"/>
          <w:color w:val="52575F"/>
          <w:sz w:val="16"/>
        </w:rPr>
        <w:t>7.Based on a Schedule 13G filed on April 18, 2025, reporting beneficial ownership as of March 31, 2025. Brown Advisory Incorporated has sole voting power over 2,669,868 of these shares and shared dispositive power over 3,219,079 of these shares. The address for Brown Advisory Incorporated is 901 South Bond Street, Suite 400, Baltimore, Maryland 21231.</w:t>
      </w:r>
    </w:p>
    <w:p>
      <w:pPr>
        <w:pStyle w:val="TextBody"/>
        <w:bidi w:val="0"/>
        <w:spacing w:lineRule="auto" w:line="288" w:before="0" w:after="120"/>
        <w:ind w:left="0" w:right="0" w:hanging="360"/>
        <w:jc w:val="left"/>
        <w:rPr>
          <w:rFonts w:ascii="Arial;sans-serif" w:hAnsi="Arial;sans-serif"/>
          <w:b w:val="false"/>
          <w:color w:val="52575F"/>
          <w:sz w:val="16"/>
        </w:rPr>
      </w:pPr>
      <w:r>
        <w:rPr>
          <w:rFonts w:ascii="Arial;sans-serif" w:hAnsi="Arial;sans-serif"/>
          <w:b w:val="false"/>
          <w:color w:val="52575F"/>
          <w:sz w:val="16"/>
        </w:rPr>
        <w:t>8.Based on a Schedule 13F filed on February 13, 2025, reporting beneficial ownership as of December 31, 2024. Champlain Investment Partners, LLC has sole voting power over 1,836,579 of these shares and no voting power over 884,245 of these shares. The address for Champlain Investment Partners, LLC is 180 Battery Street, Suite 400, Burlington, Vermont 05401.</w:t>
      </w:r>
    </w:p>
    <w:p>
      <w:pPr>
        <w:pStyle w:val="TextBody"/>
        <w:bidi w:val="0"/>
        <w:spacing w:lineRule="auto" w:line="288" w:before="0" w:after="120"/>
        <w:ind w:left="0" w:right="0" w:hanging="360"/>
        <w:jc w:val="left"/>
        <w:rPr>
          <w:rFonts w:ascii="Arial;sans-serif" w:hAnsi="Arial;sans-serif"/>
          <w:b w:val="false"/>
          <w:color w:val="52575F"/>
          <w:sz w:val="16"/>
        </w:rPr>
      </w:pPr>
      <w:r>
        <w:rPr>
          <w:rFonts w:ascii="Arial;sans-serif" w:hAnsi="Arial;sans-serif"/>
          <w:b w:val="false"/>
          <w:color w:val="52575F"/>
          <w:sz w:val="16"/>
        </w:rPr>
        <w:t>9.Based on a Schedule 13F filed on February 11, 2025, reporting beneficial ownership as of December 31, 2024. Vanguard Group Inc has shared voting power over 65,918 shares and no voting power over 2,342,892 shares. The address for Vanguard Group Inc is 100 Vanguard Boulevard, Malvern, Pennsylvania 19355.</w:t>
      </w:r>
    </w:p>
    <w:p>
      <w:pPr>
        <w:pStyle w:val="TextBody"/>
        <w:bidi w:val="0"/>
        <w:spacing w:lineRule="auto" w:line="288" w:before="0" w:after="300"/>
        <w:ind w:left="0" w:right="0" w:hanging="360"/>
        <w:jc w:val="left"/>
        <w:rPr>
          <w:rFonts w:ascii="Arial;sans-serif" w:hAnsi="Arial;sans-serif"/>
          <w:b w:val="false"/>
          <w:color w:val="52575F"/>
          <w:sz w:val="16"/>
        </w:rPr>
      </w:pPr>
      <w:r>
        <w:rPr>
          <w:rFonts w:ascii="Arial;sans-serif" w:hAnsi="Arial;sans-serif"/>
          <w:b w:val="false"/>
          <w:color w:val="52575F"/>
          <w:sz w:val="16"/>
        </w:rPr>
        <w:t>10.Based on a Schedule 13F filed on February 11, 2025, reporting beneficial ownership as of December 31, 2024. American Century Companies, Inc. has sole voting power over 1,977,348 of these shares and shared voting power over 400,720 of these shares. The address for American Century Companies, Inc. is 4500 Main Street, Kansas City, Missouri 64111.</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739140"/>
                <wp:effectExtent l="0" t="0" r="0" b="0"/>
                <wp:wrapNone/>
                <wp:docPr id="42" name="Frame26"/>
                <a:graphic xmlns:a="http://schemas.openxmlformats.org/drawingml/2006/main">
                  <a:graphicData uri="http://schemas.microsoft.com/office/word/2010/wordprocessingShape">
                    <wps:wsp>
                      <wps:cNvSpPr txBox="1"/>
                      <wps:spPr>
                        <a:xfrm>
                          <a:off x="0" y="0"/>
                          <a:ext cx="6480175" cy="739140"/>
                        </a:xfrm>
                        <a:prstGeom prst="rect"/>
                        <a:solidFill>
                          <a:srgbClr val="FFFFFF"/>
                        </a:solidFill>
                      </wps:spPr>
                      <wps:txbx>
                        <w:txbxContent>
                          <w:tbl>
                            <w:tblPr>
                              <w:tblW w:w="3266" w:type="dxa"/>
                              <w:jc w:val="center"/>
                              <w:tblInd w:w="0" w:type="dxa"/>
                              <w:tblLayout w:type="fixed"/>
                              <w:tblCellMar>
                                <w:top w:w="28" w:type="dxa"/>
                                <w:left w:w="28" w:type="dxa"/>
                                <w:bottom w:w="28" w:type="dxa"/>
                                <w:right w:w="28" w:type="dxa"/>
                              </w:tblCellMar>
                            </w:tblPr>
                            <w:tblGrid>
                              <w:gridCol w:w="424"/>
                              <w:gridCol w:w="372"/>
                              <w:gridCol w:w="374"/>
                              <w:gridCol w:w="109"/>
                              <w:gridCol w:w="109"/>
                              <w:gridCol w:w="109"/>
                              <w:gridCol w:w="517"/>
                              <w:gridCol w:w="517"/>
                              <w:gridCol w:w="735"/>
                            </w:tblGrid>
                            <w:tr>
                              <w:trPr/>
                              <w:tc>
                                <w:tcPr>
                                  <w:tcW w:w="424"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r>
                            <w:tr>
                              <w:trPr/>
                              <w:tc>
                                <w:tcPr>
                                  <w:tcW w:w="1170"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6"/>
                                    </w:rPr>
                                  </w:pPr>
                                  <w:r>
                                    <w:rPr>
                                      <w:rFonts w:ascii="Arial;sans-serif" w:hAnsi="Arial;sans-serif"/>
                                      <w:b/>
                                      <w:color w:val="000000"/>
                                      <w:sz w:val="16"/>
                                    </w:rPr>
                                    <w:t>SI-BONE, Inc.</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000000"/>
                                      <w:sz w:val="16"/>
                                    </w:rPr>
                                  </w:pPr>
                                  <w:r>
                                    <w:rPr>
                                      <w:rFonts w:ascii="Arial;sans-serif" w:hAnsi="Arial;sans-serif"/>
                                      <w:b/>
                                      <w:color w:val="000000"/>
                                      <w:sz w:val="16"/>
                                    </w:rPr>
                                    <w:t>21</w:t>
                                  </w:r>
                                </w:p>
                              </w:tc>
                              <w:tc>
                                <w:tcPr>
                                  <w:tcW w:w="176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2025 Proxy Statement</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2pt;mso-wrap-distance-left:0pt;mso-wrap-distance-right:0pt;mso-wrap-distance-top:0pt;mso-wrap-distance-bottom:0pt;margin-top:0pt;mso-position-vertical:top;mso-position-vertical-relative:text;margin-left:0pt;mso-position-horizontal:left;mso-position-horizontal-relative:text">
                <v:textbox>
                  <w:txbxContent>
                    <w:tbl>
                      <w:tblPr>
                        <w:tblW w:w="3266" w:type="dxa"/>
                        <w:jc w:val="center"/>
                        <w:tblInd w:w="0" w:type="dxa"/>
                        <w:tblLayout w:type="fixed"/>
                        <w:tblCellMar>
                          <w:top w:w="28" w:type="dxa"/>
                          <w:left w:w="28" w:type="dxa"/>
                          <w:bottom w:w="28" w:type="dxa"/>
                          <w:right w:w="28" w:type="dxa"/>
                        </w:tblCellMar>
                      </w:tblPr>
                      <w:tblGrid>
                        <w:gridCol w:w="424"/>
                        <w:gridCol w:w="372"/>
                        <w:gridCol w:w="374"/>
                        <w:gridCol w:w="109"/>
                        <w:gridCol w:w="109"/>
                        <w:gridCol w:w="109"/>
                        <w:gridCol w:w="517"/>
                        <w:gridCol w:w="517"/>
                        <w:gridCol w:w="735"/>
                      </w:tblGrid>
                      <w:tr>
                        <w:trPr/>
                        <w:tc>
                          <w:tcPr>
                            <w:tcW w:w="424"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r>
                      <w:tr>
                        <w:trPr/>
                        <w:tc>
                          <w:tcPr>
                            <w:tcW w:w="1170"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6"/>
                              </w:rPr>
                            </w:pPr>
                            <w:r>
                              <w:rPr>
                                <w:rFonts w:ascii="Arial;sans-serif" w:hAnsi="Arial;sans-serif"/>
                                <w:b/>
                                <w:color w:val="000000"/>
                                <w:sz w:val="16"/>
                              </w:rPr>
                              <w:t>SI-BONE, Inc.</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000000"/>
                                <w:sz w:val="16"/>
                              </w:rPr>
                            </w:pPr>
                            <w:r>
                              <w:rPr>
                                <w:rFonts w:ascii="Arial;sans-serif" w:hAnsi="Arial;sans-serif"/>
                                <w:b/>
                                <w:color w:val="000000"/>
                                <w:sz w:val="16"/>
                              </w:rPr>
                              <w:t>21</w:t>
                            </w:r>
                          </w:p>
                        </w:tc>
                        <w:tc>
                          <w:tcPr>
                            <w:tcW w:w="176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2025 Proxy Statement</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right"/>
        <w:rPr>
          <w:rFonts w:ascii="Arial;sans-serif" w:hAnsi="Arial;sans-serif"/>
          <w:b w:val="false"/>
          <w:color w:val="000000"/>
          <w:sz w:val="16"/>
        </w:rPr>
      </w:pPr>
      <w:r>
        <w:rPr>
          <w:rFonts w:ascii="Arial;sans-serif" w:hAnsi="Arial;sans-serif"/>
          <w:b w:val="false"/>
          <w:color w:val="000000"/>
          <w:sz w:val="16"/>
        </w:rPr>
        <w:t>Table of Contents</w:t>
      </w:r>
    </w:p>
    <w:p>
      <w:pPr>
        <w:pStyle w:val="TextBody"/>
        <w:bidi w:val="0"/>
        <w:spacing w:lineRule="auto" w:line="288" w:before="0" w:after="0"/>
        <w:jc w:val="left"/>
        <w:rPr>
          <w:rFonts w:ascii="Arial;sans-serif" w:hAnsi="Arial;sans-serif"/>
          <w:b/>
          <w:color w:val="000000"/>
          <w:sz w:val="56"/>
        </w:rPr>
      </w:pPr>
      <w:r>
        <w:rPr>
          <w:rFonts w:ascii="Arial;sans-serif" w:hAnsi="Arial;sans-serif"/>
          <w:b/>
          <w:color w:val="000000"/>
          <w:sz w:val="56"/>
        </w:rPr>
        <w:t>Management</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12" w:before="0" w:after="180"/>
        <w:jc w:val="left"/>
        <w:rPr>
          <w:rFonts w:ascii="Arial;sans-serif" w:hAnsi="Arial;sans-serif"/>
          <w:b w:val="false"/>
          <w:color w:val="000000"/>
          <w:sz w:val="18"/>
        </w:rPr>
      </w:pPr>
      <w:r>
        <w:rPr>
          <w:rFonts w:ascii="Arial;sans-serif" w:hAnsi="Arial;sans-serif"/>
          <w:b w:val="false"/>
          <w:color w:val="000000"/>
          <w:sz w:val="18"/>
        </w:rPr>
        <w:t>The following table sets forth certain information with respect to our executive officers as of April 25, 2025.</w:t>
      </w:r>
    </w:p>
    <w:tbl>
      <w:tblPr>
        <w:tblW w:w="5101" w:type="dxa"/>
        <w:jc w:val="left"/>
        <w:tblInd w:w="0" w:type="dxa"/>
        <w:tblLayout w:type="fixed"/>
        <w:tblCellMar>
          <w:top w:w="28" w:type="dxa"/>
          <w:left w:w="28" w:type="dxa"/>
          <w:bottom w:w="28" w:type="dxa"/>
          <w:right w:w="28" w:type="dxa"/>
        </w:tblCellMar>
      </w:tblPr>
      <w:tblGrid>
        <w:gridCol w:w="650"/>
        <w:gridCol w:w="568"/>
        <w:gridCol w:w="582"/>
        <w:gridCol w:w="140"/>
        <w:gridCol w:w="140"/>
        <w:gridCol w:w="141"/>
        <w:gridCol w:w="840"/>
        <w:gridCol w:w="840"/>
        <w:gridCol w:w="1200"/>
      </w:tblGrid>
      <w:tr>
        <w:trPr/>
        <w:tc>
          <w:tcPr>
            <w:tcW w:w="650"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c>
          <w:tcPr>
            <w:tcW w:w="582"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840" w:type="dxa"/>
            <w:tcBorders/>
            <w:vAlign w:val="center"/>
          </w:tcPr>
          <w:p>
            <w:pPr>
              <w:pStyle w:val="TableContents"/>
              <w:bidi w:val="0"/>
              <w:spacing w:before="0" w:after="283"/>
              <w:jc w:val="left"/>
              <w:rPr>
                <w:sz w:val="4"/>
                <w:szCs w:val="4"/>
              </w:rPr>
            </w:pPr>
            <w:r>
              <w:rPr>
                <w:sz w:val="4"/>
                <w:szCs w:val="4"/>
              </w:rPr>
            </w:r>
          </w:p>
        </w:tc>
        <w:tc>
          <w:tcPr>
            <w:tcW w:w="840" w:type="dxa"/>
            <w:tcBorders/>
            <w:vAlign w:val="center"/>
          </w:tcPr>
          <w:p>
            <w:pPr>
              <w:pStyle w:val="TableContents"/>
              <w:bidi w:val="0"/>
              <w:spacing w:before="0" w:after="283"/>
              <w:jc w:val="left"/>
              <w:rPr>
                <w:sz w:val="4"/>
                <w:szCs w:val="4"/>
              </w:rPr>
            </w:pPr>
            <w:r>
              <w:rPr>
                <w:sz w:val="4"/>
                <w:szCs w:val="4"/>
              </w:rPr>
            </w:r>
          </w:p>
        </w:tc>
        <w:tc>
          <w:tcPr>
            <w:tcW w:w="1200" w:type="dxa"/>
            <w:tcBorders/>
            <w:vAlign w:val="center"/>
          </w:tcPr>
          <w:p>
            <w:pPr>
              <w:pStyle w:val="TableContents"/>
              <w:bidi w:val="0"/>
              <w:spacing w:before="0" w:after="283"/>
              <w:jc w:val="left"/>
              <w:rPr>
                <w:sz w:val="4"/>
                <w:szCs w:val="4"/>
              </w:rPr>
            </w:pPr>
            <w:r>
              <w:rPr>
                <w:sz w:val="4"/>
                <w:szCs w:val="4"/>
              </w:rPr>
            </w:r>
          </w:p>
        </w:tc>
      </w:tr>
      <w:tr>
        <w:trPr/>
        <w:tc>
          <w:tcPr>
            <w:tcW w:w="180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6"/>
              </w:rPr>
            </w:pPr>
            <w:r>
              <w:rPr>
                <w:rFonts w:ascii="Arial;sans-serif" w:hAnsi="Arial;sans-serif"/>
                <w:b/>
                <w:color w:val="000000"/>
                <w:sz w:val="16"/>
              </w:rPr>
              <w:t>Name</w:t>
            </w:r>
          </w:p>
        </w:tc>
        <w:tc>
          <w:tcPr>
            <w:tcW w:w="42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Age</w:t>
            </w:r>
          </w:p>
        </w:tc>
        <w:tc>
          <w:tcPr>
            <w:tcW w:w="288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6"/>
              </w:rPr>
            </w:pPr>
            <w:r>
              <w:rPr>
                <w:rFonts w:ascii="Arial;sans-serif" w:hAnsi="Arial;sans-serif"/>
                <w:b/>
                <w:color w:val="000000"/>
                <w:sz w:val="16"/>
              </w:rPr>
              <w:t>Position</w:t>
            </w:r>
          </w:p>
        </w:tc>
      </w:tr>
      <w:tr>
        <w:trPr/>
        <w:tc>
          <w:tcPr>
            <w:tcW w:w="18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0" w:type="dxa"/>
            <w:gridSpan w:val="3"/>
            <w:tcBorders/>
            <w:shd w:fill="EDEDEE"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74A333"/>
                <w:sz w:val="16"/>
              </w:rPr>
            </w:pPr>
            <w:r>
              <w:rPr>
                <w:rFonts w:ascii="Arial;sans-serif" w:hAnsi="Arial;sans-serif"/>
                <w:b/>
                <w:color w:val="74A333"/>
                <w:sz w:val="16"/>
              </w:rPr>
              <w:t xml:space="preserve">Laura A. Francis </w:t>
            </w:r>
          </w:p>
        </w:tc>
        <w:tc>
          <w:tcPr>
            <w:tcW w:w="421" w:type="dxa"/>
            <w:gridSpan w:val="3"/>
            <w:tcBorders/>
            <w:shd w:fill="EDEDEE"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58</w:t>
            </w:r>
          </w:p>
        </w:tc>
        <w:tc>
          <w:tcPr>
            <w:tcW w:w="2880" w:type="dxa"/>
            <w:gridSpan w:val="3"/>
            <w:tcBorders/>
            <w:shd w:fill="EDEDEE"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 xml:space="preserve">Chief Executive Officer </w:t>
            </w:r>
          </w:p>
        </w:tc>
      </w:tr>
      <w:tr>
        <w:trPr/>
        <w:tc>
          <w:tcPr>
            <w:tcW w:w="18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74A333"/>
                <w:sz w:val="16"/>
              </w:rPr>
            </w:pPr>
            <w:r>
              <w:rPr>
                <w:rFonts w:ascii="Arial;sans-serif" w:hAnsi="Arial;sans-serif"/>
                <w:b/>
                <w:color w:val="74A333"/>
                <w:sz w:val="16"/>
              </w:rPr>
              <w:t>Anshul Maheshwari</w:t>
            </w:r>
          </w:p>
        </w:tc>
        <w:tc>
          <w:tcPr>
            <w:tcW w:w="42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45</w:t>
            </w:r>
          </w:p>
        </w:tc>
        <w:tc>
          <w:tcPr>
            <w:tcW w:w="28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Chief Financial Officer</w:t>
            </w:r>
          </w:p>
        </w:tc>
      </w:tr>
      <w:tr>
        <w:trPr/>
        <w:tc>
          <w:tcPr>
            <w:tcW w:w="1800" w:type="dxa"/>
            <w:gridSpan w:val="3"/>
            <w:tcBorders/>
            <w:shd w:fill="EDEDEE"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74A333"/>
                <w:sz w:val="16"/>
              </w:rPr>
            </w:pPr>
            <w:r>
              <w:rPr>
                <w:rFonts w:ascii="Arial;sans-serif" w:hAnsi="Arial;sans-serif"/>
                <w:b/>
                <w:color w:val="74A333"/>
                <w:sz w:val="16"/>
              </w:rPr>
              <w:t>Anthony J. Recupero</w:t>
            </w:r>
          </w:p>
        </w:tc>
        <w:tc>
          <w:tcPr>
            <w:tcW w:w="421" w:type="dxa"/>
            <w:gridSpan w:val="3"/>
            <w:tcBorders/>
            <w:shd w:fill="EDEDEE"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66</w:t>
            </w:r>
          </w:p>
        </w:tc>
        <w:tc>
          <w:tcPr>
            <w:tcW w:w="2880" w:type="dxa"/>
            <w:gridSpan w:val="3"/>
            <w:tcBorders/>
            <w:shd w:fill="EDEDEE"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President, Commercial Operations</w:t>
            </w:r>
          </w:p>
        </w:tc>
      </w:tr>
      <w:tr>
        <w:trPr/>
        <w:tc>
          <w:tcPr>
            <w:tcW w:w="1800" w:type="dxa"/>
            <w:gridSpan w:val="3"/>
            <w:tcBorders>
              <w:bottom w:val="single" w:sz="12" w:space="0" w:color="74A333"/>
            </w:tcBorders>
            <w:shd w:fill="FFFFFF" w:val="clear"/>
            <w:tcMar>
              <w:top w:w="0" w:type="dxa"/>
              <w:left w:w="0" w:type="dxa"/>
              <w:bottom w:w="30" w:type="dxa"/>
              <w:right w:w="0" w:type="dxa"/>
            </w:tcMar>
            <w:vAlign w:val="center"/>
          </w:tcPr>
          <w:p>
            <w:pPr>
              <w:pStyle w:val="TableContents"/>
              <w:bidi w:val="0"/>
              <w:spacing w:lineRule="auto" w:line="288" w:before="0" w:after="283"/>
              <w:jc w:val="left"/>
              <w:rPr>
                <w:rFonts w:ascii="Arial;sans-serif" w:hAnsi="Arial;sans-serif"/>
                <w:b/>
                <w:color w:val="74A333"/>
                <w:sz w:val="16"/>
              </w:rPr>
            </w:pPr>
            <w:r>
              <w:rPr>
                <w:rFonts w:ascii="Arial;sans-serif" w:hAnsi="Arial;sans-serif"/>
                <w:b/>
                <w:color w:val="74A333"/>
                <w:sz w:val="16"/>
              </w:rPr>
              <w:t>Michael A. Pisetsky</w:t>
            </w:r>
          </w:p>
        </w:tc>
        <w:tc>
          <w:tcPr>
            <w:tcW w:w="421" w:type="dxa"/>
            <w:gridSpan w:val="3"/>
            <w:tcBorders>
              <w:bottom w:val="single" w:sz="12" w:space="0" w:color="74A333"/>
            </w:tcBorders>
            <w:shd w:fill="FFFFFF" w:val="clear"/>
            <w:tcMar>
              <w:top w:w="0" w:type="dxa"/>
              <w:left w:w="0" w:type="dxa"/>
              <w:bottom w:w="3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47</w:t>
            </w:r>
          </w:p>
        </w:tc>
        <w:tc>
          <w:tcPr>
            <w:tcW w:w="2880" w:type="dxa"/>
            <w:gridSpan w:val="3"/>
            <w:tcBorders>
              <w:bottom w:val="single" w:sz="12" w:space="0" w:color="74A333"/>
            </w:tcBorders>
            <w:shd w:fill="FFFFFF" w:val="clear"/>
            <w:tcMar>
              <w:top w:w="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Chief Business &amp; Legal Affairs Officer</w:t>
            </w:r>
          </w:p>
        </w:tc>
      </w:tr>
    </w:tbl>
    <w:p>
      <w:pPr>
        <w:pStyle w:val="TextBody"/>
        <w:bidi w:val="0"/>
        <w:spacing w:lineRule="auto" w:line="312" w:before="0" w:after="180"/>
        <w:jc w:val="left"/>
        <w:rPr>
          <w:rFonts w:ascii="Arial;sans-serif" w:hAnsi="Arial;sans-serif"/>
          <w:b w:val="false"/>
          <w:color w:val="000000"/>
          <w:sz w:val="18"/>
        </w:rPr>
      </w:pPr>
      <w:r>
        <w:rPr>
          <w:rFonts w:ascii="Arial;sans-serif" w:hAnsi="Arial;sans-serif"/>
          <w:b w:val="false"/>
          <w:color w:val="000000"/>
          <w:sz w:val="18"/>
        </w:rPr>
        <w:t>For Ms. Francis’s biography, see “Proposal No. 1 - Election of Directors” above.</w:t>
      </w:r>
    </w:p>
    <w:p>
      <w:pPr>
        <w:pStyle w:val="TextBody"/>
        <w:bidi w:val="0"/>
        <w:spacing w:lineRule="auto" w:line="312" w:before="0" w:after="180"/>
        <w:jc w:val="left"/>
        <w:rPr/>
      </w:pPr>
      <w:r>
        <w:rPr>
          <w:rFonts w:ascii="Arial;sans-serif" w:hAnsi="Arial;sans-serif"/>
          <w:b/>
          <w:color w:val="000000"/>
          <w:sz w:val="18"/>
        </w:rPr>
        <w:t>Anshul Maheshwari</w:t>
      </w:r>
      <w:r>
        <w:rPr>
          <w:color w:val="000000"/>
        </w:rPr>
        <w:t xml:space="preserve"> </w:t>
      </w:r>
      <w:r>
        <w:rPr>
          <w:rFonts w:ascii="Arial;sans-serif" w:hAnsi="Arial;sans-serif"/>
          <w:b w:val="false"/>
          <w:color w:val="000000"/>
          <w:sz w:val="18"/>
        </w:rPr>
        <w:t>has served as our Chief Financial Officer since April 2021. In addition to managing the finance functions, Mr. Maheshwari also oversees the company's supply chain and operations organization. Prior to joining us, Mr. Maheshwari was Vice President of Finance, Head of Investor Relations and Treasurer at Varian Medical Systems, where he was responsible for and led finance transformation and built finance infrastructure to support growth for a leading, global cancer platform, from June 2018 to April 2021. In April 2013, Mr. Maheshwari joined Bechtel Corporation, the largest U.S.-headquartered engineering and construction company, initially as Manager of Investments and was promoted in June 2014 to Assistant Treasurer responsible for a centralized team managing banking and capital markets, investments, cash management and foreign exchange operations before departing Bechtel in June 2018. From November 2004 to March 2013, Mr. Maheshwari held various roles in Corporate and Investment Banking at Bank of America Merrill Lynch. Mr. Maheshwari received his BCom from H.R. College of Commerce and his M.B.A. from Boston College, Carroll Graduate School of Management.</w:t>
      </w:r>
    </w:p>
    <w:p>
      <w:pPr>
        <w:pStyle w:val="TextBody"/>
        <w:bidi w:val="0"/>
        <w:spacing w:lineRule="auto" w:line="312" w:before="0" w:after="180"/>
        <w:jc w:val="left"/>
        <w:rPr/>
      </w:pPr>
      <w:r>
        <w:rPr>
          <w:rFonts w:ascii="Arial;sans-serif" w:hAnsi="Arial;sans-serif"/>
          <w:b/>
          <w:color w:val="000000"/>
          <w:sz w:val="18"/>
        </w:rPr>
        <w:t>Anthony J. Recupero</w:t>
      </w:r>
      <w:r>
        <w:rPr>
          <w:color w:val="000000"/>
        </w:rPr>
        <w:t xml:space="preserve"> </w:t>
      </w:r>
      <w:r>
        <w:rPr>
          <w:rFonts w:ascii="Arial;sans-serif" w:hAnsi="Arial;sans-serif"/>
          <w:b w:val="false"/>
          <w:color w:val="000000"/>
          <w:sz w:val="18"/>
        </w:rPr>
        <w:t>has served as our President, Commercial Operations since April 2021, and previously served as our Chief Commercial Officer since July 2016. Prior to joining us, Mr. Recupero was the President of Catalyst Performance Advisors, LLC, where he advised leading medical device companies on commercial strategy from June 2013 to July 2016. In July 2008, Mr. Recupero joined Baxano, Inc., a medical device company with minimally invasive products to treat degenerative conditions of the spine affecting the lumbar region, initially as Vice President of Sales and Marketing and was promoted in February 2009 to President and Chief Executive Officer until its acquisition by TranS1 in June 2013. From January 2005 to July 2008, Mr. Recupero was President of Recupero Consulting Group, LLC, where he advised leading medical device companies on commercial strategy. From October 1999 to December 2004, Mr. Recupero was the Vice President of Sales for Kyphon. Early in his career, Mr. Recupero progressed to senior sales management roles at United States Surgical Corporation and Sulzer Spine-Tech, Inc. Mr. Recupero received a B.A. in Communications from State University of New York at Albany.</w:t>
      </w:r>
    </w:p>
    <w:p>
      <w:pPr>
        <w:pStyle w:val="TextBody"/>
        <w:bidi w:val="0"/>
        <w:spacing w:lineRule="auto" w:line="312" w:before="0" w:after="180"/>
        <w:jc w:val="left"/>
        <w:rPr/>
      </w:pPr>
      <w:r>
        <w:rPr>
          <w:rFonts w:ascii="Arial;sans-serif" w:hAnsi="Arial;sans-serif"/>
          <w:b/>
          <w:color w:val="000000"/>
          <w:sz w:val="18"/>
        </w:rPr>
        <w:t>Michael A. Pisetsky</w:t>
      </w:r>
      <w:r>
        <w:rPr>
          <w:color w:val="000000"/>
        </w:rPr>
        <w:t xml:space="preserve"> </w:t>
      </w:r>
      <w:r>
        <w:rPr>
          <w:rFonts w:ascii="Arial;sans-serif" w:hAnsi="Arial;sans-serif"/>
          <w:b w:val="false"/>
          <w:color w:val="000000"/>
          <w:sz w:val="18"/>
        </w:rPr>
        <w:t>has served as our Chief Business &amp; Legal Affairs Officer since April 2023. In this role, Mr. Pisetsky oversees SI-BONE’s Legal, Compliance, IT and People &amp; Culture organizations, and is a member of the Company’s Senior Leadership Team. He also serves as the chief advisor on all legal, transactional, and administrative matters to the management team and board of directors. Prior to this role, Mr. Pisetsky held increasingly senior management roles with the company, including most recently serving as the Company’s General Counsel and Chief Compliance Officer since March 2015. Prior to joiningus, Mr. Pisetsky was an attorney in the Business Department at Cooley LLP in Palo Alto and practiced law independently for several years as well. Mr. Pisetsky received his B.A. from Harvard College and his J.D. and M.B.A. from Duke University.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739140"/>
                <wp:effectExtent l="0" t="0" r="0" b="0"/>
                <wp:wrapNone/>
                <wp:docPr id="43" name="Frame27"/>
                <a:graphic xmlns:a="http://schemas.openxmlformats.org/drawingml/2006/main">
                  <a:graphicData uri="http://schemas.microsoft.com/office/word/2010/wordprocessingShape">
                    <wps:wsp>
                      <wps:cNvSpPr txBox="1"/>
                      <wps:spPr>
                        <a:xfrm>
                          <a:off x="0" y="0"/>
                          <a:ext cx="6480175" cy="739140"/>
                        </a:xfrm>
                        <a:prstGeom prst="rect"/>
                        <a:solidFill>
                          <a:srgbClr val="FFFFFF"/>
                        </a:solidFill>
                      </wps:spPr>
                      <wps:txbx>
                        <w:txbxContent>
                          <w:tbl>
                            <w:tblPr>
                              <w:tblW w:w="3266" w:type="dxa"/>
                              <w:jc w:val="center"/>
                              <w:tblInd w:w="0" w:type="dxa"/>
                              <w:tblLayout w:type="fixed"/>
                              <w:tblCellMar>
                                <w:top w:w="28" w:type="dxa"/>
                                <w:left w:w="28" w:type="dxa"/>
                                <w:bottom w:w="28" w:type="dxa"/>
                                <w:right w:w="28" w:type="dxa"/>
                              </w:tblCellMar>
                            </w:tblPr>
                            <w:tblGrid>
                              <w:gridCol w:w="424"/>
                              <w:gridCol w:w="372"/>
                              <w:gridCol w:w="374"/>
                              <w:gridCol w:w="109"/>
                              <w:gridCol w:w="109"/>
                              <w:gridCol w:w="109"/>
                              <w:gridCol w:w="517"/>
                              <w:gridCol w:w="517"/>
                              <w:gridCol w:w="735"/>
                            </w:tblGrid>
                            <w:tr>
                              <w:trPr/>
                              <w:tc>
                                <w:tcPr>
                                  <w:tcW w:w="424"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r>
                            <w:tr>
                              <w:trPr/>
                              <w:tc>
                                <w:tcPr>
                                  <w:tcW w:w="1170"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6"/>
                                    </w:rPr>
                                  </w:pPr>
                                  <w:r>
                                    <w:rPr>
                                      <w:rFonts w:ascii="Arial;sans-serif" w:hAnsi="Arial;sans-serif"/>
                                      <w:b/>
                                      <w:color w:val="000000"/>
                                      <w:sz w:val="16"/>
                                    </w:rPr>
                                    <w:t>SI-BONE, Inc.</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000000"/>
                                      <w:sz w:val="16"/>
                                    </w:rPr>
                                  </w:pPr>
                                  <w:r>
                                    <w:rPr>
                                      <w:rFonts w:ascii="Arial;sans-serif" w:hAnsi="Arial;sans-serif"/>
                                      <w:b/>
                                      <w:color w:val="000000"/>
                                      <w:sz w:val="16"/>
                                    </w:rPr>
                                    <w:t>22</w:t>
                                  </w:r>
                                </w:p>
                              </w:tc>
                              <w:tc>
                                <w:tcPr>
                                  <w:tcW w:w="176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2025 Proxy Statement</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2pt;mso-wrap-distance-left:0pt;mso-wrap-distance-right:0pt;mso-wrap-distance-top:0pt;mso-wrap-distance-bottom:0pt;margin-top:0pt;mso-position-vertical:top;mso-position-vertical-relative:text;margin-left:0pt;mso-position-horizontal:left;mso-position-horizontal-relative:text">
                <v:textbox>
                  <w:txbxContent>
                    <w:tbl>
                      <w:tblPr>
                        <w:tblW w:w="3266" w:type="dxa"/>
                        <w:jc w:val="center"/>
                        <w:tblInd w:w="0" w:type="dxa"/>
                        <w:tblLayout w:type="fixed"/>
                        <w:tblCellMar>
                          <w:top w:w="28" w:type="dxa"/>
                          <w:left w:w="28" w:type="dxa"/>
                          <w:bottom w:w="28" w:type="dxa"/>
                          <w:right w:w="28" w:type="dxa"/>
                        </w:tblCellMar>
                      </w:tblPr>
                      <w:tblGrid>
                        <w:gridCol w:w="424"/>
                        <w:gridCol w:w="372"/>
                        <w:gridCol w:w="374"/>
                        <w:gridCol w:w="109"/>
                        <w:gridCol w:w="109"/>
                        <w:gridCol w:w="109"/>
                        <w:gridCol w:w="517"/>
                        <w:gridCol w:w="517"/>
                        <w:gridCol w:w="735"/>
                      </w:tblGrid>
                      <w:tr>
                        <w:trPr/>
                        <w:tc>
                          <w:tcPr>
                            <w:tcW w:w="424"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r>
                      <w:tr>
                        <w:trPr/>
                        <w:tc>
                          <w:tcPr>
                            <w:tcW w:w="1170"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6"/>
                              </w:rPr>
                            </w:pPr>
                            <w:r>
                              <w:rPr>
                                <w:rFonts w:ascii="Arial;sans-serif" w:hAnsi="Arial;sans-serif"/>
                                <w:b/>
                                <w:color w:val="000000"/>
                                <w:sz w:val="16"/>
                              </w:rPr>
                              <w:t>SI-BONE, Inc.</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000000"/>
                                <w:sz w:val="16"/>
                              </w:rPr>
                            </w:pPr>
                            <w:r>
                              <w:rPr>
                                <w:rFonts w:ascii="Arial;sans-serif" w:hAnsi="Arial;sans-serif"/>
                                <w:b/>
                                <w:color w:val="000000"/>
                                <w:sz w:val="16"/>
                              </w:rPr>
                              <w:t>22</w:t>
                            </w:r>
                          </w:p>
                        </w:tc>
                        <w:tc>
                          <w:tcPr>
                            <w:tcW w:w="176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2025 Proxy Statement</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right"/>
        <w:rPr>
          <w:rFonts w:ascii="Arial;sans-serif" w:hAnsi="Arial;sans-serif"/>
          <w:b w:val="false"/>
          <w:color w:val="000000"/>
          <w:sz w:val="16"/>
        </w:rPr>
      </w:pPr>
      <w:r>
        <w:rPr>
          <w:rFonts w:ascii="Arial;sans-serif" w:hAnsi="Arial;sans-serif"/>
          <w:b w:val="false"/>
          <w:color w:val="000000"/>
          <w:sz w:val="16"/>
        </w:rPr>
        <w:t>Table of Contents</w:t>
      </w:r>
    </w:p>
    <w:p>
      <w:pPr>
        <w:pStyle w:val="TextBody"/>
        <w:bidi w:val="0"/>
        <w:spacing w:lineRule="auto" w:line="288" w:before="0" w:after="0"/>
        <w:jc w:val="left"/>
        <w:rPr>
          <w:rFonts w:ascii="Arial;sans-serif" w:hAnsi="Arial;sans-serif"/>
          <w:b/>
          <w:color w:val="000000"/>
          <w:sz w:val="56"/>
        </w:rPr>
      </w:pPr>
      <w:r>
        <w:rPr>
          <w:rFonts w:ascii="Arial;sans-serif" w:hAnsi="Arial;sans-serif"/>
          <w:b/>
          <w:color w:val="000000"/>
          <w:sz w:val="56"/>
        </w:rPr>
        <w:t>Executive Compensation</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80"/>
        <w:jc w:val="left"/>
        <w:rPr>
          <w:rFonts w:ascii="Arial;sans-serif" w:hAnsi="Arial;sans-serif"/>
          <w:b w:val="false"/>
          <w:color w:val="000000"/>
          <w:sz w:val="24"/>
        </w:rPr>
      </w:pPr>
      <w:r>
        <w:rPr>
          <w:rFonts w:ascii="Arial;sans-serif" w:hAnsi="Arial;sans-serif"/>
          <w:b w:val="false"/>
          <w:color w:val="000000"/>
          <w:sz w:val="24"/>
        </w:rPr>
        <w:t>COMPENSATION DISCUSSION &amp; ANALYSIS</w:t>
      </w:r>
    </w:p>
    <w:p>
      <w:pPr>
        <w:pStyle w:val="TextBody"/>
        <w:bidi w:val="0"/>
        <w:spacing w:lineRule="auto" w:line="312" w:before="0" w:after="180"/>
        <w:jc w:val="left"/>
        <w:rPr>
          <w:rFonts w:ascii="Arial;sans-serif" w:hAnsi="Arial;sans-serif"/>
          <w:b w:val="false"/>
          <w:color w:val="000000"/>
          <w:sz w:val="18"/>
        </w:rPr>
      </w:pPr>
      <w:r>
        <w:rPr>
          <w:rFonts w:ascii="Arial;sans-serif" w:hAnsi="Arial;sans-serif"/>
          <w:b w:val="false"/>
          <w:color w:val="000000"/>
          <w:sz w:val="18"/>
        </w:rPr>
        <w:t xml:space="preserve">This material is intended to assist our stockholders in understanding our executive compensation program by providing an overview of our executive compensation-related policies, practices, and decisions for fiscal 2024. It also explains how we determined the material elements of compensation for our principal executive officer and our other two executive officers as of the end of fiscal 2024, and who we refer to as our “Named Executive Officers.” For 2024, our Named Executive Officers were: </w:t>
      </w:r>
    </w:p>
    <w:p>
      <w:pPr>
        <w:pStyle w:val="TextBody"/>
        <w:bidi w:val="0"/>
        <w:spacing w:lineRule="auto" w:line="312" w:before="0" w:after="180"/>
        <w:ind w:left="0" w:right="0" w:hanging="360"/>
        <w:jc w:val="left"/>
        <w:rPr/>
      </w:pPr>
      <w:r>
        <w:rPr>
          <w:color w:val="74A333"/>
        </w:rPr>
        <w:t>•</w:t>
      </w:r>
      <w:r>
        <w:rPr>
          <w:rFonts w:ascii="Arial;sans-serif" w:hAnsi="Arial;sans-serif"/>
          <w:b/>
          <w:color w:val="74A333"/>
          <w:sz w:val="18"/>
        </w:rPr>
        <w:t>Laura A. Francis,</w:t>
      </w:r>
      <w:r>
        <w:rPr>
          <w:color w:val="000000"/>
        </w:rPr>
        <w:t xml:space="preserve"> </w:t>
      </w:r>
      <w:r>
        <w:rPr>
          <w:rFonts w:ascii="Arial;sans-serif" w:hAnsi="Arial;sans-serif"/>
          <w:b w:val="false"/>
          <w:color w:val="000000"/>
          <w:sz w:val="18"/>
        </w:rPr>
        <w:t xml:space="preserve">our Chief Executive Officer (our “CEO”); </w:t>
      </w:r>
    </w:p>
    <w:p>
      <w:pPr>
        <w:pStyle w:val="TextBody"/>
        <w:bidi w:val="0"/>
        <w:spacing w:lineRule="auto" w:line="312" w:before="0" w:after="180"/>
        <w:ind w:left="0" w:right="0" w:hanging="360"/>
        <w:jc w:val="left"/>
        <w:rPr/>
      </w:pPr>
      <w:r>
        <w:rPr>
          <w:color w:val="74A333"/>
        </w:rPr>
        <w:t>•</w:t>
      </w:r>
      <w:r>
        <w:rPr>
          <w:rFonts w:ascii="Arial;sans-serif" w:hAnsi="Arial;sans-serif"/>
          <w:b/>
          <w:color w:val="74A333"/>
          <w:sz w:val="18"/>
        </w:rPr>
        <w:t>Anshul Maheshwari,</w:t>
      </w:r>
      <w:r>
        <w:rPr>
          <w:color w:val="000000"/>
        </w:rPr>
        <w:t xml:space="preserve"> </w:t>
      </w:r>
      <w:r>
        <w:rPr>
          <w:rFonts w:ascii="Arial;sans-serif" w:hAnsi="Arial;sans-serif"/>
          <w:b w:val="false"/>
          <w:color w:val="000000"/>
          <w:sz w:val="18"/>
        </w:rPr>
        <w:t>our Chief Financial Officer (our “CFO”); and</w:t>
      </w:r>
    </w:p>
    <w:p>
      <w:pPr>
        <w:pStyle w:val="TextBody"/>
        <w:bidi w:val="0"/>
        <w:spacing w:lineRule="auto" w:line="312" w:before="0" w:after="180"/>
        <w:ind w:left="0" w:right="0" w:hanging="360"/>
        <w:jc w:val="left"/>
        <w:rPr/>
      </w:pPr>
      <w:r>
        <w:rPr>
          <w:color w:val="74A333"/>
        </w:rPr>
        <w:t>•</w:t>
      </w:r>
      <w:r>
        <w:rPr>
          <w:rFonts w:ascii="Arial;sans-serif" w:hAnsi="Arial;sans-serif"/>
          <w:b/>
          <w:color w:val="74A333"/>
          <w:sz w:val="18"/>
        </w:rPr>
        <w:t>Anthony J. Recupero,</w:t>
      </w:r>
      <w:r>
        <w:rPr>
          <w:color w:val="000000"/>
        </w:rPr>
        <w:t xml:space="preserve"> </w:t>
      </w:r>
      <w:r>
        <w:rPr>
          <w:rFonts w:ascii="Arial;sans-serif" w:hAnsi="Arial;sans-serif"/>
          <w:b w:val="false"/>
          <w:color w:val="000000"/>
          <w:sz w:val="18"/>
        </w:rPr>
        <w:t>our President, Commercial Operations.</w:t>
      </w:r>
    </w:p>
    <w:p>
      <w:pPr>
        <w:pStyle w:val="TextBody"/>
        <w:bidi w:val="0"/>
        <w:spacing w:lineRule="auto" w:line="312" w:before="0" w:after="180"/>
        <w:jc w:val="left"/>
        <w:rPr>
          <w:rFonts w:ascii="Arial;sans-serif" w:hAnsi="Arial;sans-serif"/>
          <w:b w:val="false"/>
          <w:color w:val="000000"/>
          <w:sz w:val="18"/>
        </w:rPr>
      </w:pPr>
      <w:r>
        <w:rPr>
          <w:rFonts w:ascii="Arial;sans-serif" w:hAnsi="Arial;sans-serif"/>
          <w:b w:val="false"/>
          <w:color w:val="000000"/>
          <w:sz w:val="18"/>
        </w:rPr>
        <w:t xml:space="preserve">We provide an overview of our executive compensation philosophy, the overall objectives of our executive compensation program, and each compensation element that we provide to our Named Executive Officers. In addition, we explain how and why the Compensation Committee of our Board of Directors (the “Compensation Committee”) and, in the case of our Chief Executive Officer, our Board of Directors after receiving the recommendation of our Compensation Committee, arrived at the specific compensation decisions for our Named Executive Officers in 2024.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80"/>
        <w:jc w:val="left"/>
        <w:rPr>
          <w:rFonts w:ascii="Arial;sans-serif" w:hAnsi="Arial;sans-serif"/>
          <w:b w:val="false"/>
          <w:color w:val="000000"/>
          <w:sz w:val="24"/>
        </w:rPr>
      </w:pPr>
      <w:r>
        <w:rPr>
          <w:rFonts w:ascii="Arial;sans-serif" w:hAnsi="Arial;sans-serif"/>
          <w:b w:val="false"/>
          <w:color w:val="000000"/>
          <w:sz w:val="24"/>
        </w:rPr>
        <w:t>OVERVIEW</w:t>
      </w:r>
    </w:p>
    <w:p>
      <w:pPr>
        <w:pStyle w:val="TextBody"/>
        <w:bidi w:val="0"/>
        <w:spacing w:lineRule="auto" w:line="312" w:before="0" w:after="180"/>
        <w:jc w:val="left"/>
        <w:rPr>
          <w:rFonts w:ascii="Arial;sans-serif" w:hAnsi="Arial;sans-serif"/>
          <w:b w:val="false"/>
          <w:color w:val="000000"/>
          <w:sz w:val="18"/>
        </w:rPr>
      </w:pPr>
      <w:r>
        <w:rPr>
          <w:rFonts w:ascii="Arial;sans-serif" w:hAnsi="Arial;sans-serif"/>
          <w:b w:val="false"/>
          <w:color w:val="000000"/>
          <w:sz w:val="18"/>
        </w:rPr>
        <w:t xml:space="preserve">We are a medical device company dedicated to solving musculoskeletal disorders of the sacropelvic anatomy. Leveraging our knowledge of pelvic anatomy and biomechanics, we have pioneered proprietary minimally invasive surgical implant systems to address sacroiliac joint dysfunction as well as address unmet clinical needs in pelvic fixation and management of pelvic fractures. Our products include a series of patented titanium implants, and the instruments used to implant them, as well as implantable bone products. Since launching our first generation iFuse in 2009, we have launched multiple implant product lines, including iFuse-3D in 2017, iFuse TORQ in 2021, iFuse Bedrock Granite in 2022, and iFuse INTRA and iFuse TORQ TNT in 2024. In the United States, iFuse, iFuse-3D, iFuse TORQ and iFuse Bedrock Granite have clearances for applications in sacroiliac joint dysfunction, adult spinal deformity and pelvic trauma. iFuse TORQ TNT has clearances for applications in pelvic trauma and sacroiliac joint dysfunction. We market our products primarily with a direct sales force as well as a number of third-party sales agents in the United States, and with a combination of a direct sales force, and sales agents and resellers in other countries. </w:t>
      </w:r>
    </w:p>
    <w:p>
      <w:pPr>
        <w:pStyle w:val="TextBody"/>
        <w:bidi w:val="0"/>
        <w:spacing w:lineRule="auto" w:line="312" w:before="0" w:after="120"/>
        <w:jc w:val="left"/>
        <w:rPr>
          <w:rFonts w:ascii="Arial;sans-serif" w:hAnsi="Arial;sans-serif"/>
          <w:b/>
          <w:color w:val="74A333"/>
          <w:sz w:val="18"/>
        </w:rPr>
      </w:pPr>
      <w:r>
        <w:rPr>
          <w:rFonts w:ascii="Arial;sans-serif" w:hAnsi="Arial;sans-serif"/>
          <w:b/>
          <w:color w:val="74A333"/>
          <w:sz w:val="18"/>
        </w:rPr>
        <w:t>2024 Business Highlights</w:t>
      </w:r>
    </w:p>
    <w:p>
      <w:pPr>
        <w:pStyle w:val="TextBody"/>
        <w:bidi w:val="0"/>
        <w:spacing w:lineRule="auto" w:line="312" w:before="0" w:after="180"/>
        <w:jc w:val="left"/>
        <w:rPr>
          <w:rFonts w:ascii="Arial;sans-serif" w:hAnsi="Arial;sans-serif"/>
          <w:b w:val="false"/>
          <w:color w:val="000000"/>
          <w:sz w:val="18"/>
        </w:rPr>
      </w:pPr>
      <w:r>
        <w:rPr>
          <w:rFonts w:ascii="Arial;sans-serif" w:hAnsi="Arial;sans-serif"/>
          <w:b w:val="false"/>
          <w:color w:val="000000"/>
          <w:sz w:val="18"/>
        </w:rPr>
        <w:t>2024 was a strong year for us in many critical areas of performance, including strong revenue growth, record growth in our active surgeon base and improving operating leverage.</w:t>
      </w:r>
    </w:p>
    <w:p>
      <w:pPr>
        <w:pStyle w:val="TextBody"/>
        <w:bidi w:val="0"/>
        <w:spacing w:lineRule="auto" w:line="312" w:before="0" w:after="0"/>
        <w:ind w:left="0" w:right="0" w:hanging="360"/>
        <w:jc w:val="left"/>
        <w:rPr/>
      </w:pPr>
      <w:r>
        <w:rPr>
          <w:color w:val="000000"/>
        </w:rPr>
        <w:t>•</w:t>
      </w:r>
      <w:r>
        <w:rPr>
          <w:rFonts w:ascii="Arial;sans-serif" w:hAnsi="Arial;sans-serif"/>
          <w:b w:val="false"/>
          <w:color w:val="000000"/>
          <w:sz w:val="18"/>
        </w:rPr>
        <w:t xml:space="preserve">Achieved </w:t>
      </w:r>
      <w:r>
        <w:rPr>
          <w:rFonts w:ascii="Arial;sans-serif" w:hAnsi="Arial;sans-serif"/>
          <w:b/>
          <w:color w:val="000000"/>
          <w:sz w:val="18"/>
        </w:rPr>
        <w:t>worldwide revenue of $167.2 million</w:t>
      </w:r>
      <w:r>
        <w:rPr>
          <w:color w:val="000000"/>
        </w:rPr>
        <w:t xml:space="preserve"> </w:t>
      </w:r>
      <w:r>
        <w:rPr>
          <w:rFonts w:ascii="Arial;sans-serif" w:hAnsi="Arial;sans-serif"/>
          <w:b w:val="false"/>
          <w:color w:val="000000"/>
          <w:sz w:val="18"/>
        </w:rPr>
        <w:t>for the full year 2024, representing an</w:t>
      </w:r>
      <w:r>
        <w:rPr>
          <w:color w:val="000000"/>
        </w:rPr>
        <w:t xml:space="preserve"> </w:t>
      </w:r>
      <w:r>
        <w:rPr>
          <w:rFonts w:ascii="Arial;sans-serif" w:hAnsi="Arial;sans-serif"/>
          <w:b/>
          <w:color w:val="000000"/>
          <w:sz w:val="18"/>
        </w:rPr>
        <w:t>increase of ~20%</w:t>
      </w:r>
      <w:r>
        <w:rPr>
          <w:color w:val="000000"/>
        </w:rPr>
        <w:t xml:space="preserve"> </w:t>
      </w:r>
      <w:r>
        <w:rPr>
          <w:rFonts w:ascii="Arial;sans-serif" w:hAnsi="Arial;sans-serif"/>
          <w:b w:val="false"/>
          <w:color w:val="000000"/>
          <w:sz w:val="18"/>
        </w:rPr>
        <w:t xml:space="preserve">over 2023 </w:t>
      </w:r>
    </w:p>
    <w:p>
      <w:pPr>
        <w:pStyle w:val="TextBody"/>
        <w:bidi w:val="0"/>
        <w:spacing w:lineRule="auto" w:line="312" w:before="0" w:after="0"/>
        <w:ind w:left="0" w:right="0" w:hanging="360"/>
        <w:jc w:val="left"/>
        <w:rPr/>
      </w:pPr>
      <w:r>
        <w:rPr>
          <w:color w:val="000000"/>
        </w:rPr>
        <w:t>•</w:t>
      </w:r>
      <w:r>
        <w:rPr>
          <w:rFonts w:ascii="Arial;sans-serif" w:hAnsi="Arial;sans-serif"/>
          <w:b w:val="false"/>
          <w:color w:val="000000"/>
          <w:sz w:val="18"/>
        </w:rPr>
        <w:t>U.S. revenue of $158.4 million, representing a 21% increase over 2023</w:t>
      </w:r>
    </w:p>
    <w:p>
      <w:pPr>
        <w:pStyle w:val="TextBody"/>
        <w:bidi w:val="0"/>
        <w:spacing w:lineRule="auto" w:line="312" w:before="0" w:after="0"/>
        <w:ind w:left="0" w:right="0" w:hanging="360"/>
        <w:jc w:val="left"/>
        <w:rPr/>
      </w:pPr>
      <w:r>
        <w:rPr>
          <w:color w:val="000000"/>
        </w:rPr>
        <w:t>•</w:t>
      </w:r>
      <w:r>
        <w:rPr>
          <w:rFonts w:ascii="Arial;sans-serif" w:hAnsi="Arial;sans-serif"/>
          <w:b/>
          <w:color w:val="000000"/>
          <w:sz w:val="18"/>
        </w:rPr>
        <w:t>Over 2,000 physicians performed an iFuse procedure</w:t>
      </w:r>
      <w:r>
        <w:rPr>
          <w:color w:val="000000"/>
        </w:rPr>
        <w:t xml:space="preserve"> </w:t>
      </w:r>
      <w:r>
        <w:rPr>
          <w:rFonts w:ascii="Arial;sans-serif" w:hAnsi="Arial;sans-serif"/>
          <w:b w:val="false"/>
          <w:color w:val="000000"/>
          <w:sz w:val="18"/>
        </w:rPr>
        <w:t xml:space="preserve">in 2024, an ~25% increase over 2023 </w:t>
      </w:r>
    </w:p>
    <w:p>
      <w:pPr>
        <w:pStyle w:val="TextBody"/>
        <w:bidi w:val="0"/>
        <w:spacing w:lineRule="auto" w:line="312" w:before="0" w:after="0"/>
        <w:ind w:left="0" w:right="0" w:hanging="360"/>
        <w:jc w:val="left"/>
        <w:rPr/>
      </w:pPr>
      <w:r>
        <w:rPr>
          <w:color w:val="000000"/>
        </w:rPr>
        <w:t>•</w:t>
      </w:r>
      <w:r>
        <w:rPr>
          <w:rFonts w:ascii="Arial;sans-serif" w:hAnsi="Arial;sans-serif"/>
          <w:b w:val="false"/>
          <w:color w:val="000000"/>
          <w:sz w:val="18"/>
        </w:rPr>
        <w:t>Achieved ~</w:t>
      </w:r>
      <w:r>
        <w:rPr>
          <w:rFonts w:ascii="Arial;sans-serif" w:hAnsi="Arial;sans-serif"/>
          <w:b/>
          <w:color w:val="000000"/>
          <w:sz w:val="18"/>
        </w:rPr>
        <w:t>29% improvement in Net Loss</w:t>
      </w:r>
      <w:r>
        <w:rPr>
          <w:color w:val="000000"/>
        </w:rPr>
        <w:t xml:space="preserve"> </w:t>
      </w:r>
      <w:r>
        <w:rPr>
          <w:rFonts w:ascii="Arial;sans-serif" w:hAnsi="Arial;sans-serif"/>
          <w:b w:val="false"/>
          <w:color w:val="000000"/>
          <w:sz w:val="18"/>
        </w:rPr>
        <w:t>and ~71</w:t>
      </w:r>
      <w:r>
        <w:rPr>
          <w:rFonts w:ascii="Arial;sans-serif" w:hAnsi="Arial;sans-serif"/>
          <w:b/>
          <w:color w:val="000000"/>
          <w:sz w:val="18"/>
        </w:rPr>
        <w:t>% improvement in Adjusted EBITDA loss</w:t>
      </w:r>
      <w:r>
        <w:rPr>
          <w:rFonts w:ascii="Arial;sans-serif" w:hAnsi="Arial;sans-serif"/>
          <w:b/>
          <w:color w:val="000000"/>
          <w:sz w:val="12"/>
        </w:rPr>
        <w:t>1</w:t>
      </w:r>
      <w:r>
        <w:rPr>
          <w:color w:val="000000"/>
        </w:rPr>
        <w:t xml:space="preserve"> </w:t>
      </w:r>
      <w:r>
        <w:rPr>
          <w:rFonts w:ascii="Arial;sans-serif" w:hAnsi="Arial;sans-serif"/>
          <w:b w:val="false"/>
          <w:color w:val="000000"/>
          <w:sz w:val="18"/>
        </w:rPr>
        <w:t>year-over-year</w:t>
      </w:r>
    </w:p>
    <w:p>
      <w:pPr>
        <w:pStyle w:val="TextBody"/>
        <w:bidi w:val="0"/>
        <w:spacing w:lineRule="auto" w:line="312" w:before="0" w:after="0"/>
        <w:ind w:left="0" w:right="0" w:hanging="360"/>
        <w:jc w:val="left"/>
        <w:rPr/>
      </w:pPr>
      <w:r>
        <w:rPr>
          <w:color w:val="000000"/>
        </w:rPr>
        <w:t>•</w:t>
      </w:r>
      <w:r>
        <w:rPr>
          <w:rFonts w:ascii="Arial;sans-serif" w:hAnsi="Arial;sans-serif"/>
          <w:b w:val="false"/>
          <w:color w:val="000000"/>
          <w:sz w:val="18"/>
        </w:rPr>
        <w:t>Delivered positive adjusted EBITDA in the fourth quarter, and exited 2024 with a solid balance sheet with ~</w:t>
      </w:r>
      <w:r>
        <w:rPr>
          <w:rFonts w:ascii="Arial;sans-serif" w:hAnsi="Arial;sans-serif"/>
          <w:b/>
          <w:color w:val="000000"/>
          <w:sz w:val="18"/>
        </w:rPr>
        <w:t>$150 million in cash and equivalents</w:t>
      </w:r>
    </w:p>
    <w:p>
      <w:pPr>
        <w:pStyle w:val="TextBody"/>
        <w:bidi w:val="0"/>
        <w:spacing w:lineRule="auto" w:line="312" w:before="0" w:after="0"/>
        <w:ind w:left="0" w:right="0" w:hanging="360"/>
        <w:jc w:val="left"/>
        <w:rPr/>
      </w:pPr>
      <w:r>
        <w:rPr>
          <w:color w:val="000000"/>
        </w:rPr>
        <w:t>•</w:t>
      </w:r>
      <w:r>
        <w:rPr>
          <w:rFonts w:ascii="Arial;sans-serif" w:hAnsi="Arial;sans-serif"/>
          <w:b w:val="false"/>
          <w:color w:val="000000"/>
          <w:sz w:val="18"/>
        </w:rPr>
        <w:t xml:space="preserve">Launched iFuse INTRA, iFuse Bedrock Granite 9.5, and iFuse TORQ TNT </w:t>
      </w:r>
    </w:p>
    <w:p>
      <w:pPr>
        <w:pStyle w:val="TextBody"/>
        <w:bidi w:val="0"/>
        <w:spacing w:lineRule="auto" w:line="312" w:before="0" w:after="0"/>
        <w:ind w:left="0" w:right="0" w:hanging="360"/>
        <w:jc w:val="left"/>
        <w:rPr/>
      </w:pPr>
      <w:r>
        <w:rPr>
          <w:color w:val="000000"/>
        </w:rPr>
        <w:t>•</w:t>
      </w:r>
      <w:r>
        <w:rPr>
          <w:rFonts w:ascii="Arial;sans-serif" w:hAnsi="Arial;sans-serif"/>
          <w:b w:val="false"/>
          <w:color w:val="000000"/>
          <w:sz w:val="18"/>
        </w:rPr>
        <w:t>Granted transitional Pass-Through payment status effective January 1, 2025 for Granite outpatient procedures</w:t>
      </w:r>
    </w:p>
    <w:p>
      <w:pPr>
        <w:pStyle w:val="TextBody"/>
        <w:bidi w:val="0"/>
        <w:spacing w:lineRule="auto" w:line="312" w:before="0" w:after="60"/>
        <w:jc w:val="left"/>
        <w:rPr/>
      </w:pPr>
      <w:r>
        <w:rPr>
          <w:rFonts w:ascii="Arial;sans-serif" w:hAnsi="Arial;sans-serif"/>
          <w:b w:val="false"/>
          <w:color w:val="000000"/>
          <w:sz w:val="12"/>
        </w:rPr>
        <w:t>1</w:t>
      </w:r>
      <w:r>
        <w:rPr>
          <w:color w:val="000000"/>
        </w:rPr>
        <w:t xml:space="preserve"> </w:t>
      </w:r>
      <w:r>
        <w:rPr>
          <w:rFonts w:ascii="Arial;sans-serif" w:hAnsi="Arial;sans-serif"/>
          <w:b w:val="false"/>
          <w:color w:val="000000"/>
          <w:sz w:val="18"/>
        </w:rPr>
        <w:t>To supplement our consolidated financial statements, which are prepared and presented in accordance with GAAP, we provide investors with certain non-GAAP financial measures, including Adjusted EBITDA. Adjusted EBITDA excludes from net loss the effects of interest income, interest expense, depreciation and amortization and stock-based compensation. For a full reconciliation of adjusted EBITDA to net loss, the most directly comparable financial measure calculated in accordance with GAAP, see Appendix A to this proxy statement.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739140"/>
                <wp:effectExtent l="0" t="0" r="0" b="0"/>
                <wp:wrapNone/>
                <wp:docPr id="44" name="Frame28"/>
                <a:graphic xmlns:a="http://schemas.openxmlformats.org/drawingml/2006/main">
                  <a:graphicData uri="http://schemas.microsoft.com/office/word/2010/wordprocessingShape">
                    <wps:wsp>
                      <wps:cNvSpPr txBox="1"/>
                      <wps:spPr>
                        <a:xfrm>
                          <a:off x="0" y="0"/>
                          <a:ext cx="6480175" cy="739140"/>
                        </a:xfrm>
                        <a:prstGeom prst="rect"/>
                        <a:solidFill>
                          <a:srgbClr val="FFFFFF"/>
                        </a:solidFill>
                      </wps:spPr>
                      <wps:txbx>
                        <w:txbxContent>
                          <w:tbl>
                            <w:tblPr>
                              <w:tblW w:w="3266" w:type="dxa"/>
                              <w:jc w:val="center"/>
                              <w:tblInd w:w="0" w:type="dxa"/>
                              <w:tblLayout w:type="fixed"/>
                              <w:tblCellMar>
                                <w:top w:w="28" w:type="dxa"/>
                                <w:left w:w="28" w:type="dxa"/>
                                <w:bottom w:w="28" w:type="dxa"/>
                                <w:right w:w="28" w:type="dxa"/>
                              </w:tblCellMar>
                            </w:tblPr>
                            <w:tblGrid>
                              <w:gridCol w:w="424"/>
                              <w:gridCol w:w="372"/>
                              <w:gridCol w:w="374"/>
                              <w:gridCol w:w="109"/>
                              <w:gridCol w:w="109"/>
                              <w:gridCol w:w="109"/>
                              <w:gridCol w:w="517"/>
                              <w:gridCol w:w="517"/>
                              <w:gridCol w:w="735"/>
                            </w:tblGrid>
                            <w:tr>
                              <w:trPr/>
                              <w:tc>
                                <w:tcPr>
                                  <w:tcW w:w="424"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r>
                            <w:tr>
                              <w:trPr/>
                              <w:tc>
                                <w:tcPr>
                                  <w:tcW w:w="1170"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6"/>
                                    </w:rPr>
                                  </w:pPr>
                                  <w:r>
                                    <w:rPr>
                                      <w:rFonts w:ascii="Arial;sans-serif" w:hAnsi="Arial;sans-serif"/>
                                      <w:b/>
                                      <w:color w:val="000000"/>
                                      <w:sz w:val="16"/>
                                    </w:rPr>
                                    <w:t>SI-BONE, Inc.</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000000"/>
                                      <w:sz w:val="16"/>
                                    </w:rPr>
                                  </w:pPr>
                                  <w:r>
                                    <w:rPr>
                                      <w:rFonts w:ascii="Arial;sans-serif" w:hAnsi="Arial;sans-serif"/>
                                      <w:b/>
                                      <w:color w:val="000000"/>
                                      <w:sz w:val="16"/>
                                    </w:rPr>
                                    <w:t>23</w:t>
                                  </w:r>
                                </w:p>
                              </w:tc>
                              <w:tc>
                                <w:tcPr>
                                  <w:tcW w:w="176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2025 Proxy Statement</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2pt;mso-wrap-distance-left:0pt;mso-wrap-distance-right:0pt;mso-wrap-distance-top:0pt;mso-wrap-distance-bottom:0pt;margin-top:0pt;mso-position-vertical:top;mso-position-vertical-relative:text;margin-left:0pt;mso-position-horizontal:left;mso-position-horizontal-relative:text">
                <v:textbox>
                  <w:txbxContent>
                    <w:tbl>
                      <w:tblPr>
                        <w:tblW w:w="3266" w:type="dxa"/>
                        <w:jc w:val="center"/>
                        <w:tblInd w:w="0" w:type="dxa"/>
                        <w:tblLayout w:type="fixed"/>
                        <w:tblCellMar>
                          <w:top w:w="28" w:type="dxa"/>
                          <w:left w:w="28" w:type="dxa"/>
                          <w:bottom w:w="28" w:type="dxa"/>
                          <w:right w:w="28" w:type="dxa"/>
                        </w:tblCellMar>
                      </w:tblPr>
                      <w:tblGrid>
                        <w:gridCol w:w="424"/>
                        <w:gridCol w:w="372"/>
                        <w:gridCol w:w="374"/>
                        <w:gridCol w:w="109"/>
                        <w:gridCol w:w="109"/>
                        <w:gridCol w:w="109"/>
                        <w:gridCol w:w="517"/>
                        <w:gridCol w:w="517"/>
                        <w:gridCol w:w="735"/>
                      </w:tblGrid>
                      <w:tr>
                        <w:trPr/>
                        <w:tc>
                          <w:tcPr>
                            <w:tcW w:w="424"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r>
                      <w:tr>
                        <w:trPr/>
                        <w:tc>
                          <w:tcPr>
                            <w:tcW w:w="1170"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6"/>
                              </w:rPr>
                            </w:pPr>
                            <w:r>
                              <w:rPr>
                                <w:rFonts w:ascii="Arial;sans-serif" w:hAnsi="Arial;sans-serif"/>
                                <w:b/>
                                <w:color w:val="000000"/>
                                <w:sz w:val="16"/>
                              </w:rPr>
                              <w:t>SI-BONE, Inc.</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000000"/>
                                <w:sz w:val="16"/>
                              </w:rPr>
                            </w:pPr>
                            <w:r>
                              <w:rPr>
                                <w:rFonts w:ascii="Arial;sans-serif" w:hAnsi="Arial;sans-serif"/>
                                <w:b/>
                                <w:color w:val="000000"/>
                                <w:sz w:val="16"/>
                              </w:rPr>
                              <w:t>23</w:t>
                            </w:r>
                          </w:p>
                        </w:tc>
                        <w:tc>
                          <w:tcPr>
                            <w:tcW w:w="176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2025 Proxy Statement</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right"/>
        <w:rPr>
          <w:rFonts w:ascii="Arial;sans-serif" w:hAnsi="Arial;sans-serif"/>
          <w:b w:val="false"/>
          <w:color w:val="000000"/>
          <w:sz w:val="16"/>
        </w:rPr>
      </w:pPr>
      <w:r>
        <w:rPr>
          <w:rFonts w:ascii="Arial;sans-serif" w:hAnsi="Arial;sans-serif"/>
          <w:b w:val="false"/>
          <w:color w:val="000000"/>
          <w:sz w:val="16"/>
        </w:rPr>
        <w:t>Table of Contents</w:t>
      </w:r>
    </w:p>
    <w:p>
      <w:pPr>
        <w:pStyle w:val="TextBody"/>
        <w:bidi w:val="0"/>
        <w:spacing w:lineRule="auto" w:line="312" w:before="0" w:after="0"/>
        <w:ind w:left="0" w:right="0" w:hanging="360"/>
        <w:jc w:val="left"/>
        <w:rPr/>
      </w:pPr>
      <w:r>
        <w:rPr>
          <w:color w:val="000000"/>
        </w:rPr>
        <w:t>•</w:t>
      </w:r>
      <w:r>
        <w:rPr>
          <w:rFonts w:ascii="Arial;sans-serif" w:hAnsi="Arial;sans-serif"/>
          <w:b w:val="false"/>
          <w:color w:val="000000"/>
          <w:sz w:val="18"/>
        </w:rPr>
        <w:t>Received third Breakthrough Device Designation for a novel implant system</w:t>
      </w:r>
    </w:p>
    <w:p>
      <w:pPr>
        <w:pStyle w:val="TextBody"/>
        <w:bidi w:val="0"/>
        <w:spacing w:lineRule="auto" w:line="312" w:before="0" w:after="60"/>
        <w:ind w:left="0" w:right="0" w:hanging="360"/>
        <w:jc w:val="left"/>
        <w:rPr/>
      </w:pPr>
      <w:r>
        <w:rPr>
          <w:color w:val="000000"/>
        </w:rPr>
        <w:t>•</w:t>
      </w:r>
      <w:r>
        <w:rPr>
          <w:rFonts w:ascii="Arial;sans-serif" w:hAnsi="Arial;sans-serif"/>
          <w:b w:val="false"/>
          <w:color w:val="000000"/>
          <w:sz w:val="18"/>
        </w:rPr>
        <w:t xml:space="preserve">Surpassed </w:t>
      </w:r>
      <w:r>
        <w:rPr>
          <w:rFonts w:ascii="Arial;sans-serif" w:hAnsi="Arial;sans-serif"/>
          <w:b/>
          <w:color w:val="000000"/>
          <w:sz w:val="18"/>
        </w:rPr>
        <w:t>115,000 procedures</w:t>
      </w:r>
      <w:r>
        <w:rPr>
          <w:color w:val="000000"/>
        </w:rPr>
        <w:t xml:space="preserve"> </w:t>
      </w:r>
      <w:r>
        <w:rPr>
          <w:rFonts w:ascii="Arial;sans-serif" w:hAnsi="Arial;sans-serif"/>
          <w:b w:val="false"/>
          <w:color w:val="000000"/>
          <w:sz w:val="18"/>
        </w:rPr>
        <w:t xml:space="preserve">performed by over </w:t>
      </w:r>
      <w:r>
        <w:rPr>
          <w:rFonts w:ascii="Arial;sans-serif" w:hAnsi="Arial;sans-serif"/>
          <w:b/>
          <w:color w:val="000000"/>
          <w:sz w:val="18"/>
        </w:rPr>
        <w:t>4,300 physicians</w:t>
      </w:r>
      <w:r>
        <w:rPr>
          <w:color w:val="000000"/>
        </w:rPr>
        <w:t xml:space="preserve"> </w:t>
      </w:r>
      <w:r>
        <w:rPr>
          <w:rFonts w:ascii="Arial;sans-serif" w:hAnsi="Arial;sans-serif"/>
          <w:b w:val="false"/>
          <w:color w:val="000000"/>
          <w:sz w:val="18"/>
        </w:rPr>
        <w:t>worldwide since inception</w:t>
      </w:r>
    </w:p>
    <w:p>
      <w:pPr>
        <w:pStyle w:val="TextBody"/>
        <w:bidi w:val="0"/>
        <w:spacing w:before="0" w:after="0"/>
        <w:jc w:val="center"/>
        <w:rPr/>
      </w:pPr>
      <w:r>
        <w:rPr/>
        <w:drawing>
          <wp:inline distT="0" distB="0" distL="0" distR="0">
            <wp:extent cx="2971800" cy="1828800"/>
            <wp:effectExtent l="0" t="0" r="0" b="0"/>
            <wp:docPr id="45"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Image17" descr=""/>
                    <pic:cNvPicPr>
                      <a:picLocks noChangeAspect="1" noChangeArrowheads="1"/>
                    </pic:cNvPicPr>
                  </pic:nvPicPr>
                  <pic:blipFill>
                    <a:blip r:embed="rId18"/>
                    <a:stretch>
                      <a:fillRect/>
                    </a:stretch>
                  </pic:blipFill>
                  <pic:spPr bwMode="auto">
                    <a:xfrm>
                      <a:off x="0" y="0"/>
                      <a:ext cx="2971800" cy="1828800"/>
                    </a:xfrm>
                    <a:prstGeom prst="rect">
                      <a:avLst/>
                    </a:prstGeom>
                  </pic:spPr>
                </pic:pic>
              </a:graphicData>
            </a:graphic>
          </wp:inline>
        </w:drawing>
      </w:r>
      <w:r>
        <w:rPr/>
        <w:drawing>
          <wp:inline distT="0" distB="0" distL="0" distR="0">
            <wp:extent cx="2971800" cy="1828800"/>
            <wp:effectExtent l="0" t="0" r="0" b="0"/>
            <wp:docPr id="46"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Image18" descr=""/>
                    <pic:cNvPicPr>
                      <a:picLocks noChangeAspect="1" noChangeArrowheads="1"/>
                    </pic:cNvPicPr>
                  </pic:nvPicPr>
                  <pic:blipFill>
                    <a:blip r:embed="rId19"/>
                    <a:stretch>
                      <a:fillRect/>
                    </a:stretch>
                  </pic:blipFill>
                  <pic:spPr bwMode="auto">
                    <a:xfrm>
                      <a:off x="0" y="0"/>
                      <a:ext cx="2971800" cy="1828800"/>
                    </a:xfrm>
                    <a:prstGeom prst="rect">
                      <a:avLst/>
                    </a:prstGeom>
                  </pic:spPr>
                </pic:pic>
              </a:graphicData>
            </a:graphic>
          </wp:inline>
        </w:drawing>
      </w:r>
    </w:p>
    <w:p>
      <w:pPr>
        <w:pStyle w:val="TextBody"/>
        <w:bidi w:val="0"/>
        <w:spacing w:lineRule="auto" w:line="312" w:before="0" w:after="120"/>
        <w:jc w:val="left"/>
        <w:rPr>
          <w:rFonts w:ascii="Arial;sans-serif" w:hAnsi="Arial;sans-serif"/>
          <w:b/>
          <w:color w:val="74A333"/>
          <w:sz w:val="18"/>
        </w:rPr>
      </w:pPr>
      <w:r>
        <w:rPr>
          <w:rFonts w:ascii="Arial;sans-serif" w:hAnsi="Arial;sans-serif"/>
          <w:b/>
          <w:color w:val="74A333"/>
          <w:sz w:val="18"/>
        </w:rPr>
        <w:t>2024 Executive Compensation Highlights</w:t>
      </w:r>
    </w:p>
    <w:p>
      <w:pPr>
        <w:pStyle w:val="TextBody"/>
        <w:bidi w:val="0"/>
        <w:spacing w:lineRule="auto" w:line="312" w:before="0" w:after="180"/>
        <w:jc w:val="left"/>
        <w:rPr>
          <w:rFonts w:ascii="Arial;sans-serif" w:hAnsi="Arial;sans-serif"/>
          <w:b w:val="false"/>
          <w:color w:val="000000"/>
          <w:sz w:val="18"/>
        </w:rPr>
      </w:pPr>
      <w:r>
        <w:rPr>
          <w:rFonts w:ascii="Arial;sans-serif" w:hAnsi="Arial;sans-serif"/>
          <w:b w:val="false"/>
          <w:color w:val="000000"/>
          <w:sz w:val="18"/>
        </w:rPr>
        <w:t>Our approach to executive compensation in 2024 reflected our measured approach to attracting, retaining, and incentivizing key members of our management team, and aligning their interests with our stockholders. Our overall compensation program consists of three components: base salary, annual cash incentive bonus, and long-term equity incentive compensation. Following are highlights of key compensation actions that were taken with respect to our Named Executive Officers for 2024:</w:t>
      </w:r>
    </w:p>
    <w:p>
      <w:pPr>
        <w:pStyle w:val="TextBody"/>
        <w:bidi w:val="0"/>
        <w:spacing w:lineRule="auto" w:line="312" w:before="0" w:after="180"/>
        <w:ind w:left="0" w:right="0" w:hanging="360"/>
        <w:jc w:val="left"/>
        <w:rPr/>
      </w:pPr>
      <w:r>
        <w:rPr>
          <w:color w:val="000000"/>
        </w:rPr>
        <w:t>•</w:t>
      </w:r>
      <w:r>
        <w:rPr>
          <w:rFonts w:ascii="Arial;sans-serif" w:hAnsi="Arial;sans-serif"/>
          <w:b/>
          <w:i/>
          <w:color w:val="000000"/>
          <w:sz w:val="18"/>
        </w:rPr>
        <w:t>Base Salaries.</w:t>
      </w:r>
      <w:r>
        <w:rPr>
          <w:color w:val="000000"/>
        </w:rPr>
        <w:t xml:space="preserve"> </w:t>
      </w:r>
      <w:r>
        <w:rPr>
          <w:rFonts w:ascii="Arial;sans-serif" w:hAnsi="Arial;sans-serif"/>
          <w:b w:val="false"/>
          <w:color w:val="000000"/>
          <w:sz w:val="18"/>
        </w:rPr>
        <w:t>After considering our compensation philosophy and the competitive market environment, we provided at the beginning of 2024: Mr. Recupero with 3% increase in base salary, Mr. Maheshwari with a 4% increase in base salary, and Ms. Francis with a 5% increase in base salary, as further described in “Base Salary” below.</w:t>
      </w:r>
    </w:p>
    <w:p>
      <w:pPr>
        <w:pStyle w:val="TextBody"/>
        <w:bidi w:val="0"/>
        <w:spacing w:lineRule="auto" w:line="312" w:before="0" w:after="180"/>
        <w:ind w:left="0" w:right="0" w:hanging="360"/>
        <w:jc w:val="left"/>
        <w:rPr/>
      </w:pPr>
      <w:r>
        <w:rPr>
          <w:color w:val="000000"/>
        </w:rPr>
        <w:t>•</w:t>
      </w:r>
      <w:r>
        <w:rPr>
          <w:rFonts w:ascii="Arial;sans-serif" w:hAnsi="Arial;sans-serif"/>
          <w:b/>
          <w:i/>
          <w:color w:val="000000"/>
          <w:sz w:val="18"/>
        </w:rPr>
        <w:t>Annual Cash Bonuses.</w:t>
      </w:r>
      <w:r>
        <w:rPr>
          <w:color w:val="000000"/>
        </w:rPr>
        <w:t xml:space="preserve"> </w:t>
      </w:r>
      <w:r>
        <w:rPr>
          <w:rFonts w:ascii="Arial;sans-serif" w:hAnsi="Arial;sans-serif"/>
          <w:b w:val="false"/>
          <w:color w:val="000000"/>
          <w:sz w:val="18"/>
        </w:rPr>
        <w:t>Our annual cash bonus program in 2024 was based on the achievement of financial goals – revenue and adjusted EBITDA – and operational metrics. For 2024, our Compensation Committee made the determination to increase the annual cash incentive targets as a percentage of base salary for Ms. Francis from 85% to 90% and for Mr. Maheshwari from 50% to 55%. No changes were made for Mr. Recupero. Based on achievement against our 2024 targets, the actual cash incentive compensation payments made to our Named Executive Officers for 2024 represented 109.4% of their target cash bonus opportunities. Details of this program appear in “Annual Cash Bonuses” below.</w:t>
      </w:r>
    </w:p>
    <w:p>
      <w:pPr>
        <w:pStyle w:val="TextBody"/>
        <w:bidi w:val="0"/>
        <w:spacing w:lineRule="auto" w:line="312" w:before="0" w:after="180"/>
        <w:ind w:left="0" w:right="0" w:hanging="360"/>
        <w:jc w:val="left"/>
        <w:rPr/>
      </w:pPr>
      <w:r>
        <w:rPr>
          <w:color w:val="000000"/>
        </w:rPr>
        <w:t>•</w:t>
      </w:r>
      <w:r>
        <w:rPr>
          <w:rFonts w:ascii="Arial;sans-serif" w:hAnsi="Arial;sans-serif"/>
          <w:b/>
          <w:i/>
          <w:color w:val="000000"/>
          <w:sz w:val="18"/>
        </w:rPr>
        <w:t>Long-Term Equity Incentive Compensation.</w:t>
      </w:r>
      <w:r>
        <w:rPr>
          <w:color w:val="000000"/>
        </w:rPr>
        <w:t xml:space="preserve"> </w:t>
      </w:r>
      <w:r>
        <w:rPr>
          <w:rFonts w:ascii="Arial;sans-serif" w:hAnsi="Arial;sans-serif"/>
          <w:b w:val="false"/>
          <w:color w:val="000000"/>
          <w:sz w:val="18"/>
        </w:rPr>
        <w:t>For 2024, we granted a combination of restricted stock units (“RSUs”) and performance-based restricted stock units (“PSUs”) to our Named Executive Officers. Ms. Francis’ 2024 equity grants were issued 50% as RSUs and 50% as PSUs; Messrs. Maheshwari and Recupero’s 2024 equity grants were issued 75% as RSUs and 25% as PSUs. RSU grants serve to align the interests of management and our stockholders and act as an important retention mechanism, and PSUs, which are based on SI-BONE’s total shareholder return relative to a group of industry peers, promote the achievement of long-term share price growth and relative outperformance. These programs are detailed in “Long-Term Incentive Compensation” below.</w:t>
      </w:r>
    </w:p>
    <w:p>
      <w:pPr>
        <w:pStyle w:val="TextBody"/>
        <w:bidi w:val="0"/>
        <w:spacing w:lineRule="auto" w:line="312" w:before="0" w:after="120"/>
        <w:jc w:val="left"/>
        <w:rPr>
          <w:rFonts w:ascii="Arial;sans-serif" w:hAnsi="Arial;sans-serif"/>
          <w:b/>
          <w:color w:val="74A333"/>
          <w:sz w:val="18"/>
        </w:rPr>
      </w:pPr>
      <w:r>
        <w:rPr>
          <w:rFonts w:ascii="Arial;sans-serif" w:hAnsi="Arial;sans-serif"/>
          <w:b/>
          <w:color w:val="74A333"/>
          <w:sz w:val="18"/>
        </w:rPr>
        <w:t>Stockholder Engagement on Executive Compensation</w:t>
      </w:r>
    </w:p>
    <w:p>
      <w:pPr>
        <w:pStyle w:val="TextBody"/>
        <w:bidi w:val="0"/>
        <w:spacing w:lineRule="auto" w:line="312" w:before="0" w:after="180"/>
        <w:jc w:val="left"/>
        <w:rPr>
          <w:rFonts w:ascii="Arial;sans-serif" w:hAnsi="Arial;sans-serif"/>
          <w:b w:val="false"/>
          <w:color w:val="000000"/>
          <w:sz w:val="18"/>
        </w:rPr>
      </w:pPr>
      <w:r>
        <w:rPr>
          <w:rFonts w:ascii="Arial;sans-serif" w:hAnsi="Arial;sans-serif"/>
          <w:b w:val="false"/>
          <w:color w:val="000000"/>
          <w:sz w:val="18"/>
        </w:rPr>
        <w:t>During 2024, we reached out to holders of 73% of our outstanding common stock, seeking to engage with them on executive compensation and other governance topics. We held discussions with holders of 52% of our outstanding common stock.</w:t>
      </w:r>
    </w:p>
    <w:p>
      <w:pPr>
        <w:pStyle w:val="TextBody"/>
        <w:bidi w:val="0"/>
        <w:spacing w:lineRule="auto" w:line="312" w:before="0" w:after="180"/>
        <w:jc w:val="left"/>
        <w:rPr>
          <w:rFonts w:ascii="Arial;sans-serif" w:hAnsi="Arial;sans-serif"/>
          <w:b w:val="false"/>
          <w:color w:val="000000"/>
          <w:sz w:val="18"/>
        </w:rPr>
      </w:pPr>
      <w:r>
        <w:rPr>
          <w:rFonts w:ascii="Arial;sans-serif" w:hAnsi="Arial;sans-serif"/>
          <w:b w:val="false"/>
          <w:color w:val="000000"/>
          <w:sz w:val="18"/>
        </w:rPr>
        <w:t>We found these discussions to be extremely useful and received valuable feedback on our executive compensation program. In response to this feedback, we took the following actions:</w:t>
      </w:r>
    </w:p>
    <w:p>
      <w:pPr>
        <w:pStyle w:val="TextBody"/>
        <w:bidi w:val="0"/>
        <w:spacing w:lineRule="auto" w:line="312" w:before="0" w:after="180"/>
        <w:ind w:left="0" w:right="0" w:hanging="360"/>
        <w:jc w:val="left"/>
        <w:rPr/>
      </w:pPr>
      <w:r>
        <w:rPr>
          <w:color w:val="000000"/>
        </w:rPr>
        <w:t>•</w:t>
      </w:r>
      <w:r>
        <w:rPr>
          <w:rFonts w:ascii="Arial;sans-serif" w:hAnsi="Arial;sans-serif"/>
          <w:b w:val="false"/>
          <w:color w:val="000000"/>
          <w:sz w:val="18"/>
        </w:rPr>
        <w:t>We are increasing the weight of Adjusted EBITDA goals in our compensation program, both through the bonus plan and in 2025, the introduction of financial metric-based PSUs.</w:t>
      </w:r>
    </w:p>
    <w:p>
      <w:pPr>
        <w:pStyle w:val="TextBody"/>
        <w:bidi w:val="0"/>
        <w:spacing w:lineRule="auto" w:line="312" w:before="0" w:after="180"/>
        <w:ind w:left="0" w:right="0" w:hanging="360"/>
        <w:jc w:val="left"/>
        <w:rPr/>
      </w:pPr>
      <w:r>
        <w:rPr>
          <w:color w:val="000000"/>
        </w:rPr>
        <w:t>•</w:t>
      </w:r>
      <w:r>
        <w:rPr>
          <w:rFonts w:ascii="Arial;sans-serif" w:hAnsi="Arial;sans-serif"/>
          <w:b w:val="false"/>
          <w:color w:val="000000"/>
          <w:sz w:val="18"/>
        </w:rPr>
        <w:t xml:space="preserve">We are continuing to exercise discipline around our equity burn rate. </w:t>
      </w:r>
    </w:p>
    <w:p>
      <w:pPr>
        <w:pStyle w:val="TextBody"/>
        <w:bidi w:val="0"/>
        <w:spacing w:lineRule="auto" w:line="312" w:before="0" w:after="180"/>
        <w:jc w:val="left"/>
        <w:rPr>
          <w:rFonts w:ascii="Arial;sans-serif" w:hAnsi="Arial;sans-serif"/>
          <w:b w:val="false"/>
          <w:color w:val="000000"/>
          <w:sz w:val="18"/>
        </w:rPr>
      </w:pPr>
      <w:r>
        <w:rPr>
          <w:rFonts w:ascii="Arial;sans-serif" w:hAnsi="Arial;sans-serif"/>
          <w:b w:val="false"/>
          <w:color w:val="000000"/>
          <w:sz w:val="18"/>
        </w:rPr>
        <w:t>We intend to continue to initiate dialogue with our stockholders on executive compensation and other governance topics. In addition, we welcome stockholder communication with the Board of Directors through the channels set forth in this proxy statement.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739140"/>
                <wp:effectExtent l="0" t="0" r="0" b="0"/>
                <wp:wrapNone/>
                <wp:docPr id="47" name="Frame29"/>
                <a:graphic xmlns:a="http://schemas.openxmlformats.org/drawingml/2006/main">
                  <a:graphicData uri="http://schemas.microsoft.com/office/word/2010/wordprocessingShape">
                    <wps:wsp>
                      <wps:cNvSpPr txBox="1"/>
                      <wps:spPr>
                        <a:xfrm>
                          <a:off x="0" y="0"/>
                          <a:ext cx="6480175" cy="739140"/>
                        </a:xfrm>
                        <a:prstGeom prst="rect"/>
                        <a:solidFill>
                          <a:srgbClr val="FFFFFF"/>
                        </a:solidFill>
                      </wps:spPr>
                      <wps:txbx>
                        <w:txbxContent>
                          <w:tbl>
                            <w:tblPr>
                              <w:tblW w:w="3266" w:type="dxa"/>
                              <w:jc w:val="center"/>
                              <w:tblInd w:w="0" w:type="dxa"/>
                              <w:tblLayout w:type="fixed"/>
                              <w:tblCellMar>
                                <w:top w:w="28" w:type="dxa"/>
                                <w:left w:w="28" w:type="dxa"/>
                                <w:bottom w:w="28" w:type="dxa"/>
                                <w:right w:w="28" w:type="dxa"/>
                              </w:tblCellMar>
                            </w:tblPr>
                            <w:tblGrid>
                              <w:gridCol w:w="424"/>
                              <w:gridCol w:w="372"/>
                              <w:gridCol w:w="374"/>
                              <w:gridCol w:w="109"/>
                              <w:gridCol w:w="109"/>
                              <w:gridCol w:w="109"/>
                              <w:gridCol w:w="517"/>
                              <w:gridCol w:w="517"/>
                              <w:gridCol w:w="735"/>
                            </w:tblGrid>
                            <w:tr>
                              <w:trPr/>
                              <w:tc>
                                <w:tcPr>
                                  <w:tcW w:w="424"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r>
                            <w:tr>
                              <w:trPr/>
                              <w:tc>
                                <w:tcPr>
                                  <w:tcW w:w="1170"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6"/>
                                    </w:rPr>
                                  </w:pPr>
                                  <w:r>
                                    <w:rPr>
                                      <w:rFonts w:ascii="Arial;sans-serif" w:hAnsi="Arial;sans-serif"/>
                                      <w:b/>
                                      <w:color w:val="000000"/>
                                      <w:sz w:val="16"/>
                                    </w:rPr>
                                    <w:t>SI-BONE, Inc.</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000000"/>
                                      <w:sz w:val="16"/>
                                    </w:rPr>
                                  </w:pPr>
                                  <w:r>
                                    <w:rPr>
                                      <w:rFonts w:ascii="Arial;sans-serif" w:hAnsi="Arial;sans-serif"/>
                                      <w:b/>
                                      <w:color w:val="000000"/>
                                      <w:sz w:val="16"/>
                                    </w:rPr>
                                    <w:t>24</w:t>
                                  </w:r>
                                </w:p>
                              </w:tc>
                              <w:tc>
                                <w:tcPr>
                                  <w:tcW w:w="176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2025 Proxy Statement</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2pt;mso-wrap-distance-left:0pt;mso-wrap-distance-right:0pt;mso-wrap-distance-top:0pt;mso-wrap-distance-bottom:0pt;margin-top:0pt;mso-position-vertical:top;mso-position-vertical-relative:text;margin-left:0pt;mso-position-horizontal:left;mso-position-horizontal-relative:text">
                <v:textbox>
                  <w:txbxContent>
                    <w:tbl>
                      <w:tblPr>
                        <w:tblW w:w="3266" w:type="dxa"/>
                        <w:jc w:val="center"/>
                        <w:tblInd w:w="0" w:type="dxa"/>
                        <w:tblLayout w:type="fixed"/>
                        <w:tblCellMar>
                          <w:top w:w="28" w:type="dxa"/>
                          <w:left w:w="28" w:type="dxa"/>
                          <w:bottom w:w="28" w:type="dxa"/>
                          <w:right w:w="28" w:type="dxa"/>
                        </w:tblCellMar>
                      </w:tblPr>
                      <w:tblGrid>
                        <w:gridCol w:w="424"/>
                        <w:gridCol w:w="372"/>
                        <w:gridCol w:w="374"/>
                        <w:gridCol w:w="109"/>
                        <w:gridCol w:w="109"/>
                        <w:gridCol w:w="109"/>
                        <w:gridCol w:w="517"/>
                        <w:gridCol w:w="517"/>
                        <w:gridCol w:w="735"/>
                      </w:tblGrid>
                      <w:tr>
                        <w:trPr/>
                        <w:tc>
                          <w:tcPr>
                            <w:tcW w:w="424"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r>
                      <w:tr>
                        <w:trPr/>
                        <w:tc>
                          <w:tcPr>
                            <w:tcW w:w="1170"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6"/>
                              </w:rPr>
                            </w:pPr>
                            <w:r>
                              <w:rPr>
                                <w:rFonts w:ascii="Arial;sans-serif" w:hAnsi="Arial;sans-serif"/>
                                <w:b/>
                                <w:color w:val="000000"/>
                                <w:sz w:val="16"/>
                              </w:rPr>
                              <w:t>SI-BONE, Inc.</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000000"/>
                                <w:sz w:val="16"/>
                              </w:rPr>
                            </w:pPr>
                            <w:r>
                              <w:rPr>
                                <w:rFonts w:ascii="Arial;sans-serif" w:hAnsi="Arial;sans-serif"/>
                                <w:b/>
                                <w:color w:val="000000"/>
                                <w:sz w:val="16"/>
                              </w:rPr>
                              <w:t>24</w:t>
                            </w:r>
                          </w:p>
                        </w:tc>
                        <w:tc>
                          <w:tcPr>
                            <w:tcW w:w="176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2025 Proxy Statement</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right"/>
        <w:rPr>
          <w:rFonts w:ascii="Arial;sans-serif" w:hAnsi="Arial;sans-serif"/>
          <w:b w:val="false"/>
          <w:color w:val="000000"/>
          <w:sz w:val="16"/>
        </w:rPr>
      </w:pPr>
      <w:r>
        <w:rPr>
          <w:rFonts w:ascii="Arial;sans-serif" w:hAnsi="Arial;sans-serif"/>
          <w:b w:val="false"/>
          <w:color w:val="000000"/>
          <w:sz w:val="16"/>
        </w:rPr>
        <w:t>Table of Contents</w:t>
      </w:r>
    </w:p>
    <w:p>
      <w:pPr>
        <w:pStyle w:val="TextBody"/>
        <w:bidi w:val="0"/>
        <w:spacing w:lineRule="auto" w:line="312" w:before="0" w:after="120"/>
        <w:jc w:val="left"/>
        <w:rPr>
          <w:rFonts w:ascii="Arial;sans-serif" w:hAnsi="Arial;sans-serif"/>
          <w:b/>
          <w:color w:val="74A333"/>
          <w:sz w:val="18"/>
        </w:rPr>
      </w:pPr>
      <w:r>
        <w:rPr>
          <w:rFonts w:ascii="Arial;sans-serif" w:hAnsi="Arial;sans-serif"/>
          <w:b/>
          <w:color w:val="74A333"/>
          <w:sz w:val="18"/>
        </w:rPr>
        <w:t>Pay-for-Performance Alignment</w:t>
      </w:r>
    </w:p>
    <w:p>
      <w:pPr>
        <w:pStyle w:val="TextBody"/>
        <w:bidi w:val="0"/>
        <w:spacing w:lineRule="auto" w:line="312" w:before="0" w:after="180"/>
        <w:jc w:val="left"/>
        <w:rPr>
          <w:rFonts w:ascii="Arial;sans-serif" w:hAnsi="Arial;sans-serif"/>
          <w:b w:val="false"/>
          <w:color w:val="000000"/>
          <w:sz w:val="18"/>
        </w:rPr>
      </w:pPr>
      <w:r>
        <w:rPr>
          <w:rFonts w:ascii="Arial;sans-serif" w:hAnsi="Arial;sans-serif"/>
          <w:b w:val="false"/>
          <w:color w:val="000000"/>
          <w:sz w:val="18"/>
        </w:rPr>
        <w:t>We believe our executive compensation program is reasonable and competitive, and appropriately balances the goals of attracting, motivating, and retaining a talented leadership team and appropriately rewarding them for their contributions to the business. Our 2024 executive compensation program was heavily weighted towards “at-risk” compensation:</w:t>
      </w:r>
    </w:p>
    <w:p>
      <w:pPr>
        <w:pStyle w:val="TextBody"/>
        <w:bidi w:val="0"/>
        <w:spacing w:lineRule="auto" w:line="312" w:before="0" w:after="60"/>
        <w:ind w:left="0" w:right="0" w:hanging="360"/>
        <w:jc w:val="left"/>
        <w:rPr/>
      </w:pPr>
      <w:r>
        <w:rPr>
          <w:color w:val="000000"/>
        </w:rPr>
        <w:t>•</w:t>
      </w:r>
      <w:r>
        <w:rPr>
          <w:rFonts w:ascii="Arial;sans-serif" w:hAnsi="Arial;sans-serif"/>
          <w:b w:val="false"/>
          <w:color w:val="000000"/>
          <w:sz w:val="18"/>
        </w:rPr>
        <w:t>Cash incentive opportunities under the annual bonus plan would have value only to the extent that we achieved certain predetermined financial and operational performance goals;</w:t>
      </w:r>
    </w:p>
    <w:p>
      <w:pPr>
        <w:pStyle w:val="TextBody"/>
        <w:bidi w:val="0"/>
        <w:spacing w:lineRule="auto" w:line="312" w:before="0" w:after="60"/>
        <w:ind w:left="0" w:right="0" w:hanging="360"/>
        <w:jc w:val="left"/>
        <w:rPr/>
      </w:pPr>
      <w:r>
        <w:rPr>
          <w:color w:val="000000"/>
        </w:rPr>
        <w:t>•</w:t>
      </w:r>
      <w:r>
        <w:rPr>
          <w:rFonts w:ascii="Arial;sans-serif" w:hAnsi="Arial;sans-serif"/>
          <w:b w:val="false"/>
          <w:color w:val="000000"/>
          <w:sz w:val="18"/>
        </w:rPr>
        <w:t>The value of the PSUs depends on the performance of our total shareholder return relative to that of a group of industry peers over one, two, and three-year performance periods; and</w:t>
      </w:r>
    </w:p>
    <w:p>
      <w:pPr>
        <w:pStyle w:val="TextBody"/>
        <w:bidi w:val="0"/>
        <w:spacing w:lineRule="auto" w:line="312" w:before="0" w:after="180"/>
        <w:ind w:left="0" w:right="0" w:hanging="360"/>
        <w:jc w:val="left"/>
        <w:rPr/>
      </w:pPr>
      <w:r>
        <w:rPr>
          <w:color w:val="000000"/>
        </w:rPr>
        <w:t>•</w:t>
      </w:r>
      <w:r>
        <w:rPr>
          <w:rFonts w:ascii="Arial;sans-serif" w:hAnsi="Arial;sans-serif"/>
          <w:b w:val="false"/>
          <w:color w:val="000000"/>
          <w:sz w:val="18"/>
        </w:rPr>
        <w:t xml:space="preserve">The value of both RSUs and PSUs depends on our success in building and sustaining long-term shareholder value. </w:t>
      </w:r>
    </w:p>
    <w:p>
      <w:pPr>
        <w:pStyle w:val="TextBody"/>
        <w:bidi w:val="0"/>
        <w:spacing w:lineRule="auto" w:line="312" w:before="0" w:after="180"/>
        <w:jc w:val="left"/>
        <w:rPr>
          <w:rFonts w:ascii="Arial;sans-serif" w:hAnsi="Arial;sans-serif"/>
          <w:b w:val="false"/>
          <w:color w:val="000000"/>
          <w:sz w:val="18"/>
        </w:rPr>
      </w:pPr>
      <w:r>
        <w:rPr>
          <w:rFonts w:ascii="Arial;sans-serif" w:hAnsi="Arial;sans-serif"/>
          <w:b w:val="false"/>
          <w:color w:val="000000"/>
          <w:sz w:val="18"/>
        </w:rPr>
        <w:t>The following charts illustrate the target pay mix for our Chief Executive Officer and our other Named Executive Officers in 2024:</w:t>
      </w:r>
    </w:p>
    <w:p>
      <w:pPr>
        <w:pStyle w:val="TextBody"/>
        <w:bidi w:val="0"/>
        <w:spacing w:before="0" w:after="300"/>
        <w:jc w:val="center"/>
        <w:rPr/>
      </w:pPr>
      <w:r>
        <w:rPr/>
        <w:drawing>
          <wp:inline distT="0" distB="0" distL="0" distR="0">
            <wp:extent cx="6400800" cy="2743200"/>
            <wp:effectExtent l="0" t="0" r="0" b="0"/>
            <wp:docPr id="48"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Image19" descr=""/>
                    <pic:cNvPicPr>
                      <a:picLocks noChangeAspect="1" noChangeArrowheads="1"/>
                    </pic:cNvPicPr>
                  </pic:nvPicPr>
                  <pic:blipFill>
                    <a:blip r:embed="rId20"/>
                    <a:stretch>
                      <a:fillRect/>
                    </a:stretch>
                  </pic:blipFill>
                  <pic:spPr bwMode="auto">
                    <a:xfrm>
                      <a:off x="0" y="0"/>
                      <a:ext cx="6400800" cy="2743200"/>
                    </a:xfrm>
                    <a:prstGeom prst="rect">
                      <a:avLst/>
                    </a:prstGeom>
                  </pic:spPr>
                </pic:pic>
              </a:graphicData>
            </a:graphic>
          </wp:inline>
        </w:drawing>
      </w:r>
    </w:p>
    <w:p>
      <w:pPr>
        <w:pStyle w:val="TextBody"/>
        <w:bidi w:val="0"/>
        <w:spacing w:before="0" w:after="300"/>
        <w:jc w:val="center"/>
        <w:rPr/>
      </w:pPr>
      <w:r>
        <w:rPr/>
        <w:drawing>
          <wp:inline distT="0" distB="0" distL="0" distR="0">
            <wp:extent cx="6400800" cy="2743200"/>
            <wp:effectExtent l="0" t="0" r="0" b="0"/>
            <wp:docPr id="49"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Image20" descr=""/>
                    <pic:cNvPicPr>
                      <a:picLocks noChangeAspect="1" noChangeArrowheads="1"/>
                    </pic:cNvPicPr>
                  </pic:nvPicPr>
                  <pic:blipFill>
                    <a:blip r:embed="rId21"/>
                    <a:stretch>
                      <a:fillRect/>
                    </a:stretch>
                  </pic:blipFill>
                  <pic:spPr bwMode="auto">
                    <a:xfrm>
                      <a:off x="0" y="0"/>
                      <a:ext cx="6400800" cy="2743200"/>
                    </a:xfrm>
                    <a:prstGeom prst="rect">
                      <a:avLst/>
                    </a:prstGeom>
                  </pic:spPr>
                </pic:pic>
              </a:graphicData>
            </a:graphic>
          </wp:inline>
        </w:drawing>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739140"/>
                <wp:effectExtent l="0" t="0" r="0" b="0"/>
                <wp:wrapNone/>
                <wp:docPr id="50" name="Frame30"/>
                <a:graphic xmlns:a="http://schemas.openxmlformats.org/drawingml/2006/main">
                  <a:graphicData uri="http://schemas.microsoft.com/office/word/2010/wordprocessingShape">
                    <wps:wsp>
                      <wps:cNvSpPr txBox="1"/>
                      <wps:spPr>
                        <a:xfrm>
                          <a:off x="0" y="0"/>
                          <a:ext cx="6480175" cy="739140"/>
                        </a:xfrm>
                        <a:prstGeom prst="rect"/>
                        <a:solidFill>
                          <a:srgbClr val="FFFFFF"/>
                        </a:solidFill>
                      </wps:spPr>
                      <wps:txbx>
                        <w:txbxContent>
                          <w:tbl>
                            <w:tblPr>
                              <w:tblW w:w="3266" w:type="dxa"/>
                              <w:jc w:val="center"/>
                              <w:tblInd w:w="0" w:type="dxa"/>
                              <w:tblLayout w:type="fixed"/>
                              <w:tblCellMar>
                                <w:top w:w="28" w:type="dxa"/>
                                <w:left w:w="28" w:type="dxa"/>
                                <w:bottom w:w="28" w:type="dxa"/>
                                <w:right w:w="28" w:type="dxa"/>
                              </w:tblCellMar>
                            </w:tblPr>
                            <w:tblGrid>
                              <w:gridCol w:w="424"/>
                              <w:gridCol w:w="372"/>
                              <w:gridCol w:w="374"/>
                              <w:gridCol w:w="109"/>
                              <w:gridCol w:w="109"/>
                              <w:gridCol w:w="109"/>
                              <w:gridCol w:w="517"/>
                              <w:gridCol w:w="517"/>
                              <w:gridCol w:w="735"/>
                            </w:tblGrid>
                            <w:tr>
                              <w:trPr/>
                              <w:tc>
                                <w:tcPr>
                                  <w:tcW w:w="424"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r>
                            <w:tr>
                              <w:trPr/>
                              <w:tc>
                                <w:tcPr>
                                  <w:tcW w:w="1170"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6"/>
                                    </w:rPr>
                                  </w:pPr>
                                  <w:r>
                                    <w:rPr>
                                      <w:rFonts w:ascii="Arial;sans-serif" w:hAnsi="Arial;sans-serif"/>
                                      <w:b/>
                                      <w:color w:val="000000"/>
                                      <w:sz w:val="16"/>
                                    </w:rPr>
                                    <w:t>SI-BONE, Inc.</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000000"/>
                                      <w:sz w:val="16"/>
                                    </w:rPr>
                                  </w:pPr>
                                  <w:r>
                                    <w:rPr>
                                      <w:rFonts w:ascii="Arial;sans-serif" w:hAnsi="Arial;sans-serif"/>
                                      <w:b/>
                                      <w:color w:val="000000"/>
                                      <w:sz w:val="16"/>
                                    </w:rPr>
                                    <w:t>25</w:t>
                                  </w:r>
                                </w:p>
                              </w:tc>
                              <w:tc>
                                <w:tcPr>
                                  <w:tcW w:w="176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2025 Proxy Statement</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2pt;mso-wrap-distance-left:0pt;mso-wrap-distance-right:0pt;mso-wrap-distance-top:0pt;mso-wrap-distance-bottom:0pt;margin-top:0pt;mso-position-vertical:top;mso-position-vertical-relative:text;margin-left:0pt;mso-position-horizontal:left;mso-position-horizontal-relative:text">
                <v:textbox>
                  <w:txbxContent>
                    <w:tbl>
                      <w:tblPr>
                        <w:tblW w:w="3266" w:type="dxa"/>
                        <w:jc w:val="center"/>
                        <w:tblInd w:w="0" w:type="dxa"/>
                        <w:tblLayout w:type="fixed"/>
                        <w:tblCellMar>
                          <w:top w:w="28" w:type="dxa"/>
                          <w:left w:w="28" w:type="dxa"/>
                          <w:bottom w:w="28" w:type="dxa"/>
                          <w:right w:w="28" w:type="dxa"/>
                        </w:tblCellMar>
                      </w:tblPr>
                      <w:tblGrid>
                        <w:gridCol w:w="424"/>
                        <w:gridCol w:w="372"/>
                        <w:gridCol w:w="374"/>
                        <w:gridCol w:w="109"/>
                        <w:gridCol w:w="109"/>
                        <w:gridCol w:w="109"/>
                        <w:gridCol w:w="517"/>
                        <w:gridCol w:w="517"/>
                        <w:gridCol w:w="735"/>
                      </w:tblGrid>
                      <w:tr>
                        <w:trPr/>
                        <w:tc>
                          <w:tcPr>
                            <w:tcW w:w="424"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r>
                      <w:tr>
                        <w:trPr/>
                        <w:tc>
                          <w:tcPr>
                            <w:tcW w:w="1170"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6"/>
                              </w:rPr>
                            </w:pPr>
                            <w:r>
                              <w:rPr>
                                <w:rFonts w:ascii="Arial;sans-serif" w:hAnsi="Arial;sans-serif"/>
                                <w:b/>
                                <w:color w:val="000000"/>
                                <w:sz w:val="16"/>
                              </w:rPr>
                              <w:t>SI-BONE, Inc.</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000000"/>
                                <w:sz w:val="16"/>
                              </w:rPr>
                            </w:pPr>
                            <w:r>
                              <w:rPr>
                                <w:rFonts w:ascii="Arial;sans-serif" w:hAnsi="Arial;sans-serif"/>
                                <w:b/>
                                <w:color w:val="000000"/>
                                <w:sz w:val="16"/>
                              </w:rPr>
                              <w:t>25</w:t>
                            </w:r>
                          </w:p>
                        </w:tc>
                        <w:tc>
                          <w:tcPr>
                            <w:tcW w:w="176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2025 Proxy Statement</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right"/>
        <w:rPr>
          <w:rFonts w:ascii="Arial;sans-serif" w:hAnsi="Arial;sans-serif"/>
          <w:b w:val="false"/>
          <w:color w:val="000000"/>
          <w:sz w:val="16"/>
        </w:rPr>
      </w:pPr>
      <w:r>
        <w:rPr>
          <w:rFonts w:ascii="Arial;sans-serif" w:hAnsi="Arial;sans-serif"/>
          <w:b w:val="false"/>
          <w:color w:val="000000"/>
          <w:sz w:val="16"/>
        </w:rPr>
        <w:t>Table of Contents</w:t>
      </w:r>
    </w:p>
    <w:p>
      <w:pPr>
        <w:pStyle w:val="TextBody"/>
        <w:bidi w:val="0"/>
        <w:spacing w:lineRule="auto" w:line="312" w:before="0" w:after="180"/>
        <w:jc w:val="left"/>
        <w:rPr>
          <w:rFonts w:ascii="Arial;sans-serif" w:hAnsi="Arial;sans-serif"/>
          <w:b w:val="false"/>
          <w:color w:val="000000"/>
          <w:sz w:val="18"/>
        </w:rPr>
      </w:pPr>
      <w:r>
        <w:rPr>
          <w:rFonts w:ascii="Arial;sans-serif" w:hAnsi="Arial;sans-serif"/>
          <w:b w:val="false"/>
          <w:color w:val="000000"/>
          <w:sz w:val="18"/>
        </w:rPr>
        <w:t xml:space="preserve">The percentages in the charts above represent the target compensation for our CEO and the average target compensation for our other Named Executive Officers for 2024. </w:t>
      </w:r>
    </w:p>
    <w:p>
      <w:pPr>
        <w:pStyle w:val="TextBody"/>
        <w:bidi w:val="0"/>
        <w:spacing w:lineRule="auto" w:line="312" w:before="0" w:after="120"/>
        <w:jc w:val="left"/>
        <w:rPr>
          <w:rFonts w:ascii="Arial;sans-serif" w:hAnsi="Arial;sans-serif"/>
          <w:b/>
          <w:color w:val="74A333"/>
          <w:sz w:val="18"/>
        </w:rPr>
      </w:pPr>
      <w:r>
        <w:rPr>
          <w:rFonts w:ascii="Arial;sans-serif" w:hAnsi="Arial;sans-serif"/>
          <w:b/>
          <w:color w:val="74A333"/>
          <w:sz w:val="18"/>
        </w:rPr>
        <w:t>Governance Policies and Practices</w:t>
      </w:r>
    </w:p>
    <w:p>
      <w:pPr>
        <w:pStyle w:val="TextBody"/>
        <w:bidi w:val="0"/>
        <w:spacing w:lineRule="auto" w:line="312" w:before="0" w:after="180"/>
        <w:jc w:val="left"/>
        <w:rPr>
          <w:rFonts w:ascii="Arial;sans-serif" w:hAnsi="Arial;sans-serif"/>
          <w:b w:val="false"/>
          <w:color w:val="000000"/>
          <w:sz w:val="18"/>
        </w:rPr>
      </w:pPr>
      <w:r>
        <w:rPr>
          <w:rFonts w:ascii="Arial;sans-serif" w:hAnsi="Arial;sans-serif"/>
          <w:b w:val="false"/>
          <w:color w:val="000000"/>
          <w:sz w:val="18"/>
        </w:rPr>
        <w:t>We endeavor to maintain sound executive compensation policies and practices, including compensation-related corporate governance standards, consistent with our executive compensation philosophy. During 2024, the following executive compensation policies and practices were in place, including both policies and practices we have implemented to drive performance and policies and practices that either prohibit or minimize behaviors that we do not believe serve our stockholders’ long-term interests:</w:t>
      </w:r>
    </w:p>
    <w:tbl>
      <w:tblPr>
        <w:tblW w:w="10205" w:type="dxa"/>
        <w:jc w:val="left"/>
        <w:tblInd w:w="0" w:type="dxa"/>
        <w:tblLayout w:type="fixed"/>
        <w:tblCellMar>
          <w:top w:w="28" w:type="dxa"/>
          <w:left w:w="28" w:type="dxa"/>
          <w:bottom w:w="28" w:type="dxa"/>
          <w:right w:w="28" w:type="dxa"/>
        </w:tblCellMar>
      </w:tblPr>
      <w:tblGrid>
        <w:gridCol w:w="166"/>
        <w:gridCol w:w="144"/>
        <w:gridCol w:w="144"/>
        <w:gridCol w:w="1877"/>
        <w:gridCol w:w="1853"/>
        <w:gridCol w:w="1857"/>
        <w:gridCol w:w="109"/>
        <w:gridCol w:w="109"/>
        <w:gridCol w:w="109"/>
        <w:gridCol w:w="177"/>
        <w:gridCol w:w="177"/>
        <w:gridCol w:w="177"/>
        <w:gridCol w:w="966"/>
        <w:gridCol w:w="966"/>
        <w:gridCol w:w="1374"/>
      </w:tblGrid>
      <w:tr>
        <w:trPr/>
        <w:tc>
          <w:tcPr>
            <w:tcW w:w="166"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877" w:type="dxa"/>
            <w:tcBorders/>
            <w:vAlign w:val="center"/>
          </w:tcPr>
          <w:p>
            <w:pPr>
              <w:pStyle w:val="TableContents"/>
              <w:bidi w:val="0"/>
              <w:spacing w:before="0" w:after="283"/>
              <w:jc w:val="left"/>
              <w:rPr>
                <w:sz w:val="4"/>
                <w:szCs w:val="4"/>
              </w:rPr>
            </w:pPr>
            <w:r>
              <w:rPr>
                <w:sz w:val="4"/>
                <w:szCs w:val="4"/>
              </w:rPr>
            </w:r>
          </w:p>
        </w:tc>
        <w:tc>
          <w:tcPr>
            <w:tcW w:w="1853" w:type="dxa"/>
            <w:tcBorders/>
            <w:vAlign w:val="center"/>
          </w:tcPr>
          <w:p>
            <w:pPr>
              <w:pStyle w:val="TableContents"/>
              <w:bidi w:val="0"/>
              <w:spacing w:before="0" w:after="283"/>
              <w:jc w:val="left"/>
              <w:rPr>
                <w:sz w:val="4"/>
                <w:szCs w:val="4"/>
              </w:rPr>
            </w:pPr>
            <w:r>
              <w:rPr>
                <w:sz w:val="4"/>
                <w:szCs w:val="4"/>
              </w:rPr>
            </w:r>
          </w:p>
        </w:tc>
        <w:tc>
          <w:tcPr>
            <w:tcW w:w="18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966" w:type="dxa"/>
            <w:tcBorders/>
            <w:vAlign w:val="center"/>
          </w:tcPr>
          <w:p>
            <w:pPr>
              <w:pStyle w:val="TableContents"/>
              <w:bidi w:val="0"/>
              <w:spacing w:before="0" w:after="283"/>
              <w:jc w:val="left"/>
              <w:rPr>
                <w:sz w:val="4"/>
                <w:szCs w:val="4"/>
              </w:rPr>
            </w:pPr>
            <w:r>
              <w:rPr>
                <w:sz w:val="4"/>
                <w:szCs w:val="4"/>
              </w:rPr>
            </w:r>
          </w:p>
        </w:tc>
        <w:tc>
          <w:tcPr>
            <w:tcW w:w="966" w:type="dxa"/>
            <w:tcBorders/>
            <w:vAlign w:val="center"/>
          </w:tcPr>
          <w:p>
            <w:pPr>
              <w:pStyle w:val="TableContents"/>
              <w:bidi w:val="0"/>
              <w:spacing w:before="0" w:after="283"/>
              <w:jc w:val="left"/>
              <w:rPr>
                <w:sz w:val="4"/>
                <w:szCs w:val="4"/>
              </w:rPr>
            </w:pPr>
            <w:r>
              <w:rPr>
                <w:sz w:val="4"/>
                <w:szCs w:val="4"/>
              </w:rPr>
            </w:r>
          </w:p>
        </w:tc>
        <w:tc>
          <w:tcPr>
            <w:tcW w:w="1374" w:type="dxa"/>
            <w:tcBorders/>
            <w:vAlign w:val="center"/>
          </w:tcPr>
          <w:p>
            <w:pPr>
              <w:pStyle w:val="TableContents"/>
              <w:bidi w:val="0"/>
              <w:spacing w:before="0" w:after="283"/>
              <w:jc w:val="left"/>
              <w:rPr>
                <w:sz w:val="4"/>
                <w:szCs w:val="4"/>
              </w:rPr>
            </w:pPr>
            <w:r>
              <w:rPr>
                <w:sz w:val="4"/>
                <w:szCs w:val="4"/>
              </w:rPr>
            </w:r>
          </w:p>
        </w:tc>
      </w:tr>
      <w:tr>
        <w:trPr/>
        <w:tc>
          <w:tcPr>
            <w:tcW w:w="6041" w:type="dxa"/>
            <w:gridSpan w:val="6"/>
            <w:tcBorders/>
            <w:shd w:fill="74A333" w:val="clear"/>
            <w:tcMar>
              <w:top w:w="0" w:type="dxa"/>
              <w:left w:w="0" w:type="dxa"/>
              <w:bottom w:w="0" w:type="dxa"/>
              <w:right w:w="0" w:type="dxa"/>
            </w:tcMar>
            <w:vAlign w:val="center"/>
          </w:tcPr>
          <w:p>
            <w:pPr>
              <w:pStyle w:val="TableContents"/>
              <w:bidi w:val="0"/>
              <w:spacing w:lineRule="auto" w:line="312" w:before="0" w:after="283"/>
              <w:jc w:val="left"/>
              <w:rPr>
                <w:rFonts w:ascii="Arial;sans-serif" w:hAnsi="Arial;sans-serif"/>
                <w:b/>
                <w:color w:val="FFFFFF"/>
                <w:sz w:val="18"/>
              </w:rPr>
            </w:pPr>
            <w:r>
              <w:rPr>
                <w:rFonts w:ascii="Arial;sans-serif" w:hAnsi="Arial;sans-serif"/>
                <w:b/>
                <w:color w:val="FFFFFF"/>
                <w:sz w:val="18"/>
              </w:rPr>
              <w:t>What We Do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37" w:type="dxa"/>
            <w:gridSpan w:val="6"/>
            <w:tcBorders/>
            <w:shd w:fill="B6B6B6" w:val="clear"/>
            <w:tcMar>
              <w:top w:w="0" w:type="dxa"/>
              <w:left w:w="0" w:type="dxa"/>
              <w:bottom w:w="0" w:type="dxa"/>
              <w:right w:w="0" w:type="dxa"/>
            </w:tcMar>
            <w:vAlign w:val="center"/>
          </w:tcPr>
          <w:p>
            <w:pPr>
              <w:pStyle w:val="TableContents"/>
              <w:bidi w:val="0"/>
              <w:spacing w:lineRule="auto" w:line="312" w:before="0" w:after="283"/>
              <w:jc w:val="left"/>
              <w:rPr>
                <w:rFonts w:ascii="Arial;sans-serif" w:hAnsi="Arial;sans-serif"/>
                <w:b/>
                <w:color w:val="FFFFFF"/>
                <w:sz w:val="18"/>
              </w:rPr>
            </w:pPr>
            <w:r>
              <w:rPr>
                <w:rFonts w:ascii="Arial;sans-serif" w:hAnsi="Arial;sans-serif"/>
                <w:b/>
                <w:color w:val="FFFFFF"/>
                <w:sz w:val="18"/>
              </w:rPr>
              <w:t>What We Don’t Do</w:t>
            </w:r>
          </w:p>
        </w:tc>
      </w:tr>
      <w:tr>
        <w:trPr/>
        <w:tc>
          <w:tcPr>
            <w:tcW w:w="454" w:type="dxa"/>
            <w:gridSpan w:val="3"/>
            <w:tcBorders/>
            <w:shd w:fill="74A33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7" w:type="dxa"/>
            <w:gridSpan w:val="3"/>
            <w:tcBorders/>
            <w:shd w:fill="74A33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6"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6"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 w:type="dxa"/>
            <w:gridSpan w:val="3"/>
            <w:tcBorders/>
            <w:shd w:fill="EDEDEE" w:val="clear"/>
            <w:tcMar>
              <w:top w:w="0" w:type="dxa"/>
              <w:left w:w="0" w:type="dxa"/>
              <w:bottom w:w="0" w:type="dxa"/>
              <w:right w:w="0" w:type="dxa"/>
            </w:tcMar>
            <w:vAlign w:val="center"/>
          </w:tcPr>
          <w:p>
            <w:pPr>
              <w:pStyle w:val="TableContents"/>
              <w:bidi w:val="0"/>
              <w:spacing w:lineRule="auto" w:line="288" w:before="0" w:after="283"/>
              <w:jc w:val="left"/>
              <w:rPr>
                <w:rFonts w:ascii="Wingdings;sans-serif" w:hAnsi="Wingdings;sans-serif"/>
                <w:b/>
                <w:color w:val="74A333"/>
                <w:sz w:val="28"/>
              </w:rPr>
            </w:pPr>
            <w:r>
              <w:rPr>
                <w:rFonts w:ascii="Wingdings;sans-serif" w:hAnsi="Wingdings;sans-serif"/>
                <w:b/>
                <w:color w:val="74A333"/>
                <w:sz w:val="28"/>
              </w:rPr>
              <w:t>ü</w:t>
            </w:r>
          </w:p>
        </w:tc>
        <w:tc>
          <w:tcPr>
            <w:tcW w:w="5587" w:type="dxa"/>
            <w:gridSpan w:val="3"/>
            <w:tcBorders/>
            <w:shd w:fill="EDEDEE" w:val="clear"/>
            <w:tcMar>
              <w:top w:w="0" w:type="dxa"/>
              <w:left w:w="0" w:type="dxa"/>
              <w:bottom w:w="0" w:type="dxa"/>
              <w:right w:w="0" w:type="dxa"/>
            </w:tcMar>
            <w:vAlign w:val="center"/>
          </w:tcPr>
          <w:p>
            <w:pPr>
              <w:pStyle w:val="TableContents"/>
              <w:bidi w:val="0"/>
              <w:spacing w:lineRule="auto" w:line="312" w:before="0" w:after="180"/>
              <w:jc w:val="left"/>
              <w:rPr>
                <w:rFonts w:ascii="Arial;sans-serif" w:hAnsi="Arial;sans-serif"/>
                <w:b w:val="false"/>
                <w:color w:val="000000"/>
                <w:sz w:val="18"/>
              </w:rPr>
            </w:pPr>
            <w:r>
              <w:rPr>
                <w:rFonts w:ascii="Arial;sans-serif" w:hAnsi="Arial;sans-serif"/>
                <w:b w:val="false"/>
                <w:color w:val="000000"/>
                <w:sz w:val="18"/>
              </w:rPr>
              <w:t>Actively engage in year-round dialogue with our stockholders and incorporate feedback into our compensation programs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gridSpan w:val="3"/>
            <w:tcBorders/>
            <w:shd w:fill="EDEDEE" w:val="clear"/>
            <w:tcMar>
              <w:top w:w="0" w:type="dxa"/>
              <w:left w:w="0" w:type="dxa"/>
              <w:bottom w:w="0" w:type="dxa"/>
              <w:right w:w="0" w:type="dxa"/>
            </w:tcMar>
            <w:vAlign w:val="center"/>
          </w:tcPr>
          <w:p>
            <w:pPr>
              <w:pStyle w:val="TableContents"/>
              <w:bidi w:val="0"/>
              <w:spacing w:lineRule="auto" w:line="240" w:before="0" w:after="283"/>
              <w:jc w:val="center"/>
              <w:rPr>
                <w:rFonts w:ascii="Wingdings;sans-serif" w:hAnsi="Wingdings;sans-serif"/>
                <w:b/>
                <w:color w:val="000000"/>
                <w:sz w:val="20"/>
              </w:rPr>
            </w:pPr>
            <w:r>
              <w:rPr>
                <w:rFonts w:ascii="Wingdings;sans-serif" w:hAnsi="Wingdings;sans-serif"/>
                <w:b/>
                <w:color w:val="000000"/>
                <w:sz w:val="20"/>
              </w:rPr>
              <w:t>û</w:t>
            </w:r>
          </w:p>
        </w:tc>
        <w:tc>
          <w:tcPr>
            <w:tcW w:w="3306" w:type="dxa"/>
            <w:gridSpan w:val="3"/>
            <w:tcBorders/>
            <w:shd w:fill="EDEDEE" w:val="clear"/>
            <w:tcMar>
              <w:top w:w="0" w:type="dxa"/>
              <w:left w:w="0" w:type="dxa"/>
              <w:bottom w:w="0" w:type="dxa"/>
              <w:right w:w="0" w:type="dxa"/>
            </w:tcMar>
            <w:vAlign w:val="center"/>
          </w:tcPr>
          <w:p>
            <w:pPr>
              <w:pStyle w:val="TableContents"/>
              <w:bidi w:val="0"/>
              <w:spacing w:lineRule="auto" w:line="312" w:before="0" w:after="283"/>
              <w:jc w:val="left"/>
              <w:rPr>
                <w:rFonts w:ascii="Arial;sans-serif" w:hAnsi="Arial;sans-serif"/>
                <w:b w:val="false"/>
                <w:color w:val="000000"/>
                <w:sz w:val="18"/>
              </w:rPr>
            </w:pPr>
            <w:r>
              <w:rPr>
                <w:rFonts w:ascii="Arial;sans-serif" w:hAnsi="Arial;sans-serif"/>
                <w:b w:val="false"/>
                <w:color w:val="000000"/>
                <w:sz w:val="18"/>
              </w:rPr>
              <w:t>No pension plans or Supplemental Executive Retirement Plans</w:t>
            </w:r>
          </w:p>
        </w:tc>
      </w:tr>
      <w:tr>
        <w:trPr/>
        <w:tc>
          <w:tcPr>
            <w:tcW w:w="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Wingdings;sans-serif" w:hAnsi="Wingdings;sans-serif"/>
                <w:b/>
                <w:color w:val="74A333"/>
                <w:sz w:val="28"/>
              </w:rPr>
            </w:pPr>
            <w:r>
              <w:rPr>
                <w:rFonts w:ascii="Wingdings;sans-serif" w:hAnsi="Wingdings;sans-serif"/>
                <w:b/>
                <w:color w:val="74A333"/>
                <w:sz w:val="28"/>
              </w:rPr>
              <w:t>ü</w:t>
            </w:r>
          </w:p>
        </w:tc>
        <w:tc>
          <w:tcPr>
            <w:tcW w:w="5587" w:type="dxa"/>
            <w:gridSpan w:val="3"/>
            <w:tcBorders/>
            <w:tcMar>
              <w:top w:w="0" w:type="dxa"/>
              <w:left w:w="0" w:type="dxa"/>
              <w:bottom w:w="0" w:type="dxa"/>
              <w:right w:w="0" w:type="dxa"/>
            </w:tcMar>
            <w:vAlign w:val="center"/>
          </w:tcPr>
          <w:p>
            <w:pPr>
              <w:pStyle w:val="TableContents"/>
              <w:bidi w:val="0"/>
              <w:spacing w:lineRule="auto" w:line="312" w:before="0" w:after="283"/>
              <w:jc w:val="left"/>
              <w:rPr>
                <w:rFonts w:ascii="Arial;sans-serif" w:hAnsi="Arial;sans-serif"/>
                <w:b w:val="false"/>
                <w:color w:val="000000"/>
                <w:sz w:val="18"/>
              </w:rPr>
            </w:pPr>
            <w:r>
              <w:rPr>
                <w:rFonts w:ascii="Arial;sans-serif" w:hAnsi="Arial;sans-serif"/>
                <w:b w:val="false"/>
                <w:color w:val="000000"/>
                <w:sz w:val="18"/>
              </w:rPr>
              <w:t>Significant portion of compensation for Named Executive Officers is “at-risk” based on company performance (financial &amp; stock price)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Wingdings;sans-serif" w:hAnsi="Wingdings;sans-serif"/>
                <w:b/>
                <w:color w:val="000000"/>
                <w:sz w:val="20"/>
              </w:rPr>
            </w:pPr>
            <w:r>
              <w:rPr>
                <w:rFonts w:ascii="Wingdings;sans-serif" w:hAnsi="Wingdings;sans-serif"/>
                <w:b/>
                <w:color w:val="000000"/>
                <w:sz w:val="20"/>
              </w:rPr>
              <w:t>û</w:t>
            </w:r>
          </w:p>
        </w:tc>
        <w:tc>
          <w:tcPr>
            <w:tcW w:w="3306" w:type="dxa"/>
            <w:gridSpan w:val="3"/>
            <w:tcBorders/>
            <w:tcMar>
              <w:top w:w="0" w:type="dxa"/>
              <w:left w:w="0" w:type="dxa"/>
              <w:bottom w:w="0" w:type="dxa"/>
              <w:right w:w="0" w:type="dxa"/>
            </w:tcMar>
            <w:vAlign w:val="center"/>
          </w:tcPr>
          <w:p>
            <w:pPr>
              <w:pStyle w:val="TableContents"/>
              <w:bidi w:val="0"/>
              <w:spacing w:lineRule="auto" w:line="312" w:before="0" w:after="283"/>
              <w:jc w:val="left"/>
              <w:rPr>
                <w:rFonts w:ascii="Arial;sans-serif" w:hAnsi="Arial;sans-serif"/>
                <w:b w:val="false"/>
                <w:color w:val="000000"/>
                <w:sz w:val="18"/>
              </w:rPr>
            </w:pPr>
            <w:r>
              <w:rPr>
                <w:rFonts w:ascii="Arial;sans-serif" w:hAnsi="Arial;sans-serif"/>
                <w:b w:val="false"/>
                <w:color w:val="000000"/>
                <w:sz w:val="18"/>
              </w:rPr>
              <w:t>No hedging or pledging of our securities</w:t>
            </w:r>
          </w:p>
        </w:tc>
      </w:tr>
      <w:tr>
        <w:trPr/>
        <w:tc>
          <w:tcPr>
            <w:tcW w:w="454"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6"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 w:type="dxa"/>
            <w:gridSpan w:val="3"/>
            <w:tcBorders/>
            <w:shd w:fill="EDEDEE" w:val="clear"/>
            <w:tcMar>
              <w:top w:w="0" w:type="dxa"/>
              <w:left w:w="0" w:type="dxa"/>
              <w:bottom w:w="0" w:type="dxa"/>
              <w:right w:w="0" w:type="dxa"/>
            </w:tcMar>
            <w:vAlign w:val="center"/>
          </w:tcPr>
          <w:p>
            <w:pPr>
              <w:pStyle w:val="TableContents"/>
              <w:bidi w:val="0"/>
              <w:spacing w:lineRule="auto" w:line="288" w:before="0" w:after="283"/>
              <w:jc w:val="left"/>
              <w:rPr>
                <w:rFonts w:ascii="Wingdings;sans-serif" w:hAnsi="Wingdings;sans-serif"/>
                <w:b/>
                <w:color w:val="74A333"/>
                <w:sz w:val="28"/>
              </w:rPr>
            </w:pPr>
            <w:r>
              <w:rPr>
                <w:rFonts w:ascii="Wingdings;sans-serif" w:hAnsi="Wingdings;sans-serif"/>
                <w:b/>
                <w:color w:val="74A333"/>
                <w:sz w:val="28"/>
              </w:rPr>
              <w:t>ü</w:t>
            </w:r>
          </w:p>
        </w:tc>
        <w:tc>
          <w:tcPr>
            <w:tcW w:w="5587" w:type="dxa"/>
            <w:gridSpan w:val="3"/>
            <w:tcBorders/>
            <w:shd w:fill="EDEDEE" w:val="clear"/>
            <w:tcMar>
              <w:top w:w="0" w:type="dxa"/>
              <w:left w:w="0" w:type="dxa"/>
              <w:bottom w:w="0" w:type="dxa"/>
              <w:right w:w="0" w:type="dxa"/>
            </w:tcMar>
            <w:vAlign w:val="center"/>
          </w:tcPr>
          <w:p>
            <w:pPr>
              <w:pStyle w:val="TableContents"/>
              <w:bidi w:val="0"/>
              <w:spacing w:lineRule="auto" w:line="312" w:before="0" w:after="180"/>
              <w:jc w:val="left"/>
              <w:rPr>
                <w:rFonts w:ascii="Arial;sans-serif" w:hAnsi="Arial;sans-serif"/>
                <w:b w:val="false"/>
                <w:color w:val="000000"/>
                <w:sz w:val="18"/>
              </w:rPr>
            </w:pPr>
            <w:r>
              <w:rPr>
                <w:rFonts w:ascii="Arial;sans-serif" w:hAnsi="Arial;sans-serif"/>
                <w:b w:val="false"/>
                <w:color w:val="000000"/>
                <w:sz w:val="18"/>
              </w:rPr>
              <w:t>Provide compensation mix that more heavily weights variable pay and long-term equity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gridSpan w:val="3"/>
            <w:tcBorders/>
            <w:shd w:fill="EDEDEE" w:val="clear"/>
            <w:tcMar>
              <w:top w:w="0" w:type="dxa"/>
              <w:left w:w="0" w:type="dxa"/>
              <w:bottom w:w="0" w:type="dxa"/>
              <w:right w:w="0" w:type="dxa"/>
            </w:tcMar>
            <w:vAlign w:val="center"/>
          </w:tcPr>
          <w:p>
            <w:pPr>
              <w:pStyle w:val="TableContents"/>
              <w:bidi w:val="0"/>
              <w:spacing w:lineRule="auto" w:line="240" w:before="0" w:after="283"/>
              <w:jc w:val="center"/>
              <w:rPr>
                <w:rFonts w:ascii="Wingdings;sans-serif" w:hAnsi="Wingdings;sans-serif"/>
                <w:b/>
                <w:color w:val="000000"/>
                <w:sz w:val="20"/>
              </w:rPr>
            </w:pPr>
            <w:r>
              <w:rPr>
                <w:rFonts w:ascii="Wingdings;sans-serif" w:hAnsi="Wingdings;sans-serif"/>
                <w:b/>
                <w:color w:val="000000"/>
                <w:sz w:val="20"/>
              </w:rPr>
              <w:t>û</w:t>
            </w:r>
          </w:p>
        </w:tc>
        <w:tc>
          <w:tcPr>
            <w:tcW w:w="3306" w:type="dxa"/>
            <w:gridSpan w:val="3"/>
            <w:tcBorders/>
            <w:shd w:fill="EDEDEE" w:val="clear"/>
            <w:tcMar>
              <w:top w:w="0" w:type="dxa"/>
              <w:left w:w="0" w:type="dxa"/>
              <w:bottom w:w="0" w:type="dxa"/>
              <w:right w:w="0" w:type="dxa"/>
            </w:tcMar>
            <w:vAlign w:val="center"/>
          </w:tcPr>
          <w:p>
            <w:pPr>
              <w:pStyle w:val="TableContents"/>
              <w:bidi w:val="0"/>
              <w:spacing w:lineRule="auto" w:line="312" w:before="0" w:after="283"/>
              <w:jc w:val="left"/>
              <w:rPr>
                <w:rFonts w:ascii="Arial;sans-serif" w:hAnsi="Arial;sans-serif"/>
                <w:b w:val="false"/>
                <w:color w:val="000000"/>
                <w:sz w:val="18"/>
              </w:rPr>
            </w:pPr>
            <w:r>
              <w:rPr>
                <w:rFonts w:ascii="Arial;sans-serif" w:hAnsi="Arial;sans-serif"/>
                <w:b w:val="false"/>
                <w:color w:val="000000"/>
                <w:sz w:val="18"/>
              </w:rPr>
              <w:t>No excise tax gross-up upon a change of control</w:t>
            </w:r>
          </w:p>
        </w:tc>
      </w:tr>
      <w:tr>
        <w:trPr/>
        <w:tc>
          <w:tcPr>
            <w:tcW w:w="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Wingdings;sans-serif" w:hAnsi="Wingdings;sans-serif"/>
                <w:b/>
                <w:color w:val="74A333"/>
                <w:sz w:val="28"/>
              </w:rPr>
            </w:pPr>
            <w:r>
              <w:rPr>
                <w:rFonts w:ascii="Wingdings;sans-serif" w:hAnsi="Wingdings;sans-serif"/>
                <w:b/>
                <w:color w:val="74A333"/>
                <w:sz w:val="28"/>
              </w:rPr>
              <w:t>ü</w:t>
            </w:r>
          </w:p>
        </w:tc>
        <w:tc>
          <w:tcPr>
            <w:tcW w:w="5587" w:type="dxa"/>
            <w:gridSpan w:val="3"/>
            <w:tcBorders/>
            <w:tcMar>
              <w:top w:w="0" w:type="dxa"/>
              <w:left w:w="0" w:type="dxa"/>
              <w:bottom w:w="0" w:type="dxa"/>
              <w:right w:w="0" w:type="dxa"/>
            </w:tcMar>
            <w:vAlign w:val="center"/>
          </w:tcPr>
          <w:p>
            <w:pPr>
              <w:pStyle w:val="TableContents"/>
              <w:bidi w:val="0"/>
              <w:spacing w:lineRule="auto" w:line="312" w:before="0" w:after="180"/>
              <w:jc w:val="left"/>
              <w:rPr>
                <w:rFonts w:ascii="Arial;sans-serif" w:hAnsi="Arial;sans-serif"/>
                <w:b w:val="false"/>
                <w:color w:val="000000"/>
                <w:sz w:val="18"/>
              </w:rPr>
            </w:pPr>
            <w:r>
              <w:rPr>
                <w:rFonts w:ascii="Arial;sans-serif" w:hAnsi="Arial;sans-serif"/>
                <w:b w:val="false"/>
                <w:color w:val="000000"/>
                <w:sz w:val="18"/>
              </w:rPr>
              <w:t xml:space="preserve">Stock ownership requirements apply to all Named Executive Officers and non-employee directors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Wingdings;sans-serif" w:hAnsi="Wingdings;sans-serif"/>
                <w:b/>
                <w:color w:val="000000"/>
                <w:sz w:val="20"/>
              </w:rPr>
            </w:pPr>
            <w:r>
              <w:rPr>
                <w:rFonts w:ascii="Wingdings;sans-serif" w:hAnsi="Wingdings;sans-serif"/>
                <w:b/>
                <w:color w:val="000000"/>
                <w:sz w:val="20"/>
              </w:rPr>
              <w:t>û</w:t>
            </w:r>
          </w:p>
        </w:tc>
        <w:tc>
          <w:tcPr>
            <w:tcW w:w="3306" w:type="dxa"/>
            <w:gridSpan w:val="3"/>
            <w:tcBorders/>
            <w:tcMar>
              <w:top w:w="0" w:type="dxa"/>
              <w:left w:w="0" w:type="dxa"/>
              <w:bottom w:w="0" w:type="dxa"/>
              <w:right w:w="0" w:type="dxa"/>
            </w:tcMar>
            <w:vAlign w:val="center"/>
          </w:tcPr>
          <w:p>
            <w:pPr>
              <w:pStyle w:val="TableContents"/>
              <w:bidi w:val="0"/>
              <w:spacing w:lineRule="auto" w:line="312" w:before="0" w:after="180"/>
              <w:jc w:val="left"/>
              <w:rPr>
                <w:rFonts w:ascii="Arial;sans-serif" w:hAnsi="Arial;sans-serif"/>
                <w:b w:val="false"/>
                <w:color w:val="000000"/>
                <w:sz w:val="18"/>
              </w:rPr>
            </w:pPr>
            <w:r>
              <w:rPr>
                <w:rFonts w:ascii="Arial;sans-serif" w:hAnsi="Arial;sans-serif"/>
                <w:b w:val="false"/>
                <w:color w:val="000000"/>
                <w:sz w:val="18"/>
              </w:rPr>
              <w:t>No significant perquisites to our Named Executive Officers</w:t>
            </w:r>
          </w:p>
        </w:tc>
      </w:tr>
      <w:tr>
        <w:trPr/>
        <w:tc>
          <w:tcPr>
            <w:tcW w:w="454"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6"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 w:type="dxa"/>
            <w:gridSpan w:val="3"/>
            <w:tcBorders/>
            <w:shd w:fill="EDEDEE" w:val="clear"/>
            <w:tcMar>
              <w:top w:w="0" w:type="dxa"/>
              <w:left w:w="0" w:type="dxa"/>
              <w:bottom w:w="0" w:type="dxa"/>
              <w:right w:w="0" w:type="dxa"/>
            </w:tcMar>
            <w:vAlign w:val="center"/>
          </w:tcPr>
          <w:p>
            <w:pPr>
              <w:pStyle w:val="TableContents"/>
              <w:bidi w:val="0"/>
              <w:spacing w:lineRule="auto" w:line="288" w:before="0" w:after="283"/>
              <w:jc w:val="left"/>
              <w:rPr>
                <w:rFonts w:ascii="Wingdings;sans-serif" w:hAnsi="Wingdings;sans-serif"/>
                <w:b/>
                <w:color w:val="74A333"/>
                <w:sz w:val="28"/>
              </w:rPr>
            </w:pPr>
            <w:r>
              <w:rPr>
                <w:rFonts w:ascii="Wingdings;sans-serif" w:hAnsi="Wingdings;sans-serif"/>
                <w:b/>
                <w:color w:val="74A333"/>
                <w:sz w:val="28"/>
              </w:rPr>
              <w:t>ü</w:t>
            </w:r>
          </w:p>
        </w:tc>
        <w:tc>
          <w:tcPr>
            <w:tcW w:w="5587" w:type="dxa"/>
            <w:gridSpan w:val="3"/>
            <w:tcBorders/>
            <w:shd w:fill="EDEDEE" w:val="clear"/>
            <w:tcMar>
              <w:top w:w="0" w:type="dxa"/>
              <w:left w:w="0" w:type="dxa"/>
              <w:bottom w:w="0" w:type="dxa"/>
              <w:right w:w="0" w:type="dxa"/>
            </w:tcMar>
            <w:vAlign w:val="center"/>
          </w:tcPr>
          <w:p>
            <w:pPr>
              <w:pStyle w:val="TableContents"/>
              <w:bidi w:val="0"/>
              <w:spacing w:lineRule="auto" w:line="312" w:before="0" w:after="180"/>
              <w:jc w:val="left"/>
              <w:rPr>
                <w:rFonts w:ascii="Arial;sans-serif" w:hAnsi="Arial;sans-serif"/>
                <w:b w:val="false"/>
                <w:color w:val="000000"/>
                <w:sz w:val="18"/>
              </w:rPr>
            </w:pPr>
            <w:r>
              <w:rPr>
                <w:rFonts w:ascii="Arial;sans-serif" w:hAnsi="Arial;sans-serif"/>
                <w:b w:val="false"/>
                <w:color w:val="000000"/>
                <w:sz w:val="18"/>
              </w:rPr>
              <w:t>An independent compensation consultant advises the Compensation Committee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gridSpan w:val="3"/>
            <w:tcBorders/>
            <w:shd w:fill="EDEDEE" w:val="clear"/>
            <w:tcMar>
              <w:top w:w="0" w:type="dxa"/>
              <w:left w:w="0" w:type="dxa"/>
              <w:bottom w:w="0" w:type="dxa"/>
              <w:right w:w="0" w:type="dxa"/>
            </w:tcMar>
            <w:vAlign w:val="center"/>
          </w:tcPr>
          <w:p>
            <w:pPr>
              <w:pStyle w:val="TableContents"/>
              <w:bidi w:val="0"/>
              <w:spacing w:lineRule="auto" w:line="240" w:before="0" w:after="283"/>
              <w:jc w:val="center"/>
              <w:rPr>
                <w:rFonts w:ascii="Wingdings;sans-serif" w:hAnsi="Wingdings;sans-serif"/>
                <w:b/>
                <w:color w:val="000000"/>
                <w:sz w:val="20"/>
              </w:rPr>
            </w:pPr>
            <w:r>
              <w:rPr>
                <w:rFonts w:ascii="Wingdings;sans-serif" w:hAnsi="Wingdings;sans-serif"/>
                <w:b/>
                <w:color w:val="000000"/>
                <w:sz w:val="20"/>
              </w:rPr>
              <w:t>û</w:t>
            </w:r>
          </w:p>
        </w:tc>
        <w:tc>
          <w:tcPr>
            <w:tcW w:w="3306" w:type="dxa"/>
            <w:gridSpan w:val="3"/>
            <w:tcBorders/>
            <w:shd w:fill="EDEDEE" w:val="clear"/>
            <w:tcMar>
              <w:top w:w="0" w:type="dxa"/>
              <w:left w:w="0" w:type="dxa"/>
              <w:bottom w:w="0" w:type="dxa"/>
              <w:right w:w="0" w:type="dxa"/>
            </w:tcMar>
            <w:vAlign w:val="center"/>
          </w:tcPr>
          <w:p>
            <w:pPr>
              <w:pStyle w:val="TableContents"/>
              <w:bidi w:val="0"/>
              <w:spacing w:lineRule="auto" w:line="312" w:before="0" w:after="180"/>
              <w:jc w:val="left"/>
              <w:rPr>
                <w:rFonts w:ascii="Arial;sans-serif" w:hAnsi="Arial;sans-serif"/>
                <w:b w:val="false"/>
                <w:color w:val="000000"/>
                <w:sz w:val="18"/>
              </w:rPr>
            </w:pPr>
            <w:r>
              <w:rPr>
                <w:rFonts w:ascii="Arial;sans-serif" w:hAnsi="Arial;sans-serif"/>
                <w:b w:val="false"/>
                <w:color w:val="000000"/>
                <w:sz w:val="18"/>
              </w:rPr>
              <w:t>No single-trigger equity acceleration or excessive severance benefits</w:t>
            </w:r>
          </w:p>
        </w:tc>
      </w:tr>
      <w:tr>
        <w:trPr/>
        <w:tc>
          <w:tcPr>
            <w:tcW w:w="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Wingdings;sans-serif" w:hAnsi="Wingdings;sans-serif"/>
                <w:b/>
                <w:color w:val="74A333"/>
                <w:sz w:val="28"/>
              </w:rPr>
            </w:pPr>
            <w:r>
              <w:rPr>
                <w:rFonts w:ascii="Wingdings;sans-serif" w:hAnsi="Wingdings;sans-serif"/>
                <w:b/>
                <w:color w:val="74A333"/>
                <w:sz w:val="28"/>
              </w:rPr>
              <w:t>ü</w:t>
            </w:r>
          </w:p>
        </w:tc>
        <w:tc>
          <w:tcPr>
            <w:tcW w:w="5587" w:type="dxa"/>
            <w:gridSpan w:val="3"/>
            <w:tcBorders/>
            <w:tcMar>
              <w:top w:w="0" w:type="dxa"/>
              <w:left w:w="0" w:type="dxa"/>
              <w:bottom w:w="0" w:type="dxa"/>
              <w:right w:w="0" w:type="dxa"/>
            </w:tcMar>
            <w:vAlign w:val="center"/>
          </w:tcPr>
          <w:p>
            <w:pPr>
              <w:pStyle w:val="TableContents"/>
              <w:bidi w:val="0"/>
              <w:spacing w:lineRule="auto" w:line="312" w:before="0" w:after="180"/>
              <w:jc w:val="left"/>
              <w:rPr>
                <w:rFonts w:ascii="Arial;sans-serif" w:hAnsi="Arial;sans-serif"/>
                <w:b w:val="false"/>
                <w:color w:val="000000"/>
                <w:sz w:val="18"/>
              </w:rPr>
            </w:pPr>
            <w:r>
              <w:rPr>
                <w:rFonts w:ascii="Arial;sans-serif" w:hAnsi="Arial;sans-serif"/>
                <w:b w:val="false"/>
                <w:color w:val="000000"/>
                <w:sz w:val="18"/>
              </w:rPr>
              <w:t>Annually assess the risk-reward balance of our compensation programs in order to mitigate undue risks in our programs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6" w:type="dxa"/>
            <w:gridSpan w:val="3"/>
            <w:tcBorders/>
            <w:tcMar>
              <w:top w:w="0" w:type="dxa"/>
              <w:left w:w="0" w:type="dxa"/>
              <w:bottom w:w="0" w:type="dxa"/>
              <w:right w:w="0" w:type="dxa"/>
            </w:tcMar>
            <w:vAlign w:val="center"/>
          </w:tcPr>
          <w:p>
            <w:pPr>
              <w:pStyle w:val="TableContents"/>
              <w:bidi w:val="0"/>
              <w:spacing w:before="0" w:after="180"/>
              <w:jc w:val="left"/>
              <w:rPr/>
            </w:pPr>
            <w:r>
              <w:rPr/>
            </w:r>
          </w:p>
        </w:tc>
      </w:tr>
      <w:tr>
        <w:trPr/>
        <w:tc>
          <w:tcPr>
            <w:tcW w:w="454"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6"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 w:type="dxa"/>
            <w:gridSpan w:val="3"/>
            <w:tcBorders/>
            <w:shd w:fill="EDEDEE" w:val="clear"/>
            <w:tcMar>
              <w:top w:w="0" w:type="dxa"/>
              <w:left w:w="0" w:type="dxa"/>
              <w:bottom w:w="0" w:type="dxa"/>
              <w:right w:w="0" w:type="dxa"/>
            </w:tcMar>
            <w:vAlign w:val="center"/>
          </w:tcPr>
          <w:p>
            <w:pPr>
              <w:pStyle w:val="TableContents"/>
              <w:bidi w:val="0"/>
              <w:spacing w:lineRule="auto" w:line="288" w:before="0" w:after="283"/>
              <w:jc w:val="left"/>
              <w:rPr>
                <w:rFonts w:ascii="Wingdings;sans-serif" w:hAnsi="Wingdings;sans-serif"/>
                <w:b/>
                <w:color w:val="74A333"/>
                <w:sz w:val="28"/>
              </w:rPr>
            </w:pPr>
            <w:r>
              <w:rPr>
                <w:rFonts w:ascii="Wingdings;sans-serif" w:hAnsi="Wingdings;sans-serif"/>
                <w:b/>
                <w:color w:val="74A333"/>
                <w:sz w:val="28"/>
              </w:rPr>
              <w:t>ü</w:t>
            </w:r>
          </w:p>
        </w:tc>
        <w:tc>
          <w:tcPr>
            <w:tcW w:w="5587" w:type="dxa"/>
            <w:gridSpan w:val="3"/>
            <w:tcBorders/>
            <w:shd w:fill="EDEDEE" w:val="clear"/>
            <w:tcMar>
              <w:top w:w="0" w:type="dxa"/>
              <w:left w:w="0" w:type="dxa"/>
              <w:bottom w:w="0" w:type="dxa"/>
              <w:right w:w="0" w:type="dxa"/>
            </w:tcMar>
            <w:vAlign w:val="center"/>
          </w:tcPr>
          <w:p>
            <w:pPr>
              <w:pStyle w:val="TableContents"/>
              <w:bidi w:val="0"/>
              <w:spacing w:lineRule="auto" w:line="312" w:before="0" w:after="180"/>
              <w:jc w:val="left"/>
              <w:rPr>
                <w:rFonts w:ascii="Arial;sans-serif" w:hAnsi="Arial;sans-serif"/>
                <w:b w:val="false"/>
                <w:color w:val="000000"/>
                <w:sz w:val="18"/>
              </w:rPr>
            </w:pPr>
            <w:r>
              <w:rPr>
                <w:rFonts w:ascii="Arial;sans-serif" w:hAnsi="Arial;sans-serif"/>
                <w:b w:val="false"/>
                <w:color w:val="000000"/>
                <w:sz w:val="18"/>
              </w:rPr>
              <w:t>Maintain a fully independent Compensation Committee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6"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Wingdings;sans-serif" w:hAnsi="Wingdings;sans-serif"/>
                <w:b/>
                <w:color w:val="74A333"/>
                <w:sz w:val="28"/>
              </w:rPr>
            </w:pPr>
            <w:r>
              <w:rPr>
                <w:rFonts w:ascii="Wingdings;sans-serif" w:hAnsi="Wingdings;sans-serif"/>
                <w:b/>
                <w:color w:val="74A333"/>
                <w:sz w:val="28"/>
              </w:rPr>
              <w:t>ü</w:t>
            </w:r>
          </w:p>
        </w:tc>
        <w:tc>
          <w:tcPr>
            <w:tcW w:w="5587" w:type="dxa"/>
            <w:gridSpan w:val="3"/>
            <w:tcBorders/>
            <w:tcMar>
              <w:top w:w="0" w:type="dxa"/>
              <w:left w:w="0" w:type="dxa"/>
              <w:bottom w:w="0" w:type="dxa"/>
              <w:right w:w="0" w:type="dxa"/>
            </w:tcMar>
            <w:vAlign w:val="center"/>
          </w:tcPr>
          <w:p>
            <w:pPr>
              <w:pStyle w:val="TableContents"/>
              <w:bidi w:val="0"/>
              <w:spacing w:lineRule="auto" w:line="312" w:before="0" w:after="283"/>
              <w:jc w:val="left"/>
              <w:rPr>
                <w:rFonts w:ascii="Arial;sans-serif" w:hAnsi="Arial;sans-serif"/>
                <w:b w:val="false"/>
                <w:color w:val="000000"/>
                <w:sz w:val="18"/>
              </w:rPr>
            </w:pPr>
            <w:r>
              <w:rPr>
                <w:rFonts w:ascii="Arial;sans-serif" w:hAnsi="Arial;sans-serif"/>
                <w:b w:val="false"/>
                <w:color w:val="000000"/>
                <w:sz w:val="18"/>
              </w:rPr>
              <w:t>Maintain a clawback policy that provides for the recoupment of incentive compensation in the case of a financial restatement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6"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 w:type="dxa"/>
            <w:gridSpan w:val="3"/>
            <w:tcBorders>
              <w:bottom w:val="single" w:sz="12" w:space="0" w:color="74A333"/>
            </w:tcBorders>
            <w:shd w:fill="EDEDEE" w:val="clear"/>
            <w:tcMar>
              <w:top w:w="0" w:type="dxa"/>
              <w:left w:w="0" w:type="dxa"/>
              <w:bottom w:w="30" w:type="dxa"/>
              <w:right w:w="0" w:type="dxa"/>
            </w:tcMar>
            <w:vAlign w:val="center"/>
          </w:tcPr>
          <w:p>
            <w:pPr>
              <w:pStyle w:val="TableContents"/>
              <w:bidi w:val="0"/>
              <w:spacing w:lineRule="auto" w:line="240" w:before="0" w:after="283"/>
              <w:jc w:val="center"/>
              <w:rPr>
                <w:rFonts w:ascii="Wingdings;sans-serif" w:hAnsi="Wingdings;sans-serif"/>
                <w:b/>
                <w:color w:val="000000"/>
                <w:sz w:val="20"/>
              </w:rPr>
            </w:pPr>
            <w:r>
              <w:rPr>
                <w:rFonts w:ascii="Wingdings;sans-serif" w:hAnsi="Wingdings;sans-serif"/>
                <w:b/>
                <w:color w:val="000000"/>
                <w:sz w:val="20"/>
              </w:rPr>
              <w:t>ü</w:t>
            </w:r>
          </w:p>
        </w:tc>
        <w:tc>
          <w:tcPr>
            <w:tcW w:w="5587" w:type="dxa"/>
            <w:gridSpan w:val="3"/>
            <w:tcBorders>
              <w:bottom w:val="single" w:sz="12" w:space="0" w:color="74A333"/>
            </w:tcBorders>
            <w:shd w:fill="EDEDEE" w:val="clear"/>
            <w:tcMar>
              <w:top w:w="0" w:type="dxa"/>
              <w:left w:w="0" w:type="dxa"/>
              <w:bottom w:w="30" w:type="dxa"/>
              <w:right w:w="0" w:type="dxa"/>
            </w:tcMar>
            <w:vAlign w:val="center"/>
          </w:tcPr>
          <w:p>
            <w:pPr>
              <w:pStyle w:val="TableContents"/>
              <w:bidi w:val="0"/>
              <w:spacing w:lineRule="auto" w:line="312" w:before="0" w:after="283"/>
              <w:jc w:val="left"/>
              <w:rPr>
                <w:rFonts w:ascii="Arial;sans-serif" w:hAnsi="Arial;sans-serif"/>
                <w:b w:val="false"/>
                <w:color w:val="000000"/>
                <w:sz w:val="18"/>
              </w:rPr>
            </w:pPr>
            <w:r>
              <w:rPr>
                <w:rFonts w:ascii="Arial;sans-serif" w:hAnsi="Arial;sans-serif"/>
                <w:b w:val="false"/>
                <w:color w:val="000000"/>
                <w:sz w:val="18"/>
              </w:rPr>
              <w:t>Our Board of Directors maintains a robust succession strategy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gridSpan w:val="3"/>
            <w:tcBorders>
              <w:bottom w:val="single" w:sz="12" w:space="0" w:color="74A333"/>
            </w:tcBorders>
            <w:shd w:fill="EDEDEE"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306" w:type="dxa"/>
            <w:gridSpan w:val="3"/>
            <w:tcBorders>
              <w:bottom w:val="single" w:sz="12" w:space="0" w:color="74A333"/>
            </w:tcBorders>
            <w:shd w:fill="EDEDEE"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80"/>
        <w:jc w:val="left"/>
        <w:rPr>
          <w:rFonts w:ascii="Arial;sans-serif" w:hAnsi="Arial;sans-serif"/>
          <w:b w:val="false"/>
          <w:color w:val="000000"/>
          <w:sz w:val="24"/>
        </w:rPr>
      </w:pPr>
      <w:r>
        <w:rPr>
          <w:rFonts w:ascii="Arial;sans-serif" w:hAnsi="Arial;sans-serif"/>
          <w:b w:val="false"/>
          <w:color w:val="000000"/>
          <w:sz w:val="24"/>
        </w:rPr>
        <w:t xml:space="preserve">COMPENSATION PHILOSOPHY AND GUIDING PRINCIPLES </w:t>
      </w:r>
    </w:p>
    <w:p>
      <w:pPr>
        <w:pStyle w:val="TextBody"/>
        <w:bidi w:val="0"/>
        <w:spacing w:lineRule="auto" w:line="312" w:before="0" w:after="180"/>
        <w:jc w:val="left"/>
        <w:rPr>
          <w:rFonts w:ascii="Arial;sans-serif" w:hAnsi="Arial;sans-serif"/>
          <w:b w:val="false"/>
          <w:color w:val="000000"/>
          <w:sz w:val="18"/>
        </w:rPr>
      </w:pPr>
      <w:r>
        <w:rPr>
          <w:rFonts w:ascii="Arial;sans-serif" w:hAnsi="Arial;sans-serif"/>
          <w:b w:val="false"/>
          <w:color w:val="000000"/>
          <w:sz w:val="18"/>
        </w:rPr>
        <w:t>We have designed our executive compensation program to reward our Named Executive Officers at a level consistent with our overall strategic and financial performance and to provide remuneration sufficient to attract, retain, and motivate them to exert their best efforts in the highly competitive environment in which we operate. We believe that competitive compensation packages consisting of a combination of base salaries, annual cash bonus opportunities, and long-term incentive opportunities in the form of equity awards that are earned over a multi-year period enable us to attract top talent, motivate successful short-term and long-term performance, satisfy our retention objectives, and align the compensation of our executive officers with our performance and long-term value creation for our stockholders.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739140"/>
                <wp:effectExtent l="0" t="0" r="0" b="0"/>
                <wp:wrapNone/>
                <wp:docPr id="51" name="Frame31"/>
                <a:graphic xmlns:a="http://schemas.openxmlformats.org/drawingml/2006/main">
                  <a:graphicData uri="http://schemas.microsoft.com/office/word/2010/wordprocessingShape">
                    <wps:wsp>
                      <wps:cNvSpPr txBox="1"/>
                      <wps:spPr>
                        <a:xfrm>
                          <a:off x="0" y="0"/>
                          <a:ext cx="6480175" cy="739140"/>
                        </a:xfrm>
                        <a:prstGeom prst="rect"/>
                        <a:solidFill>
                          <a:srgbClr val="FFFFFF"/>
                        </a:solidFill>
                      </wps:spPr>
                      <wps:txbx>
                        <w:txbxContent>
                          <w:tbl>
                            <w:tblPr>
                              <w:tblW w:w="3266" w:type="dxa"/>
                              <w:jc w:val="center"/>
                              <w:tblInd w:w="0" w:type="dxa"/>
                              <w:tblLayout w:type="fixed"/>
                              <w:tblCellMar>
                                <w:top w:w="28" w:type="dxa"/>
                                <w:left w:w="28" w:type="dxa"/>
                                <w:bottom w:w="28" w:type="dxa"/>
                                <w:right w:w="28" w:type="dxa"/>
                              </w:tblCellMar>
                            </w:tblPr>
                            <w:tblGrid>
                              <w:gridCol w:w="424"/>
                              <w:gridCol w:w="372"/>
                              <w:gridCol w:w="374"/>
                              <w:gridCol w:w="109"/>
                              <w:gridCol w:w="109"/>
                              <w:gridCol w:w="109"/>
                              <w:gridCol w:w="517"/>
                              <w:gridCol w:w="517"/>
                              <w:gridCol w:w="735"/>
                            </w:tblGrid>
                            <w:tr>
                              <w:trPr/>
                              <w:tc>
                                <w:tcPr>
                                  <w:tcW w:w="424"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r>
                            <w:tr>
                              <w:trPr/>
                              <w:tc>
                                <w:tcPr>
                                  <w:tcW w:w="1170"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6"/>
                                    </w:rPr>
                                  </w:pPr>
                                  <w:r>
                                    <w:rPr>
                                      <w:rFonts w:ascii="Arial;sans-serif" w:hAnsi="Arial;sans-serif"/>
                                      <w:b/>
                                      <w:color w:val="000000"/>
                                      <w:sz w:val="16"/>
                                    </w:rPr>
                                    <w:t>SI-BONE, Inc.</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000000"/>
                                      <w:sz w:val="16"/>
                                    </w:rPr>
                                  </w:pPr>
                                  <w:r>
                                    <w:rPr>
                                      <w:rFonts w:ascii="Arial;sans-serif" w:hAnsi="Arial;sans-serif"/>
                                      <w:b/>
                                      <w:color w:val="000000"/>
                                      <w:sz w:val="16"/>
                                    </w:rPr>
                                    <w:t>26</w:t>
                                  </w:r>
                                </w:p>
                              </w:tc>
                              <w:tc>
                                <w:tcPr>
                                  <w:tcW w:w="176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2025 Proxy Statement</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2pt;mso-wrap-distance-left:0pt;mso-wrap-distance-right:0pt;mso-wrap-distance-top:0pt;mso-wrap-distance-bottom:0pt;margin-top:0pt;mso-position-vertical:top;mso-position-vertical-relative:text;margin-left:0pt;mso-position-horizontal:left;mso-position-horizontal-relative:text">
                <v:textbox>
                  <w:txbxContent>
                    <w:tbl>
                      <w:tblPr>
                        <w:tblW w:w="3266" w:type="dxa"/>
                        <w:jc w:val="center"/>
                        <w:tblInd w:w="0" w:type="dxa"/>
                        <w:tblLayout w:type="fixed"/>
                        <w:tblCellMar>
                          <w:top w:w="28" w:type="dxa"/>
                          <w:left w:w="28" w:type="dxa"/>
                          <w:bottom w:w="28" w:type="dxa"/>
                          <w:right w:w="28" w:type="dxa"/>
                        </w:tblCellMar>
                      </w:tblPr>
                      <w:tblGrid>
                        <w:gridCol w:w="424"/>
                        <w:gridCol w:w="372"/>
                        <w:gridCol w:w="374"/>
                        <w:gridCol w:w="109"/>
                        <w:gridCol w:w="109"/>
                        <w:gridCol w:w="109"/>
                        <w:gridCol w:w="517"/>
                        <w:gridCol w:w="517"/>
                        <w:gridCol w:w="735"/>
                      </w:tblGrid>
                      <w:tr>
                        <w:trPr/>
                        <w:tc>
                          <w:tcPr>
                            <w:tcW w:w="424"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r>
                      <w:tr>
                        <w:trPr/>
                        <w:tc>
                          <w:tcPr>
                            <w:tcW w:w="1170"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6"/>
                              </w:rPr>
                            </w:pPr>
                            <w:r>
                              <w:rPr>
                                <w:rFonts w:ascii="Arial;sans-serif" w:hAnsi="Arial;sans-serif"/>
                                <w:b/>
                                <w:color w:val="000000"/>
                                <w:sz w:val="16"/>
                              </w:rPr>
                              <w:t>SI-BONE, Inc.</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000000"/>
                                <w:sz w:val="16"/>
                              </w:rPr>
                            </w:pPr>
                            <w:r>
                              <w:rPr>
                                <w:rFonts w:ascii="Arial;sans-serif" w:hAnsi="Arial;sans-serif"/>
                                <w:b/>
                                <w:color w:val="000000"/>
                                <w:sz w:val="16"/>
                              </w:rPr>
                              <w:t>26</w:t>
                            </w:r>
                          </w:p>
                        </w:tc>
                        <w:tc>
                          <w:tcPr>
                            <w:tcW w:w="176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2025 Proxy Statement</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right"/>
        <w:rPr>
          <w:rFonts w:ascii="Arial;sans-serif" w:hAnsi="Arial;sans-serif"/>
          <w:b w:val="false"/>
          <w:color w:val="000000"/>
          <w:sz w:val="16"/>
        </w:rPr>
      </w:pPr>
      <w:r>
        <w:rPr>
          <w:rFonts w:ascii="Arial;sans-serif" w:hAnsi="Arial;sans-serif"/>
          <w:b w:val="false"/>
          <w:color w:val="000000"/>
          <w:sz w:val="16"/>
        </w:rPr>
        <w:t>Table of Contents</w:t>
      </w:r>
    </w:p>
    <w:p>
      <w:pPr>
        <w:pStyle w:val="TextBody"/>
        <w:bidi w:val="0"/>
        <w:spacing w:lineRule="auto" w:line="312" w:before="0" w:after="180"/>
        <w:jc w:val="left"/>
        <w:rPr>
          <w:rFonts w:ascii="Arial;sans-serif" w:hAnsi="Arial;sans-serif"/>
          <w:b w:val="false"/>
          <w:color w:val="000000"/>
          <w:sz w:val="18"/>
        </w:rPr>
      </w:pPr>
      <w:r>
        <w:rPr>
          <w:rFonts w:ascii="Arial;sans-serif" w:hAnsi="Arial;sans-serif"/>
          <w:b w:val="false"/>
          <w:color w:val="000000"/>
          <w:sz w:val="18"/>
        </w:rPr>
        <w:t>The Compensation Committee periodically reviews and analyzes market trends and the prevalence of various compensation delivery vehicles and adjusts the design and operation of our executive compensation program from time to time as it deems necessary and appropriate. In designing and implementing the various elements of our executive compensation program, the Compensation Committee considers market and industry practices, as well as the tax efficiency of our compensation structure and its impact on our financial condition. While the Compensation Committee considers all of the factors in its deliberations, it places no formal weighting on any one factor.</w:t>
      </w:r>
    </w:p>
    <w:p>
      <w:pPr>
        <w:pStyle w:val="TextBody"/>
        <w:bidi w:val="0"/>
        <w:spacing w:lineRule="auto" w:line="312" w:before="0" w:after="180"/>
        <w:jc w:val="left"/>
        <w:rPr>
          <w:rFonts w:ascii="Arial;sans-serif" w:hAnsi="Arial;sans-serif"/>
          <w:b w:val="false"/>
          <w:color w:val="000000"/>
          <w:sz w:val="18"/>
        </w:rPr>
      </w:pPr>
      <w:r>
        <w:rPr>
          <w:rFonts w:ascii="Arial;sans-serif" w:hAnsi="Arial;sans-serif"/>
          <w:b w:val="false"/>
          <w:color w:val="000000"/>
          <w:sz w:val="18"/>
        </w:rPr>
        <w:t xml:space="preserve">As we continue to grow, the Compensation Committee evaluates our compensation philosophy and program objectives as circumstances require. At a minimum, the Compensation Committee reviews executive compensation annually.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80"/>
        <w:jc w:val="left"/>
        <w:rPr>
          <w:rFonts w:ascii="Arial;sans-serif" w:hAnsi="Arial;sans-serif"/>
          <w:b w:val="false"/>
          <w:color w:val="000000"/>
          <w:sz w:val="24"/>
        </w:rPr>
      </w:pPr>
      <w:r>
        <w:rPr>
          <w:rFonts w:ascii="Arial;sans-serif" w:hAnsi="Arial;sans-serif"/>
          <w:b w:val="false"/>
          <w:color w:val="000000"/>
          <w:sz w:val="24"/>
        </w:rPr>
        <w:t>SAY-ON-PAY VOTE RESULTS</w:t>
      </w:r>
    </w:p>
    <w:p>
      <w:pPr>
        <w:pStyle w:val="TextBody"/>
        <w:bidi w:val="0"/>
        <w:spacing w:lineRule="auto" w:line="312" w:before="0" w:after="180"/>
        <w:jc w:val="left"/>
        <w:rPr>
          <w:rFonts w:ascii="Arial;sans-serif" w:hAnsi="Arial;sans-serif"/>
          <w:b w:val="false"/>
          <w:color w:val="000000"/>
          <w:sz w:val="18"/>
        </w:rPr>
      </w:pPr>
      <w:r>
        <w:rPr>
          <w:rFonts w:ascii="Arial;sans-serif" w:hAnsi="Arial;sans-serif"/>
          <w:b w:val="false"/>
          <w:color w:val="000000"/>
          <w:sz w:val="18"/>
        </w:rPr>
        <w:t>At our Annual Meeting of stockholders in June 2024, our stockholders had the opportunity to cast an annual advisory vote on the compensation of our Named Executive Officers (commonly known as a “say-on-pay” vote). Approximately 98.3% of the votes cast on the proposal approved, on an advisory basis, the compensation of our Named Executive Officers as disclosed in last year's proxy statement. Although the vote is non-binding, our Compensation Committee considers the results of the say-on-pay vote when making compensation decisions, allowing our stockholders to provide input on our compensation philosophy, policies and practices. The Compensation Committee believes that our voting results reflect the company's efforts to properly align pay with performance while also aligning management and stockholder interests. We value the opinions of our stockholders, and our Compensation Committee and Board of Directors will continue to consider the outcome of future advisory votes, including the say-on-pay vote which will take place at the Annual Meeting, when making compensation decisions for the Named Executive Officers.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80"/>
        <w:jc w:val="left"/>
        <w:rPr>
          <w:rFonts w:ascii="Arial;sans-serif" w:hAnsi="Arial;sans-serif"/>
          <w:b w:val="false"/>
          <w:color w:val="000000"/>
          <w:sz w:val="24"/>
        </w:rPr>
      </w:pPr>
      <w:r>
        <w:rPr>
          <w:rFonts w:ascii="Arial;sans-serif" w:hAnsi="Arial;sans-serif"/>
          <w:b w:val="false"/>
          <w:color w:val="000000"/>
          <w:sz w:val="24"/>
        </w:rPr>
        <w:t>COMPENSATION-SETTING PROCESS</w:t>
      </w:r>
    </w:p>
    <w:p>
      <w:pPr>
        <w:pStyle w:val="TextBody"/>
        <w:bidi w:val="0"/>
        <w:spacing w:lineRule="auto" w:line="312" w:before="0" w:after="120"/>
        <w:jc w:val="left"/>
        <w:rPr>
          <w:rFonts w:ascii="Arial;sans-serif" w:hAnsi="Arial;sans-serif"/>
          <w:b/>
          <w:color w:val="74A333"/>
          <w:sz w:val="18"/>
        </w:rPr>
      </w:pPr>
      <w:r>
        <w:rPr>
          <w:rFonts w:ascii="Arial;sans-serif" w:hAnsi="Arial;sans-serif"/>
          <w:b/>
          <w:color w:val="74A333"/>
          <w:sz w:val="18"/>
        </w:rPr>
        <w:t xml:space="preserve">Role of the Compensation Committee </w:t>
      </w:r>
    </w:p>
    <w:p>
      <w:pPr>
        <w:pStyle w:val="TextBody"/>
        <w:bidi w:val="0"/>
        <w:spacing w:lineRule="auto" w:line="312" w:before="0" w:after="180"/>
        <w:jc w:val="left"/>
        <w:rPr>
          <w:rFonts w:ascii="Arial;sans-serif" w:hAnsi="Arial;sans-serif"/>
          <w:b w:val="false"/>
          <w:color w:val="000000"/>
          <w:sz w:val="18"/>
        </w:rPr>
      </w:pPr>
      <w:r>
        <w:rPr>
          <w:rFonts w:ascii="Arial;sans-serif" w:hAnsi="Arial;sans-serif"/>
          <w:b w:val="false"/>
          <w:color w:val="000000"/>
          <w:sz w:val="18"/>
        </w:rPr>
        <w:t>The Compensation Committee, among its other responsibilities, establishes our overall compensation philosophy and reviews and approves our executive compensation program, including the specific compensation of our Named Executive Officers (recommends to our Board of Directors in the case of our CEO). The Compensation Committee has the authority to retain special counsel and other advisors, including compensation consultants, to assist in carrying out its responsibilities to determine the compensation of our Named Executive Officers. The Compensation Committee’s authority, duties, and responsibilities are described in its charter, which is reviewed annually and revised and updated as warranted. The charter is available on our Company website at https://investor.si-bone.com/corporate-governance/governance-highlights.</w:t>
      </w:r>
    </w:p>
    <w:p>
      <w:pPr>
        <w:pStyle w:val="TextBody"/>
        <w:bidi w:val="0"/>
        <w:spacing w:lineRule="auto" w:line="312" w:before="0" w:after="180"/>
        <w:jc w:val="left"/>
        <w:rPr>
          <w:rFonts w:ascii="Arial;sans-serif" w:hAnsi="Arial;sans-serif"/>
          <w:b w:val="false"/>
          <w:color w:val="000000"/>
          <w:sz w:val="18"/>
        </w:rPr>
      </w:pPr>
      <w:r>
        <w:rPr>
          <w:rFonts w:ascii="Arial;sans-serif" w:hAnsi="Arial;sans-serif"/>
          <w:b w:val="false"/>
          <w:color w:val="000000"/>
          <w:sz w:val="18"/>
        </w:rPr>
        <w:t>At the beginning of each year, the Compensation Committee reviews our executive compensation program, including any incentive compensation plans and arrangements, to assess whether our compensation elements, actions, and decisions (i) are properly coordinated, (ii) are aligned with our mission, vision, values, and corporate goals, (iii) provide appropriate short-term and long-term incentives for our executive officers, (iv) achieve their intended purposes, and (v) are competitive with the compensation of executives in comparable positions at our peer companies. Following this assessment, the Compensation Committee makes any necessary or appropriate modifications to our existing plans and arrangements or adopts new plans or arrangements.</w:t>
      </w:r>
    </w:p>
    <w:p>
      <w:pPr>
        <w:pStyle w:val="TextBody"/>
        <w:bidi w:val="0"/>
        <w:spacing w:lineRule="auto" w:line="312" w:before="0" w:after="180"/>
        <w:jc w:val="left"/>
        <w:rPr>
          <w:rFonts w:ascii="Arial;sans-serif" w:hAnsi="Arial;sans-serif"/>
          <w:b w:val="false"/>
          <w:color w:val="000000"/>
          <w:sz w:val="18"/>
        </w:rPr>
      </w:pPr>
      <w:r>
        <w:rPr>
          <w:rFonts w:ascii="Arial;sans-serif" w:hAnsi="Arial;sans-serif"/>
          <w:b w:val="false"/>
          <w:color w:val="000000"/>
          <w:sz w:val="18"/>
        </w:rPr>
        <w:t xml:space="preserve">The factors considered by the Compensation Committee in determining the compensation of our Named Executive Officers for 2024 (or recommending to the Board of Directors in the case of our CEO) included: </w:t>
      </w:r>
    </w:p>
    <w:p>
      <w:pPr>
        <w:pStyle w:val="TextBody"/>
        <w:bidi w:val="0"/>
        <w:spacing w:lineRule="auto" w:line="312" w:before="0" w:after="60"/>
        <w:ind w:left="0" w:right="0" w:hanging="360"/>
        <w:jc w:val="left"/>
        <w:rPr/>
      </w:pPr>
      <w:r>
        <w:rPr>
          <w:color w:val="000000"/>
        </w:rPr>
        <w:t>•</w:t>
      </w:r>
      <w:r>
        <w:rPr>
          <w:rFonts w:ascii="Arial;sans-serif" w:hAnsi="Arial;sans-serif"/>
          <w:b w:val="false"/>
          <w:color w:val="000000"/>
          <w:sz w:val="18"/>
        </w:rPr>
        <w:t xml:space="preserve">the recommendations of our CEO (except with respect to her own compensation) as described below; </w:t>
      </w:r>
    </w:p>
    <w:p>
      <w:pPr>
        <w:pStyle w:val="TextBody"/>
        <w:bidi w:val="0"/>
        <w:spacing w:lineRule="auto" w:line="312" w:before="0" w:after="60"/>
        <w:ind w:left="0" w:right="0" w:hanging="360"/>
        <w:jc w:val="left"/>
        <w:rPr/>
      </w:pPr>
      <w:r>
        <w:rPr>
          <w:color w:val="000000"/>
        </w:rPr>
        <w:t>•</w:t>
      </w:r>
      <w:r>
        <w:rPr>
          <w:rFonts w:ascii="Arial;sans-serif" w:hAnsi="Arial;sans-serif"/>
          <w:b w:val="false"/>
          <w:color w:val="000000"/>
          <w:sz w:val="18"/>
        </w:rPr>
        <w:t xml:space="preserve">our corporate growth and other elements of financial performance; </w:t>
      </w:r>
    </w:p>
    <w:p>
      <w:pPr>
        <w:pStyle w:val="TextBody"/>
        <w:bidi w:val="0"/>
        <w:spacing w:lineRule="auto" w:line="312" w:before="0" w:after="60"/>
        <w:ind w:left="0" w:right="0" w:hanging="360"/>
        <w:jc w:val="left"/>
        <w:rPr/>
      </w:pPr>
      <w:r>
        <w:rPr>
          <w:color w:val="000000"/>
        </w:rPr>
        <w:t>•</w:t>
      </w:r>
      <w:r>
        <w:rPr>
          <w:rFonts w:ascii="Arial;sans-serif" w:hAnsi="Arial;sans-serif"/>
          <w:b w:val="false"/>
          <w:color w:val="000000"/>
          <w:sz w:val="18"/>
        </w:rPr>
        <w:t>our corporate achievements against one or more short-term and long-term performance objectives;</w:t>
      </w:r>
    </w:p>
    <w:p>
      <w:pPr>
        <w:pStyle w:val="TextBody"/>
        <w:bidi w:val="0"/>
        <w:spacing w:lineRule="auto" w:line="312" w:before="0" w:after="60"/>
        <w:ind w:left="0" w:right="0" w:hanging="360"/>
        <w:jc w:val="left"/>
        <w:rPr/>
      </w:pPr>
      <w:r>
        <w:rPr>
          <w:color w:val="000000"/>
        </w:rPr>
        <w:t>•</w:t>
      </w:r>
      <w:r>
        <w:rPr>
          <w:rFonts w:ascii="Arial;sans-serif" w:hAnsi="Arial;sans-serif"/>
          <w:b w:val="false"/>
          <w:color w:val="000000"/>
          <w:sz w:val="18"/>
        </w:rPr>
        <w:t xml:space="preserve">the individual performance of each Named Executive Officer against his or her management objectives; </w:t>
      </w:r>
    </w:p>
    <w:p>
      <w:pPr>
        <w:pStyle w:val="TextBody"/>
        <w:bidi w:val="0"/>
        <w:spacing w:lineRule="auto" w:line="312" w:before="0" w:after="60"/>
        <w:ind w:left="0" w:right="0" w:hanging="360"/>
        <w:jc w:val="left"/>
        <w:rPr/>
      </w:pPr>
      <w:r>
        <w:rPr>
          <w:color w:val="000000"/>
        </w:rPr>
        <w:t>•</w:t>
      </w:r>
      <w:r>
        <w:rPr>
          <w:rFonts w:ascii="Arial;sans-serif" w:hAnsi="Arial;sans-serif"/>
          <w:b w:val="false"/>
          <w:color w:val="000000"/>
          <w:sz w:val="18"/>
        </w:rPr>
        <w:t xml:space="preserve">a review of the relevant competitive market data and executive retention analysis as prepared by its compensation consultant (as described below); </w:t>
      </w:r>
    </w:p>
    <w:p>
      <w:pPr>
        <w:pStyle w:val="TextBody"/>
        <w:bidi w:val="0"/>
        <w:spacing w:lineRule="auto" w:line="312" w:before="0" w:after="60"/>
        <w:ind w:left="0" w:right="0" w:hanging="360"/>
        <w:jc w:val="left"/>
        <w:rPr/>
      </w:pPr>
      <w:r>
        <w:rPr>
          <w:color w:val="000000"/>
        </w:rPr>
        <w:t>•</w:t>
      </w:r>
      <w:r>
        <w:rPr>
          <w:rFonts w:ascii="Arial;sans-serif" w:hAnsi="Arial;sans-serif"/>
          <w:b w:val="false"/>
          <w:color w:val="000000"/>
          <w:sz w:val="18"/>
        </w:rPr>
        <w:t xml:space="preserve">the expected future contribution of the individual Named Executive Officer; </w:t>
      </w:r>
    </w:p>
    <w:p>
      <w:pPr>
        <w:pStyle w:val="TextBody"/>
        <w:bidi w:val="0"/>
        <w:spacing w:lineRule="auto" w:line="312" w:before="0" w:after="60"/>
        <w:ind w:left="0" w:right="0" w:hanging="360"/>
        <w:jc w:val="left"/>
        <w:rPr/>
      </w:pPr>
      <w:r>
        <w:rPr>
          <w:color w:val="000000"/>
        </w:rPr>
        <w:t>•</w:t>
      </w:r>
      <w:r>
        <w:rPr>
          <w:rFonts w:ascii="Arial;sans-serif" w:hAnsi="Arial;sans-serif"/>
          <w:b w:val="false"/>
          <w:color w:val="000000"/>
          <w:sz w:val="18"/>
        </w:rPr>
        <w:t xml:space="preserve">historical compensation awards we have made to our Named Executive Officers; and </w:t>
      </w:r>
    </w:p>
    <w:p>
      <w:pPr>
        <w:pStyle w:val="TextBody"/>
        <w:bidi w:val="0"/>
        <w:spacing w:lineRule="auto" w:line="312" w:before="0" w:after="180"/>
        <w:ind w:left="0" w:right="0" w:hanging="360"/>
        <w:jc w:val="left"/>
        <w:rPr/>
      </w:pPr>
      <w:r>
        <w:rPr>
          <w:color w:val="000000"/>
        </w:rPr>
        <w:t>•</w:t>
      </w:r>
      <w:r>
        <w:rPr>
          <w:rFonts w:ascii="Arial;sans-serif" w:hAnsi="Arial;sans-serif"/>
          <w:b w:val="false"/>
          <w:color w:val="000000"/>
          <w:sz w:val="18"/>
        </w:rPr>
        <w:t>internal pay equity based on the impact on our business and performance.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739140"/>
                <wp:effectExtent l="0" t="0" r="0" b="0"/>
                <wp:wrapNone/>
                <wp:docPr id="52" name="Frame32"/>
                <a:graphic xmlns:a="http://schemas.openxmlformats.org/drawingml/2006/main">
                  <a:graphicData uri="http://schemas.microsoft.com/office/word/2010/wordprocessingShape">
                    <wps:wsp>
                      <wps:cNvSpPr txBox="1"/>
                      <wps:spPr>
                        <a:xfrm>
                          <a:off x="0" y="0"/>
                          <a:ext cx="6480175" cy="739140"/>
                        </a:xfrm>
                        <a:prstGeom prst="rect"/>
                        <a:solidFill>
                          <a:srgbClr val="FFFFFF"/>
                        </a:solidFill>
                      </wps:spPr>
                      <wps:txbx>
                        <w:txbxContent>
                          <w:tbl>
                            <w:tblPr>
                              <w:tblW w:w="3266" w:type="dxa"/>
                              <w:jc w:val="center"/>
                              <w:tblInd w:w="0" w:type="dxa"/>
                              <w:tblLayout w:type="fixed"/>
                              <w:tblCellMar>
                                <w:top w:w="28" w:type="dxa"/>
                                <w:left w:w="28" w:type="dxa"/>
                                <w:bottom w:w="28" w:type="dxa"/>
                                <w:right w:w="28" w:type="dxa"/>
                              </w:tblCellMar>
                            </w:tblPr>
                            <w:tblGrid>
                              <w:gridCol w:w="424"/>
                              <w:gridCol w:w="372"/>
                              <w:gridCol w:w="374"/>
                              <w:gridCol w:w="109"/>
                              <w:gridCol w:w="109"/>
                              <w:gridCol w:w="109"/>
                              <w:gridCol w:w="517"/>
                              <w:gridCol w:w="517"/>
                              <w:gridCol w:w="735"/>
                            </w:tblGrid>
                            <w:tr>
                              <w:trPr/>
                              <w:tc>
                                <w:tcPr>
                                  <w:tcW w:w="424"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r>
                            <w:tr>
                              <w:trPr/>
                              <w:tc>
                                <w:tcPr>
                                  <w:tcW w:w="1170"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6"/>
                                    </w:rPr>
                                  </w:pPr>
                                  <w:r>
                                    <w:rPr>
                                      <w:rFonts w:ascii="Arial;sans-serif" w:hAnsi="Arial;sans-serif"/>
                                      <w:b/>
                                      <w:color w:val="000000"/>
                                      <w:sz w:val="16"/>
                                    </w:rPr>
                                    <w:t>SI-BONE, Inc.</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000000"/>
                                      <w:sz w:val="16"/>
                                    </w:rPr>
                                  </w:pPr>
                                  <w:r>
                                    <w:rPr>
                                      <w:rFonts w:ascii="Arial;sans-serif" w:hAnsi="Arial;sans-serif"/>
                                      <w:b/>
                                      <w:color w:val="000000"/>
                                      <w:sz w:val="16"/>
                                    </w:rPr>
                                    <w:t>27</w:t>
                                  </w:r>
                                </w:p>
                              </w:tc>
                              <w:tc>
                                <w:tcPr>
                                  <w:tcW w:w="176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2025 Proxy Statement</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2pt;mso-wrap-distance-left:0pt;mso-wrap-distance-right:0pt;mso-wrap-distance-top:0pt;mso-wrap-distance-bottom:0pt;margin-top:0pt;mso-position-vertical:top;mso-position-vertical-relative:text;margin-left:0pt;mso-position-horizontal:left;mso-position-horizontal-relative:text">
                <v:textbox>
                  <w:txbxContent>
                    <w:tbl>
                      <w:tblPr>
                        <w:tblW w:w="3266" w:type="dxa"/>
                        <w:jc w:val="center"/>
                        <w:tblInd w:w="0" w:type="dxa"/>
                        <w:tblLayout w:type="fixed"/>
                        <w:tblCellMar>
                          <w:top w:w="28" w:type="dxa"/>
                          <w:left w:w="28" w:type="dxa"/>
                          <w:bottom w:w="28" w:type="dxa"/>
                          <w:right w:w="28" w:type="dxa"/>
                        </w:tblCellMar>
                      </w:tblPr>
                      <w:tblGrid>
                        <w:gridCol w:w="424"/>
                        <w:gridCol w:w="372"/>
                        <w:gridCol w:w="374"/>
                        <w:gridCol w:w="109"/>
                        <w:gridCol w:w="109"/>
                        <w:gridCol w:w="109"/>
                        <w:gridCol w:w="517"/>
                        <w:gridCol w:w="517"/>
                        <w:gridCol w:w="735"/>
                      </w:tblGrid>
                      <w:tr>
                        <w:trPr/>
                        <w:tc>
                          <w:tcPr>
                            <w:tcW w:w="424"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r>
                      <w:tr>
                        <w:trPr/>
                        <w:tc>
                          <w:tcPr>
                            <w:tcW w:w="1170"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6"/>
                              </w:rPr>
                            </w:pPr>
                            <w:r>
                              <w:rPr>
                                <w:rFonts w:ascii="Arial;sans-serif" w:hAnsi="Arial;sans-serif"/>
                                <w:b/>
                                <w:color w:val="000000"/>
                                <w:sz w:val="16"/>
                              </w:rPr>
                              <w:t>SI-BONE, Inc.</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000000"/>
                                <w:sz w:val="16"/>
                              </w:rPr>
                            </w:pPr>
                            <w:r>
                              <w:rPr>
                                <w:rFonts w:ascii="Arial;sans-serif" w:hAnsi="Arial;sans-serif"/>
                                <w:b/>
                                <w:color w:val="000000"/>
                                <w:sz w:val="16"/>
                              </w:rPr>
                              <w:t>27</w:t>
                            </w:r>
                          </w:p>
                        </w:tc>
                        <w:tc>
                          <w:tcPr>
                            <w:tcW w:w="176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2025 Proxy Statement</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right"/>
        <w:rPr>
          <w:rFonts w:ascii="Arial;sans-serif" w:hAnsi="Arial;sans-serif"/>
          <w:b w:val="false"/>
          <w:color w:val="000000"/>
          <w:sz w:val="16"/>
        </w:rPr>
      </w:pPr>
      <w:r>
        <w:rPr>
          <w:rFonts w:ascii="Arial;sans-serif" w:hAnsi="Arial;sans-serif"/>
          <w:b w:val="false"/>
          <w:color w:val="000000"/>
          <w:sz w:val="16"/>
        </w:rPr>
        <w:t>Table of Contents</w:t>
      </w:r>
    </w:p>
    <w:p>
      <w:pPr>
        <w:pStyle w:val="TextBody"/>
        <w:bidi w:val="0"/>
        <w:spacing w:lineRule="auto" w:line="276" w:before="0" w:after="180"/>
        <w:jc w:val="left"/>
        <w:rPr>
          <w:rFonts w:ascii="Arial;sans-serif" w:hAnsi="Arial;sans-serif"/>
          <w:b w:val="false"/>
          <w:color w:val="000000"/>
          <w:sz w:val="18"/>
        </w:rPr>
      </w:pPr>
      <w:r>
        <w:rPr>
          <w:rFonts w:ascii="Arial;sans-serif" w:hAnsi="Arial;sans-serif"/>
          <w:b w:val="false"/>
          <w:color w:val="000000"/>
          <w:sz w:val="18"/>
        </w:rPr>
        <w:t>The Compensation Committee did not weight these factors in any predetermined manner, nor did it apply any formulas in making its decisions. The members of the Compensation Committee considered this information in light of their individual experience, knowledge of the company, knowledge of each Named Executive Officer, knowledge of the competitive market, and business judgment.</w:t>
      </w:r>
    </w:p>
    <w:p>
      <w:pPr>
        <w:pStyle w:val="TextBody"/>
        <w:bidi w:val="0"/>
        <w:spacing w:lineRule="auto" w:line="312" w:before="0" w:after="180"/>
        <w:jc w:val="left"/>
        <w:rPr>
          <w:rFonts w:ascii="Arial;sans-serif" w:hAnsi="Arial;sans-serif"/>
          <w:b w:val="false"/>
          <w:color w:val="000000"/>
          <w:sz w:val="18"/>
        </w:rPr>
      </w:pPr>
      <w:r>
        <w:rPr>
          <w:rFonts w:ascii="Arial;sans-serif" w:hAnsi="Arial;sans-serif"/>
          <w:b w:val="false"/>
          <w:color w:val="000000"/>
          <w:sz w:val="18"/>
        </w:rPr>
        <w:t>As part of this process, the Compensation Committee also evaluates the performance of our CEO each year and makes all decisions regarding recommending to the Board of Directors her base salary adjustments, target annual cash bonus opportunities, actual cash bonus payments, and long-term incentives in the form of equity awards. Our CEO is not present during any of the deliberations regarding her compensation, and no Named Executive Officer is present during any deliberations regarding their compensation.</w:t>
      </w:r>
    </w:p>
    <w:p>
      <w:pPr>
        <w:pStyle w:val="TextBody"/>
        <w:bidi w:val="0"/>
        <w:spacing w:lineRule="auto" w:line="312" w:before="0" w:after="120"/>
        <w:jc w:val="left"/>
        <w:rPr>
          <w:rFonts w:ascii="Arial;sans-serif" w:hAnsi="Arial;sans-serif"/>
          <w:b/>
          <w:color w:val="74A333"/>
          <w:sz w:val="18"/>
        </w:rPr>
      </w:pPr>
      <w:r>
        <w:rPr>
          <w:rFonts w:ascii="Arial;sans-serif" w:hAnsi="Arial;sans-serif"/>
          <w:b/>
          <w:color w:val="74A333"/>
          <w:sz w:val="18"/>
        </w:rPr>
        <w:t xml:space="preserve">Role of Our CEO </w:t>
      </w:r>
    </w:p>
    <w:p>
      <w:pPr>
        <w:pStyle w:val="TextBody"/>
        <w:bidi w:val="0"/>
        <w:spacing w:lineRule="auto" w:line="312" w:before="0" w:after="180"/>
        <w:jc w:val="left"/>
        <w:rPr>
          <w:rFonts w:ascii="Arial;sans-serif" w:hAnsi="Arial;sans-serif"/>
          <w:b w:val="false"/>
          <w:color w:val="000000"/>
          <w:sz w:val="18"/>
        </w:rPr>
      </w:pPr>
      <w:r>
        <w:rPr>
          <w:rFonts w:ascii="Arial;sans-serif" w:hAnsi="Arial;sans-serif"/>
          <w:b w:val="false"/>
          <w:color w:val="000000"/>
          <w:sz w:val="18"/>
        </w:rPr>
        <w:t>Our CEO works closely with the Compensation Committee in determining the compensation of our other Named Executive Officers. Typically, our CEO works with the Compensation Committee to recommend the structure of the annual bonus plan, to identify and develop corporate performance objectives for such plan, and to evaluate actual performance against the selected measures. Our CEO also makes recommendations to the Compensation Committee as described in the following paragraph and is involved in the determination of compensation for the respective executive officers who report to her.</w:t>
      </w:r>
    </w:p>
    <w:p>
      <w:pPr>
        <w:pStyle w:val="TextBody"/>
        <w:bidi w:val="0"/>
        <w:spacing w:lineRule="auto" w:line="312" w:before="0" w:after="180"/>
        <w:jc w:val="left"/>
        <w:rPr>
          <w:rFonts w:ascii="Arial;sans-serif" w:hAnsi="Arial;sans-serif"/>
          <w:b w:val="false"/>
          <w:color w:val="000000"/>
          <w:sz w:val="18"/>
        </w:rPr>
      </w:pPr>
      <w:r>
        <w:rPr>
          <w:rFonts w:ascii="Arial;sans-serif" w:hAnsi="Arial;sans-serif"/>
          <w:b w:val="false"/>
          <w:color w:val="000000"/>
          <w:sz w:val="18"/>
        </w:rPr>
        <w:t>At the beginning of each year, our CEO reviews the performance of our other Named Executive Officers for the previous year, and then shares these evaluations with, and makes recommendations to, the Compensation Committee for each element of compensation. Using her subjective evaluation of each executive officer’s performance and taking into consideration historical compensation awards to our executive officers and our corporate performance during the preceding year, these recommendations concern base salary adjustments, target annual cash bonus opportunities, and long-term incentives in the form of equity awards for each of our executive officers (other than herself) based on our results, the individual executive officer’s contribution to these results, and his or her performance toward achieving his or her individual performance goals. The Compensation Committee then reviews these recommendations and considers the other factors described above and makes decisions as to the target total direct compensation of each executive officer (other than our CEO), as well as each individual compensation element.</w:t>
      </w:r>
    </w:p>
    <w:p>
      <w:pPr>
        <w:pStyle w:val="TextBody"/>
        <w:bidi w:val="0"/>
        <w:spacing w:lineRule="auto" w:line="312" w:before="0" w:after="180"/>
        <w:jc w:val="left"/>
        <w:rPr>
          <w:rFonts w:ascii="Arial;sans-serif" w:hAnsi="Arial;sans-serif"/>
          <w:b w:val="false"/>
          <w:color w:val="000000"/>
          <w:sz w:val="18"/>
        </w:rPr>
      </w:pPr>
      <w:r>
        <w:rPr>
          <w:rFonts w:ascii="Arial;sans-serif" w:hAnsi="Arial;sans-serif"/>
          <w:b w:val="false"/>
          <w:color w:val="000000"/>
          <w:sz w:val="18"/>
        </w:rPr>
        <w:t xml:space="preserve">While the Compensation Committee considers our CEO’s recommendations, as well as the competitive market analysis prepared by its compensation consultant, these recommendations and market data serve as only two of several factors in making its decisions with respect to the compensation of our executive officers. Ultimately, the Compensation Committee applies its own business judgment and experience to determine the individual compensation elements and amount of each element for our executive officers. </w:t>
      </w:r>
    </w:p>
    <w:p>
      <w:pPr>
        <w:pStyle w:val="TextBody"/>
        <w:bidi w:val="0"/>
        <w:spacing w:lineRule="auto" w:line="312" w:before="0" w:after="120"/>
        <w:jc w:val="left"/>
        <w:rPr>
          <w:rFonts w:ascii="Arial;sans-serif" w:hAnsi="Arial;sans-serif"/>
          <w:b/>
          <w:color w:val="74A333"/>
          <w:sz w:val="18"/>
        </w:rPr>
      </w:pPr>
      <w:r>
        <w:rPr>
          <w:rFonts w:ascii="Arial;sans-serif" w:hAnsi="Arial;sans-serif"/>
          <w:b/>
          <w:color w:val="74A333"/>
          <w:sz w:val="18"/>
        </w:rPr>
        <w:t xml:space="preserve">Role of Compensation Consultant </w:t>
      </w:r>
    </w:p>
    <w:p>
      <w:pPr>
        <w:pStyle w:val="TextBody"/>
        <w:bidi w:val="0"/>
        <w:spacing w:lineRule="auto" w:line="312" w:before="0" w:after="180"/>
        <w:jc w:val="left"/>
        <w:rPr>
          <w:rFonts w:ascii="Arial;sans-serif" w:hAnsi="Arial;sans-serif"/>
          <w:b w:val="false"/>
          <w:color w:val="000000"/>
          <w:sz w:val="18"/>
        </w:rPr>
      </w:pPr>
      <w:r>
        <w:rPr>
          <w:rFonts w:ascii="Arial;sans-serif" w:hAnsi="Arial;sans-serif"/>
          <w:b w:val="false"/>
          <w:color w:val="000000"/>
          <w:sz w:val="18"/>
        </w:rPr>
        <w:t>Pursuant to its charter, the Compensation Committee has the authority to engage its own legal counsel and other advisors, including compensation consultants, as it determined in its sole discretion, to assist in carrying out its responsibilities. The Compensation Committee makes all determinations regarding the engagement, fees, and services of these advisors, and any such advisor reports directly to the Compensation Committee.</w:t>
      </w:r>
    </w:p>
    <w:p>
      <w:pPr>
        <w:pStyle w:val="TextBody"/>
        <w:bidi w:val="0"/>
        <w:spacing w:lineRule="auto" w:line="312" w:before="0" w:after="180"/>
        <w:jc w:val="left"/>
        <w:rPr>
          <w:rFonts w:ascii="Arial;sans-serif" w:hAnsi="Arial;sans-serif"/>
          <w:b w:val="false"/>
          <w:color w:val="000000"/>
          <w:sz w:val="18"/>
        </w:rPr>
      </w:pPr>
      <w:r>
        <w:rPr>
          <w:rFonts w:ascii="Arial;sans-serif" w:hAnsi="Arial;sans-serif"/>
          <w:b w:val="false"/>
          <w:color w:val="000000"/>
          <w:sz w:val="18"/>
        </w:rPr>
        <w:t>In 2024, pursuant to this authority, the Compensation Committee engaged Compensia, Inc., a national compensation consulting firm, to provide information, analysis, and other assistance relating to our executive compensation program on an ongoing basis. The nature and scope of the services provided to the Compensation Committee by Compensia in 2024 were as follows:</w:t>
      </w:r>
    </w:p>
    <w:p>
      <w:pPr>
        <w:pStyle w:val="TextBody"/>
        <w:bidi w:val="0"/>
        <w:spacing w:lineRule="auto" w:line="312" w:before="0" w:after="60"/>
        <w:ind w:left="0" w:right="0" w:hanging="360"/>
        <w:jc w:val="left"/>
        <w:rPr/>
      </w:pPr>
      <w:r>
        <w:rPr>
          <w:color w:val="000000"/>
        </w:rPr>
        <w:t>•</w:t>
      </w:r>
      <w:r>
        <w:rPr>
          <w:rFonts w:ascii="Arial;sans-serif" w:hAnsi="Arial;sans-serif"/>
          <w:b w:val="false"/>
          <w:color w:val="000000"/>
          <w:sz w:val="18"/>
        </w:rPr>
        <w:t>Reviewed and updated the compensation peer group;</w:t>
      </w:r>
    </w:p>
    <w:p>
      <w:pPr>
        <w:pStyle w:val="TextBody"/>
        <w:bidi w:val="0"/>
        <w:spacing w:lineRule="auto" w:line="312" w:before="0" w:after="60"/>
        <w:ind w:left="0" w:right="0" w:hanging="360"/>
        <w:jc w:val="left"/>
        <w:rPr/>
      </w:pPr>
      <w:r>
        <w:rPr>
          <w:color w:val="000000"/>
        </w:rPr>
        <w:t>•</w:t>
      </w:r>
      <w:r>
        <w:rPr>
          <w:rFonts w:ascii="Arial;sans-serif" w:hAnsi="Arial;sans-serif"/>
          <w:b w:val="false"/>
          <w:color w:val="000000"/>
          <w:sz w:val="18"/>
        </w:rPr>
        <w:t>Provided advice with respect to compensation best practices and market trends;</w:t>
      </w:r>
    </w:p>
    <w:p>
      <w:pPr>
        <w:pStyle w:val="TextBody"/>
        <w:bidi w:val="0"/>
        <w:spacing w:lineRule="auto" w:line="312" w:before="0" w:after="60"/>
        <w:ind w:left="0" w:right="0" w:hanging="360"/>
        <w:jc w:val="left"/>
        <w:rPr/>
      </w:pPr>
      <w:r>
        <w:rPr>
          <w:color w:val="000000"/>
        </w:rPr>
        <w:t>•</w:t>
      </w:r>
      <w:r>
        <w:rPr>
          <w:rFonts w:ascii="Arial;sans-serif" w:hAnsi="Arial;sans-serif"/>
          <w:b w:val="false"/>
          <w:color w:val="000000"/>
          <w:sz w:val="18"/>
        </w:rPr>
        <w:t>Conducted an analysis of the levels of overall compensation and each element of compensation for our Named Executive Officers and for the members of our Board of Directors; and</w:t>
      </w:r>
    </w:p>
    <w:p>
      <w:pPr>
        <w:pStyle w:val="TextBody"/>
        <w:bidi w:val="0"/>
        <w:spacing w:lineRule="auto" w:line="312" w:before="0" w:after="180"/>
        <w:ind w:left="0" w:right="0" w:hanging="360"/>
        <w:jc w:val="left"/>
        <w:rPr/>
      </w:pPr>
      <w:r>
        <w:rPr>
          <w:color w:val="000000"/>
        </w:rPr>
        <w:t>•</w:t>
      </w:r>
      <w:r>
        <w:rPr>
          <w:rFonts w:ascii="Arial;sans-serif" w:hAnsi="Arial;sans-serif"/>
          <w:b w:val="false"/>
          <w:color w:val="000000"/>
          <w:sz w:val="18"/>
        </w:rPr>
        <w:t>Provided ad hoc advice and support on compensation and governance topics throughout the year.</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739140"/>
                <wp:effectExtent l="0" t="0" r="0" b="0"/>
                <wp:wrapNone/>
                <wp:docPr id="53" name="Frame33"/>
                <a:graphic xmlns:a="http://schemas.openxmlformats.org/drawingml/2006/main">
                  <a:graphicData uri="http://schemas.microsoft.com/office/word/2010/wordprocessingShape">
                    <wps:wsp>
                      <wps:cNvSpPr txBox="1"/>
                      <wps:spPr>
                        <a:xfrm>
                          <a:off x="0" y="0"/>
                          <a:ext cx="6480175" cy="739140"/>
                        </a:xfrm>
                        <a:prstGeom prst="rect"/>
                        <a:solidFill>
                          <a:srgbClr val="FFFFFF"/>
                        </a:solidFill>
                      </wps:spPr>
                      <wps:txbx>
                        <w:txbxContent>
                          <w:tbl>
                            <w:tblPr>
                              <w:tblW w:w="3266" w:type="dxa"/>
                              <w:jc w:val="center"/>
                              <w:tblInd w:w="0" w:type="dxa"/>
                              <w:tblLayout w:type="fixed"/>
                              <w:tblCellMar>
                                <w:top w:w="28" w:type="dxa"/>
                                <w:left w:w="28" w:type="dxa"/>
                                <w:bottom w:w="28" w:type="dxa"/>
                                <w:right w:w="28" w:type="dxa"/>
                              </w:tblCellMar>
                            </w:tblPr>
                            <w:tblGrid>
                              <w:gridCol w:w="424"/>
                              <w:gridCol w:w="372"/>
                              <w:gridCol w:w="374"/>
                              <w:gridCol w:w="109"/>
                              <w:gridCol w:w="109"/>
                              <w:gridCol w:w="109"/>
                              <w:gridCol w:w="517"/>
                              <w:gridCol w:w="517"/>
                              <w:gridCol w:w="735"/>
                            </w:tblGrid>
                            <w:tr>
                              <w:trPr/>
                              <w:tc>
                                <w:tcPr>
                                  <w:tcW w:w="424"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r>
                            <w:tr>
                              <w:trPr/>
                              <w:tc>
                                <w:tcPr>
                                  <w:tcW w:w="1170"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6"/>
                                    </w:rPr>
                                  </w:pPr>
                                  <w:r>
                                    <w:rPr>
                                      <w:rFonts w:ascii="Arial;sans-serif" w:hAnsi="Arial;sans-serif"/>
                                      <w:b/>
                                      <w:color w:val="000000"/>
                                      <w:sz w:val="16"/>
                                    </w:rPr>
                                    <w:t>SI-BONE, Inc.</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000000"/>
                                      <w:sz w:val="16"/>
                                    </w:rPr>
                                  </w:pPr>
                                  <w:r>
                                    <w:rPr>
                                      <w:rFonts w:ascii="Arial;sans-serif" w:hAnsi="Arial;sans-serif"/>
                                      <w:b/>
                                      <w:color w:val="000000"/>
                                      <w:sz w:val="16"/>
                                    </w:rPr>
                                    <w:t>28</w:t>
                                  </w:r>
                                </w:p>
                              </w:tc>
                              <w:tc>
                                <w:tcPr>
                                  <w:tcW w:w="176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2025 Proxy Statement</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2pt;mso-wrap-distance-left:0pt;mso-wrap-distance-right:0pt;mso-wrap-distance-top:0pt;mso-wrap-distance-bottom:0pt;margin-top:0pt;mso-position-vertical:top;mso-position-vertical-relative:text;margin-left:0pt;mso-position-horizontal:left;mso-position-horizontal-relative:text">
                <v:textbox>
                  <w:txbxContent>
                    <w:tbl>
                      <w:tblPr>
                        <w:tblW w:w="3266" w:type="dxa"/>
                        <w:jc w:val="center"/>
                        <w:tblInd w:w="0" w:type="dxa"/>
                        <w:tblLayout w:type="fixed"/>
                        <w:tblCellMar>
                          <w:top w:w="28" w:type="dxa"/>
                          <w:left w:w="28" w:type="dxa"/>
                          <w:bottom w:w="28" w:type="dxa"/>
                          <w:right w:w="28" w:type="dxa"/>
                        </w:tblCellMar>
                      </w:tblPr>
                      <w:tblGrid>
                        <w:gridCol w:w="424"/>
                        <w:gridCol w:w="372"/>
                        <w:gridCol w:w="374"/>
                        <w:gridCol w:w="109"/>
                        <w:gridCol w:w="109"/>
                        <w:gridCol w:w="109"/>
                        <w:gridCol w:w="517"/>
                        <w:gridCol w:w="517"/>
                        <w:gridCol w:w="735"/>
                      </w:tblGrid>
                      <w:tr>
                        <w:trPr/>
                        <w:tc>
                          <w:tcPr>
                            <w:tcW w:w="424"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r>
                      <w:tr>
                        <w:trPr/>
                        <w:tc>
                          <w:tcPr>
                            <w:tcW w:w="1170"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6"/>
                              </w:rPr>
                            </w:pPr>
                            <w:r>
                              <w:rPr>
                                <w:rFonts w:ascii="Arial;sans-serif" w:hAnsi="Arial;sans-serif"/>
                                <w:b/>
                                <w:color w:val="000000"/>
                                <w:sz w:val="16"/>
                              </w:rPr>
                              <w:t>SI-BONE, Inc.</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000000"/>
                                <w:sz w:val="16"/>
                              </w:rPr>
                            </w:pPr>
                            <w:r>
                              <w:rPr>
                                <w:rFonts w:ascii="Arial;sans-serif" w:hAnsi="Arial;sans-serif"/>
                                <w:b/>
                                <w:color w:val="000000"/>
                                <w:sz w:val="16"/>
                              </w:rPr>
                              <w:t>28</w:t>
                            </w:r>
                          </w:p>
                        </w:tc>
                        <w:tc>
                          <w:tcPr>
                            <w:tcW w:w="176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2025 Proxy Statement</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right"/>
        <w:rPr>
          <w:rFonts w:ascii="Arial;sans-serif" w:hAnsi="Arial;sans-serif"/>
          <w:b w:val="false"/>
          <w:color w:val="000000"/>
          <w:sz w:val="16"/>
        </w:rPr>
      </w:pPr>
      <w:r>
        <w:rPr>
          <w:rFonts w:ascii="Arial;sans-serif" w:hAnsi="Arial;sans-serif"/>
          <w:b w:val="false"/>
          <w:color w:val="000000"/>
          <w:sz w:val="16"/>
        </w:rPr>
        <w:t>Table of Contents</w:t>
      </w:r>
    </w:p>
    <w:p>
      <w:pPr>
        <w:pStyle w:val="TextBody"/>
        <w:bidi w:val="0"/>
        <w:spacing w:lineRule="auto" w:line="312" w:before="0" w:after="180"/>
        <w:jc w:val="left"/>
        <w:rPr>
          <w:rFonts w:ascii="Arial;sans-serif" w:hAnsi="Arial;sans-serif"/>
          <w:b w:val="false"/>
          <w:color w:val="000000"/>
          <w:sz w:val="18"/>
        </w:rPr>
      </w:pPr>
      <w:r>
        <w:rPr>
          <w:rFonts w:ascii="Arial;sans-serif" w:hAnsi="Arial;sans-serif"/>
          <w:b w:val="false"/>
          <w:color w:val="000000"/>
          <w:sz w:val="18"/>
        </w:rPr>
        <w:t>Representatives of Compensia attend meetings of the Compensation Committee as requested and also communicate with the Compensation Committee outside of meetings. Compensia reports to the Compensation Committee rather than to management, although Compensia may meet with members of management, including our CEO and members of our executive compensation staff, for purposes of gathering information on proposals that management may make to the Compensation Committee. During 2023, Compensia met with various executive officers to collect data and obtain managements' perspective on various executive compensation proposals.</w:t>
      </w:r>
    </w:p>
    <w:p>
      <w:pPr>
        <w:pStyle w:val="TextBody"/>
        <w:bidi w:val="0"/>
        <w:spacing w:lineRule="auto" w:line="312" w:before="0" w:after="180"/>
        <w:jc w:val="left"/>
        <w:rPr>
          <w:rFonts w:ascii="Arial;sans-serif" w:hAnsi="Arial;sans-serif"/>
          <w:b w:val="false"/>
          <w:color w:val="000000"/>
          <w:sz w:val="18"/>
        </w:rPr>
      </w:pPr>
      <w:r>
        <w:rPr>
          <w:rFonts w:ascii="Arial;sans-serif" w:hAnsi="Arial;sans-serif"/>
          <w:b w:val="false"/>
          <w:color w:val="000000"/>
          <w:sz w:val="18"/>
        </w:rPr>
        <w:t>The Compensation Committee may replace its compensation consultant or hire additional advisors at any time. Compensia has not provided any other services to us and has received no compensation other than with respect to the services described above.</w:t>
      </w:r>
    </w:p>
    <w:p>
      <w:pPr>
        <w:pStyle w:val="TextBody"/>
        <w:bidi w:val="0"/>
        <w:spacing w:lineRule="auto" w:line="312" w:before="0" w:after="180"/>
        <w:jc w:val="left"/>
        <w:rPr>
          <w:rFonts w:ascii="Arial;sans-serif" w:hAnsi="Arial;sans-serif"/>
          <w:b w:val="false"/>
          <w:color w:val="000000"/>
          <w:sz w:val="18"/>
        </w:rPr>
      </w:pPr>
      <w:r>
        <w:rPr>
          <w:rFonts w:ascii="Arial;sans-serif" w:hAnsi="Arial;sans-serif"/>
          <w:b w:val="false"/>
          <w:color w:val="000000"/>
          <w:sz w:val="18"/>
        </w:rPr>
        <w:t>The Compensation Committee has assessed the independence of Compensia taking into account, among other things, the various factors as set forth in Exchange Act Rule 10C-1 and the enhanced independence standards and factors set forth in the applicable listing standards of the Nasdaq Stock Market, and has concluded that its relationship with Compensia and the work of Compensia on behalf of the Compensation Committee has not raised any conflict of interest.</w:t>
      </w:r>
    </w:p>
    <w:p>
      <w:pPr>
        <w:pStyle w:val="TextBody"/>
        <w:bidi w:val="0"/>
        <w:spacing w:lineRule="auto" w:line="312" w:before="0" w:after="120"/>
        <w:jc w:val="left"/>
        <w:rPr>
          <w:rFonts w:ascii="Arial;sans-serif" w:hAnsi="Arial;sans-serif"/>
          <w:b/>
          <w:color w:val="74A333"/>
          <w:sz w:val="18"/>
        </w:rPr>
      </w:pPr>
      <w:r>
        <w:rPr>
          <w:rFonts w:ascii="Arial;sans-serif" w:hAnsi="Arial;sans-serif"/>
          <w:b/>
          <w:color w:val="74A333"/>
          <w:sz w:val="18"/>
        </w:rPr>
        <w:t xml:space="preserve">Competitive Positioning </w:t>
      </w:r>
    </w:p>
    <w:p>
      <w:pPr>
        <w:pStyle w:val="TextBody"/>
        <w:bidi w:val="0"/>
        <w:spacing w:lineRule="auto" w:line="312" w:before="0" w:after="180"/>
        <w:jc w:val="left"/>
        <w:rPr>
          <w:rFonts w:ascii="Arial;sans-serif" w:hAnsi="Arial;sans-serif"/>
          <w:b w:val="false"/>
          <w:color w:val="000000"/>
          <w:sz w:val="18"/>
        </w:rPr>
      </w:pPr>
      <w:r>
        <w:rPr>
          <w:rFonts w:ascii="Arial;sans-serif" w:hAnsi="Arial;sans-serif"/>
          <w:b w:val="false"/>
          <w:color w:val="000000"/>
          <w:sz w:val="18"/>
        </w:rPr>
        <w:t>Given our unique business profile, history, and market competitors, the Compensation Committee believes that the competitive market for executive talent includes primarily medical device and equipment companies and, to a lesser extent, the broader healthcare sector. Accordingly, it develops a compensation peer group to contain a carefully selected cross-section of such public companies with revenues and market capitalizations that are similar to ours, using factors described below. The Compensation Committee considers the compensation practices of these peer group companies as one factor in its compensation deliberations. This peer group data is supplemented with executive compensation survey data representing public medical device, technology, and life sciences companies that are of similar size to SI-BONE, as well as market trends and best practices in executive compensation and the judgment of the Compensation Committee members. Other important factors taken into consideration when determining executive pay levels include employee knowledge, skills and experience; individual performance; scope of responsibilities; and any retention concerns.</w:t>
      </w:r>
    </w:p>
    <w:p>
      <w:pPr>
        <w:pStyle w:val="TextBody"/>
        <w:bidi w:val="0"/>
        <w:spacing w:lineRule="auto" w:line="312" w:before="0" w:after="120"/>
        <w:jc w:val="left"/>
        <w:rPr>
          <w:rFonts w:ascii="Arial;sans-serif" w:hAnsi="Arial;sans-serif"/>
          <w:b/>
          <w:color w:val="74A333"/>
          <w:sz w:val="18"/>
        </w:rPr>
      </w:pPr>
      <w:r>
        <w:rPr>
          <w:rFonts w:ascii="Arial;sans-serif" w:hAnsi="Arial;sans-serif"/>
          <w:b/>
          <w:color w:val="74A333"/>
          <w:sz w:val="18"/>
        </w:rPr>
        <w:t xml:space="preserve">2024 Compensation Peer Group </w:t>
      </w:r>
    </w:p>
    <w:p>
      <w:pPr>
        <w:pStyle w:val="TextBody"/>
        <w:bidi w:val="0"/>
        <w:spacing w:lineRule="auto" w:line="312" w:before="0" w:after="180"/>
        <w:jc w:val="left"/>
        <w:rPr>
          <w:rFonts w:ascii="Arial;sans-serif" w:hAnsi="Arial;sans-serif"/>
          <w:b w:val="false"/>
          <w:color w:val="000000"/>
          <w:sz w:val="18"/>
        </w:rPr>
      </w:pPr>
      <w:r>
        <w:rPr>
          <w:rFonts w:ascii="Arial;sans-serif" w:hAnsi="Arial;sans-serif"/>
          <w:b w:val="false"/>
          <w:color w:val="000000"/>
          <w:sz w:val="18"/>
        </w:rPr>
        <w:t>In September 2023, the Compensation Committee, with the assistance of Compensia, approved the following target criteria for determining the composition of our peer group for purposes of evaluating the compensation of our Named Executive Officers for 2024.</w:t>
      </w:r>
    </w:p>
    <w:p>
      <w:pPr>
        <w:pStyle w:val="TextBody"/>
        <w:bidi w:val="0"/>
        <w:spacing w:lineRule="auto" w:line="312" w:before="0" w:after="60"/>
        <w:ind w:left="0" w:right="0" w:hanging="360"/>
        <w:jc w:val="left"/>
        <w:rPr/>
      </w:pPr>
      <w:r>
        <w:rPr>
          <w:color w:val="000000"/>
        </w:rPr>
        <w:t>•</w:t>
      </w:r>
      <w:r>
        <w:rPr>
          <w:rFonts w:ascii="Arial;sans-serif" w:hAnsi="Arial;sans-serif"/>
          <w:b w:val="false"/>
          <w:color w:val="000000"/>
          <w:sz w:val="18"/>
        </w:rPr>
        <w:t>Revenue: 0.4x to 2.5x our revenue</w:t>
      </w:r>
    </w:p>
    <w:p>
      <w:pPr>
        <w:pStyle w:val="TextBody"/>
        <w:bidi w:val="0"/>
        <w:spacing w:lineRule="auto" w:line="312" w:before="0" w:after="60"/>
        <w:ind w:left="0" w:right="0" w:hanging="360"/>
        <w:jc w:val="left"/>
        <w:rPr/>
      </w:pPr>
      <w:r>
        <w:rPr>
          <w:color w:val="000000"/>
        </w:rPr>
        <w:t>•</w:t>
      </w:r>
      <w:r>
        <w:rPr>
          <w:rFonts w:ascii="Arial;sans-serif" w:hAnsi="Arial;sans-serif"/>
          <w:b w:val="false"/>
          <w:color w:val="000000"/>
          <w:sz w:val="18"/>
        </w:rPr>
        <w:t>Market capitalization: 0.25x to 4.0x our market capitalization</w:t>
      </w:r>
    </w:p>
    <w:p>
      <w:pPr>
        <w:pStyle w:val="TextBody"/>
        <w:bidi w:val="0"/>
        <w:spacing w:lineRule="auto" w:line="312" w:before="0" w:after="60"/>
        <w:ind w:left="0" w:right="0" w:hanging="360"/>
        <w:jc w:val="left"/>
        <w:rPr/>
      </w:pPr>
      <w:r>
        <w:rPr>
          <w:color w:val="000000"/>
        </w:rPr>
        <w:t>•</w:t>
      </w:r>
      <w:r>
        <w:rPr>
          <w:rFonts w:ascii="Arial;sans-serif" w:hAnsi="Arial;sans-serif"/>
          <w:b w:val="false"/>
          <w:color w:val="000000"/>
          <w:sz w:val="18"/>
        </w:rPr>
        <w:t xml:space="preserve">Industry: medical device and equipment </w:t>
      </w:r>
    </w:p>
    <w:p>
      <w:pPr>
        <w:pStyle w:val="TextBody"/>
        <w:bidi w:val="0"/>
        <w:spacing w:lineRule="auto" w:line="312" w:before="0" w:after="180"/>
        <w:ind w:left="0" w:right="0" w:hanging="360"/>
        <w:jc w:val="left"/>
        <w:rPr/>
      </w:pPr>
      <w:r>
        <w:rPr>
          <w:color w:val="000000"/>
        </w:rPr>
        <w:t>•</w:t>
      </w:r>
      <w:r>
        <w:rPr>
          <w:rFonts w:ascii="Arial;sans-serif" w:hAnsi="Arial;sans-serif"/>
          <w:b w:val="false"/>
          <w:color w:val="000000"/>
          <w:sz w:val="18"/>
        </w:rPr>
        <w:t>Location: public companies headquartered in the United States</w:t>
      </w:r>
    </w:p>
    <w:p>
      <w:pPr>
        <w:pStyle w:val="TextBody"/>
        <w:bidi w:val="0"/>
        <w:spacing w:lineRule="auto" w:line="312" w:before="0" w:after="180"/>
        <w:jc w:val="left"/>
        <w:rPr>
          <w:rFonts w:ascii="Arial;sans-serif" w:hAnsi="Arial;sans-serif"/>
          <w:b w:val="false"/>
          <w:color w:val="000000"/>
          <w:sz w:val="18"/>
        </w:rPr>
      </w:pPr>
      <w:r>
        <w:rPr>
          <w:rFonts w:ascii="Arial;sans-serif" w:hAnsi="Arial;sans-serif"/>
          <w:b w:val="false"/>
          <w:color w:val="000000"/>
          <w:sz w:val="18"/>
        </w:rPr>
        <w:t>Accordingly, the following 18 companies were selected by the Compensation Committee as the defined peer group for purposes of 2024 executive compensation decisions:</w:t>
      </w:r>
    </w:p>
    <w:tbl>
      <w:tblPr>
        <w:tblW w:w="5939" w:type="dxa"/>
        <w:jc w:val="left"/>
        <w:tblInd w:w="0" w:type="dxa"/>
        <w:tblLayout w:type="fixed"/>
        <w:tblCellMar>
          <w:top w:w="28" w:type="dxa"/>
          <w:left w:w="28" w:type="dxa"/>
          <w:bottom w:w="28" w:type="dxa"/>
          <w:right w:w="28" w:type="dxa"/>
        </w:tblCellMar>
      </w:tblPr>
      <w:tblGrid>
        <w:gridCol w:w="587"/>
        <w:gridCol w:w="515"/>
        <w:gridCol w:w="518"/>
        <w:gridCol w:w="666"/>
        <w:gridCol w:w="666"/>
        <w:gridCol w:w="677"/>
        <w:gridCol w:w="674"/>
        <w:gridCol w:w="674"/>
        <w:gridCol w:w="962"/>
      </w:tblGrid>
      <w:tr>
        <w:trPr/>
        <w:tc>
          <w:tcPr>
            <w:tcW w:w="587" w:type="dxa"/>
            <w:tcBorders/>
            <w:vAlign w:val="center"/>
          </w:tcPr>
          <w:p>
            <w:pPr>
              <w:pStyle w:val="TableContents"/>
              <w:bidi w:val="0"/>
              <w:spacing w:before="0" w:after="283"/>
              <w:jc w:val="left"/>
              <w:rPr>
                <w:sz w:val="4"/>
                <w:szCs w:val="4"/>
              </w:rPr>
            </w:pPr>
            <w:r>
              <w:rPr>
                <w:sz w:val="4"/>
                <w:szCs w:val="4"/>
              </w:rPr>
            </w:r>
          </w:p>
        </w:tc>
        <w:tc>
          <w:tcPr>
            <w:tcW w:w="515" w:type="dxa"/>
            <w:tcBorders/>
            <w:vAlign w:val="center"/>
          </w:tcPr>
          <w:p>
            <w:pPr>
              <w:pStyle w:val="TableContents"/>
              <w:bidi w:val="0"/>
              <w:spacing w:before="0" w:after="283"/>
              <w:jc w:val="left"/>
              <w:rPr>
                <w:sz w:val="4"/>
                <w:szCs w:val="4"/>
              </w:rPr>
            </w:pPr>
            <w:r>
              <w:rPr>
                <w:sz w:val="4"/>
                <w:szCs w:val="4"/>
              </w:rPr>
            </w:r>
          </w:p>
        </w:tc>
        <w:tc>
          <w:tcPr>
            <w:tcW w:w="518" w:type="dxa"/>
            <w:tcBorders/>
            <w:vAlign w:val="center"/>
          </w:tcPr>
          <w:p>
            <w:pPr>
              <w:pStyle w:val="TableContents"/>
              <w:bidi w:val="0"/>
              <w:spacing w:before="0" w:after="283"/>
              <w:jc w:val="left"/>
              <w:rPr>
                <w:sz w:val="4"/>
                <w:szCs w:val="4"/>
              </w:rPr>
            </w:pPr>
            <w:r>
              <w:rPr>
                <w:sz w:val="4"/>
                <w:szCs w:val="4"/>
              </w:rPr>
            </w:r>
          </w:p>
        </w:tc>
        <w:tc>
          <w:tcPr>
            <w:tcW w:w="666" w:type="dxa"/>
            <w:tcBorders/>
            <w:vAlign w:val="center"/>
          </w:tcPr>
          <w:p>
            <w:pPr>
              <w:pStyle w:val="TableContents"/>
              <w:bidi w:val="0"/>
              <w:spacing w:before="0" w:after="283"/>
              <w:jc w:val="left"/>
              <w:rPr>
                <w:sz w:val="4"/>
                <w:szCs w:val="4"/>
              </w:rPr>
            </w:pPr>
            <w:r>
              <w:rPr>
                <w:sz w:val="4"/>
                <w:szCs w:val="4"/>
              </w:rPr>
            </w:r>
          </w:p>
        </w:tc>
        <w:tc>
          <w:tcPr>
            <w:tcW w:w="666"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962" w:type="dxa"/>
            <w:tcBorders/>
            <w:vAlign w:val="center"/>
          </w:tcPr>
          <w:p>
            <w:pPr>
              <w:pStyle w:val="TableContents"/>
              <w:bidi w:val="0"/>
              <w:spacing w:before="0" w:after="283"/>
              <w:jc w:val="left"/>
              <w:rPr>
                <w:sz w:val="4"/>
                <w:szCs w:val="4"/>
              </w:rPr>
            </w:pPr>
            <w:r>
              <w:rPr>
                <w:sz w:val="4"/>
                <w:szCs w:val="4"/>
              </w:rPr>
            </w:r>
          </w:p>
        </w:tc>
      </w:tr>
      <w:tr>
        <w:trPr/>
        <w:tc>
          <w:tcPr>
            <w:tcW w:w="1620" w:type="dxa"/>
            <w:gridSpan w:val="3"/>
            <w:tcBorders/>
            <w:shd w:fill="F1F2F2"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Alphatec Holdings</w:t>
            </w:r>
          </w:p>
        </w:tc>
        <w:tc>
          <w:tcPr>
            <w:tcW w:w="2009" w:type="dxa"/>
            <w:gridSpan w:val="3"/>
            <w:tcBorders/>
            <w:shd w:fill="F1F2F2"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Nevro</w:t>
            </w:r>
          </w:p>
        </w:tc>
        <w:tc>
          <w:tcPr>
            <w:tcW w:w="2310" w:type="dxa"/>
            <w:gridSpan w:val="3"/>
            <w:tcBorders/>
            <w:shd w:fill="F1F2F2"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RxSight</w:t>
            </w:r>
          </w:p>
        </w:tc>
      </w:tr>
      <w:tr>
        <w:trPr/>
        <w:tc>
          <w:tcPr>
            <w:tcW w:w="162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 xml:space="preserve">AxoGen </w:t>
            </w:r>
          </w:p>
        </w:tc>
        <w:tc>
          <w:tcPr>
            <w:tcW w:w="20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Orthofix Medical</w:t>
            </w:r>
          </w:p>
        </w:tc>
        <w:tc>
          <w:tcPr>
            <w:tcW w:w="23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Sight Sciences</w:t>
            </w:r>
          </w:p>
        </w:tc>
      </w:tr>
      <w:tr>
        <w:trPr/>
        <w:tc>
          <w:tcPr>
            <w:tcW w:w="1620" w:type="dxa"/>
            <w:gridSpan w:val="3"/>
            <w:tcBorders/>
            <w:shd w:fill="F1F2F2"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Cerus</w:t>
            </w:r>
          </w:p>
        </w:tc>
        <w:tc>
          <w:tcPr>
            <w:tcW w:w="2009" w:type="dxa"/>
            <w:gridSpan w:val="3"/>
            <w:tcBorders/>
            <w:shd w:fill="F1F2F2"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OrthoPediatrics</w:t>
            </w:r>
          </w:p>
        </w:tc>
        <w:tc>
          <w:tcPr>
            <w:tcW w:w="2310" w:type="dxa"/>
            <w:gridSpan w:val="3"/>
            <w:tcBorders/>
            <w:shd w:fill="F1F2F2"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Silk Road Medical</w:t>
            </w:r>
          </w:p>
        </w:tc>
      </w:tr>
      <w:tr>
        <w:trPr/>
        <w:tc>
          <w:tcPr>
            <w:tcW w:w="162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Cutera</w:t>
            </w:r>
          </w:p>
        </w:tc>
        <w:tc>
          <w:tcPr>
            <w:tcW w:w="20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Paragon 28</w:t>
            </w:r>
          </w:p>
        </w:tc>
        <w:tc>
          <w:tcPr>
            <w:tcW w:w="23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STAAR Surgical Company</w:t>
            </w:r>
          </w:p>
        </w:tc>
      </w:tr>
      <w:tr>
        <w:trPr/>
        <w:tc>
          <w:tcPr>
            <w:tcW w:w="1620" w:type="dxa"/>
            <w:gridSpan w:val="3"/>
            <w:tcBorders/>
            <w:shd w:fill="F1F2F2"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Glaukos</w:t>
            </w:r>
          </w:p>
        </w:tc>
        <w:tc>
          <w:tcPr>
            <w:tcW w:w="2009" w:type="dxa"/>
            <w:gridSpan w:val="3"/>
            <w:tcBorders/>
            <w:shd w:fill="F1F2F2"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PROCEPT BioRobotics</w:t>
            </w:r>
          </w:p>
        </w:tc>
        <w:tc>
          <w:tcPr>
            <w:tcW w:w="2310" w:type="dxa"/>
            <w:gridSpan w:val="3"/>
            <w:tcBorders/>
            <w:shd w:fill="F1F2F2"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Treace Medical Concepts</w:t>
            </w:r>
          </w:p>
        </w:tc>
      </w:tr>
      <w:tr>
        <w:trPr/>
        <w:tc>
          <w:tcPr>
            <w:tcW w:w="1620" w:type="dxa"/>
            <w:gridSpan w:val="3"/>
            <w:tcBorders>
              <w:bottom w:val="single" w:sz="12" w:space="0" w:color="74A333"/>
            </w:tcBorders>
            <w:tcMar>
              <w:top w:w="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LeMaitre Vascular</w:t>
            </w:r>
          </w:p>
        </w:tc>
        <w:tc>
          <w:tcPr>
            <w:tcW w:w="2009" w:type="dxa"/>
            <w:gridSpan w:val="3"/>
            <w:tcBorders>
              <w:bottom w:val="single" w:sz="12" w:space="0" w:color="74A333"/>
            </w:tcBorders>
            <w:tcMar>
              <w:top w:w="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Pulmonx</w:t>
            </w:r>
          </w:p>
        </w:tc>
        <w:tc>
          <w:tcPr>
            <w:tcW w:w="2310" w:type="dxa"/>
            <w:gridSpan w:val="3"/>
            <w:tcBorders>
              <w:bottom w:val="single" w:sz="12" w:space="0" w:color="74A333"/>
            </w:tcBorders>
            <w:tcMar>
              <w:top w:w="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Zynex</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739140"/>
                <wp:effectExtent l="0" t="0" r="0" b="0"/>
                <wp:wrapNone/>
                <wp:docPr id="54" name="Frame34"/>
                <a:graphic xmlns:a="http://schemas.openxmlformats.org/drawingml/2006/main">
                  <a:graphicData uri="http://schemas.microsoft.com/office/word/2010/wordprocessingShape">
                    <wps:wsp>
                      <wps:cNvSpPr txBox="1"/>
                      <wps:spPr>
                        <a:xfrm>
                          <a:off x="0" y="0"/>
                          <a:ext cx="6480175" cy="739140"/>
                        </a:xfrm>
                        <a:prstGeom prst="rect"/>
                        <a:solidFill>
                          <a:srgbClr val="FFFFFF"/>
                        </a:solidFill>
                      </wps:spPr>
                      <wps:txbx>
                        <w:txbxContent>
                          <w:tbl>
                            <w:tblPr>
                              <w:tblW w:w="3266" w:type="dxa"/>
                              <w:jc w:val="center"/>
                              <w:tblInd w:w="0" w:type="dxa"/>
                              <w:tblLayout w:type="fixed"/>
                              <w:tblCellMar>
                                <w:top w:w="28" w:type="dxa"/>
                                <w:left w:w="28" w:type="dxa"/>
                                <w:bottom w:w="28" w:type="dxa"/>
                                <w:right w:w="28" w:type="dxa"/>
                              </w:tblCellMar>
                            </w:tblPr>
                            <w:tblGrid>
                              <w:gridCol w:w="424"/>
                              <w:gridCol w:w="372"/>
                              <w:gridCol w:w="374"/>
                              <w:gridCol w:w="109"/>
                              <w:gridCol w:w="109"/>
                              <w:gridCol w:w="109"/>
                              <w:gridCol w:w="517"/>
                              <w:gridCol w:w="517"/>
                              <w:gridCol w:w="735"/>
                            </w:tblGrid>
                            <w:tr>
                              <w:trPr/>
                              <w:tc>
                                <w:tcPr>
                                  <w:tcW w:w="424"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r>
                            <w:tr>
                              <w:trPr/>
                              <w:tc>
                                <w:tcPr>
                                  <w:tcW w:w="1170"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6"/>
                                    </w:rPr>
                                  </w:pPr>
                                  <w:r>
                                    <w:rPr>
                                      <w:rFonts w:ascii="Arial;sans-serif" w:hAnsi="Arial;sans-serif"/>
                                      <w:b/>
                                      <w:color w:val="000000"/>
                                      <w:sz w:val="16"/>
                                    </w:rPr>
                                    <w:t>SI-BONE, Inc.</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000000"/>
                                      <w:sz w:val="16"/>
                                    </w:rPr>
                                  </w:pPr>
                                  <w:r>
                                    <w:rPr>
                                      <w:rFonts w:ascii="Arial;sans-serif" w:hAnsi="Arial;sans-serif"/>
                                      <w:b/>
                                      <w:color w:val="000000"/>
                                      <w:sz w:val="16"/>
                                    </w:rPr>
                                    <w:t>29</w:t>
                                  </w:r>
                                </w:p>
                              </w:tc>
                              <w:tc>
                                <w:tcPr>
                                  <w:tcW w:w="176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2025 Proxy Statement</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2pt;mso-wrap-distance-left:0pt;mso-wrap-distance-right:0pt;mso-wrap-distance-top:0pt;mso-wrap-distance-bottom:0pt;margin-top:0pt;mso-position-vertical:top;mso-position-vertical-relative:text;margin-left:0pt;mso-position-horizontal:left;mso-position-horizontal-relative:text">
                <v:textbox>
                  <w:txbxContent>
                    <w:tbl>
                      <w:tblPr>
                        <w:tblW w:w="3266" w:type="dxa"/>
                        <w:jc w:val="center"/>
                        <w:tblInd w:w="0" w:type="dxa"/>
                        <w:tblLayout w:type="fixed"/>
                        <w:tblCellMar>
                          <w:top w:w="28" w:type="dxa"/>
                          <w:left w:w="28" w:type="dxa"/>
                          <w:bottom w:w="28" w:type="dxa"/>
                          <w:right w:w="28" w:type="dxa"/>
                        </w:tblCellMar>
                      </w:tblPr>
                      <w:tblGrid>
                        <w:gridCol w:w="424"/>
                        <w:gridCol w:w="372"/>
                        <w:gridCol w:w="374"/>
                        <w:gridCol w:w="109"/>
                        <w:gridCol w:w="109"/>
                        <w:gridCol w:w="109"/>
                        <w:gridCol w:w="517"/>
                        <w:gridCol w:w="517"/>
                        <w:gridCol w:w="735"/>
                      </w:tblGrid>
                      <w:tr>
                        <w:trPr/>
                        <w:tc>
                          <w:tcPr>
                            <w:tcW w:w="424"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r>
                      <w:tr>
                        <w:trPr/>
                        <w:tc>
                          <w:tcPr>
                            <w:tcW w:w="1170"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6"/>
                              </w:rPr>
                            </w:pPr>
                            <w:r>
                              <w:rPr>
                                <w:rFonts w:ascii="Arial;sans-serif" w:hAnsi="Arial;sans-serif"/>
                                <w:b/>
                                <w:color w:val="000000"/>
                                <w:sz w:val="16"/>
                              </w:rPr>
                              <w:t>SI-BONE, Inc.</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000000"/>
                                <w:sz w:val="16"/>
                              </w:rPr>
                            </w:pPr>
                            <w:r>
                              <w:rPr>
                                <w:rFonts w:ascii="Arial;sans-serif" w:hAnsi="Arial;sans-serif"/>
                                <w:b/>
                                <w:color w:val="000000"/>
                                <w:sz w:val="16"/>
                              </w:rPr>
                              <w:t>29</w:t>
                            </w:r>
                          </w:p>
                        </w:tc>
                        <w:tc>
                          <w:tcPr>
                            <w:tcW w:w="176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2025 Proxy Statement</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right"/>
        <w:rPr>
          <w:rFonts w:ascii="Arial;sans-serif" w:hAnsi="Arial;sans-serif"/>
          <w:b w:val="false"/>
          <w:color w:val="000000"/>
          <w:sz w:val="16"/>
        </w:rPr>
      </w:pPr>
      <w:r>
        <w:rPr>
          <w:rFonts w:ascii="Arial;sans-serif" w:hAnsi="Arial;sans-serif"/>
          <w:b w:val="false"/>
          <w:color w:val="000000"/>
          <w:sz w:val="16"/>
        </w:rPr>
        <w:t>Table of Contents</w:t>
      </w:r>
    </w:p>
    <w:p>
      <w:pPr>
        <w:pStyle w:val="TextBody"/>
        <w:bidi w:val="0"/>
        <w:spacing w:lineRule="auto" w:line="312" w:before="0" w:after="180"/>
        <w:jc w:val="left"/>
        <w:rPr>
          <w:rFonts w:ascii="Arial;sans-serif" w:hAnsi="Arial;sans-serif"/>
          <w:b w:val="false"/>
          <w:color w:val="000000"/>
          <w:sz w:val="18"/>
        </w:rPr>
      </w:pPr>
      <w:r>
        <w:rPr>
          <w:rFonts w:ascii="Arial;sans-serif" w:hAnsi="Arial;sans-serif"/>
          <w:b w:val="false"/>
          <w:color w:val="000000"/>
          <w:sz w:val="18"/>
        </w:rPr>
        <w:t>The Compensation Committee reviews the compensation peer group on an annual basis and adjusts the company composition as needed based on the current financial profile and business focus of the included companies relative to SI-BONE. As part of its process for developing our 2024 peer group, the Compensation Committee made the following changes to our 2023 peer group:</w:t>
      </w:r>
    </w:p>
    <w:p>
      <w:pPr>
        <w:pStyle w:val="TextBody"/>
        <w:bidi w:val="0"/>
        <w:spacing w:lineRule="auto" w:line="312" w:before="0" w:after="60"/>
        <w:ind w:left="0" w:right="0" w:hanging="360"/>
        <w:jc w:val="left"/>
        <w:rPr/>
      </w:pPr>
      <w:r>
        <w:rPr>
          <w:color w:val="000000"/>
        </w:rPr>
        <w:t>•</w:t>
      </w:r>
      <w:r>
        <w:rPr>
          <w:rFonts w:ascii="Arial;sans-serif" w:hAnsi="Arial;sans-serif"/>
          <w:b w:val="false"/>
          <w:color w:val="000000"/>
          <w:sz w:val="18"/>
        </w:rPr>
        <w:t>Removed Apyx Medical, Conformis, NeuroPace and ViewRay due to their low revenue and/or market capitalization, removed Shockwave Medical due to its increased revenue and market capitalization, and removed SeaSpine Holdings due to its acquisition.</w:t>
      </w:r>
    </w:p>
    <w:p>
      <w:pPr>
        <w:pStyle w:val="TextBody"/>
        <w:bidi w:val="0"/>
        <w:spacing w:lineRule="auto" w:line="312" w:before="0" w:after="60"/>
        <w:ind w:left="0" w:right="0" w:hanging="360"/>
        <w:jc w:val="left"/>
        <w:rPr/>
      </w:pPr>
      <w:r>
        <w:rPr>
          <w:color w:val="000000"/>
        </w:rPr>
        <w:t>•</w:t>
      </w:r>
      <w:r>
        <w:rPr>
          <w:rFonts w:ascii="Arial;sans-serif" w:hAnsi="Arial;sans-serif"/>
          <w:b w:val="false"/>
          <w:color w:val="000000"/>
          <w:sz w:val="18"/>
        </w:rPr>
        <w:t>Added Glaukos, Nevro, Orthofix Medical, Paragon 28, PROCEPT BioRobotics, RxSight and STAAR Surgical Company based on the criteria above.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80"/>
        <w:jc w:val="left"/>
        <w:rPr>
          <w:rFonts w:ascii="Arial;sans-serif" w:hAnsi="Arial;sans-serif"/>
          <w:b w:val="false"/>
          <w:color w:val="000000"/>
          <w:sz w:val="24"/>
        </w:rPr>
      </w:pPr>
      <w:r>
        <w:rPr>
          <w:rFonts w:ascii="Arial;sans-serif" w:hAnsi="Arial;sans-serif"/>
          <w:b w:val="false"/>
          <w:color w:val="000000"/>
          <w:sz w:val="24"/>
        </w:rPr>
        <w:t xml:space="preserve">COMPENSATION ELEMENTS </w:t>
      </w:r>
    </w:p>
    <w:p>
      <w:pPr>
        <w:pStyle w:val="TextBody"/>
        <w:bidi w:val="0"/>
        <w:spacing w:lineRule="auto" w:line="312" w:before="0" w:after="180"/>
        <w:jc w:val="left"/>
        <w:rPr>
          <w:rFonts w:ascii="Arial;sans-serif" w:hAnsi="Arial;sans-serif"/>
          <w:b w:val="false"/>
          <w:color w:val="000000"/>
          <w:sz w:val="18"/>
        </w:rPr>
      </w:pPr>
      <w:r>
        <w:rPr>
          <w:rFonts w:ascii="Arial;sans-serif" w:hAnsi="Arial;sans-serif"/>
          <w:b w:val="false"/>
          <w:color w:val="000000"/>
          <w:sz w:val="18"/>
        </w:rPr>
        <w:t>The three primary elements of our executive compensation programs are: (1) base salary, (2) annual cash bonus opportunities, and (3) long-term incentives in the form of equity awards as described below:</w:t>
      </w:r>
    </w:p>
    <w:tbl>
      <w:tblPr>
        <w:tblW w:w="10205" w:type="dxa"/>
        <w:jc w:val="left"/>
        <w:tblInd w:w="0" w:type="dxa"/>
        <w:tblLayout w:type="fixed"/>
        <w:tblCellMar>
          <w:top w:w="28" w:type="dxa"/>
          <w:left w:w="28" w:type="dxa"/>
          <w:bottom w:w="28" w:type="dxa"/>
          <w:right w:w="28" w:type="dxa"/>
        </w:tblCellMar>
      </w:tblPr>
      <w:tblGrid>
        <w:gridCol w:w="612"/>
        <w:gridCol w:w="537"/>
        <w:gridCol w:w="539"/>
        <w:gridCol w:w="1063"/>
        <w:gridCol w:w="731"/>
        <w:gridCol w:w="734"/>
        <w:gridCol w:w="1961"/>
        <w:gridCol w:w="1664"/>
        <w:gridCol w:w="2364"/>
      </w:tblGrid>
      <w:tr>
        <w:trPr/>
        <w:tc>
          <w:tcPr>
            <w:tcW w:w="612" w:type="dxa"/>
            <w:tcBorders/>
            <w:vAlign w:val="center"/>
          </w:tcPr>
          <w:p>
            <w:pPr>
              <w:pStyle w:val="TableContents"/>
              <w:bidi w:val="0"/>
              <w:spacing w:before="0" w:after="283"/>
              <w:jc w:val="left"/>
              <w:rPr>
                <w:sz w:val="4"/>
                <w:szCs w:val="4"/>
              </w:rPr>
            </w:pPr>
            <w:r>
              <w:rPr>
                <w:sz w:val="4"/>
                <w:szCs w:val="4"/>
              </w:rPr>
            </w:r>
          </w:p>
        </w:tc>
        <w:tc>
          <w:tcPr>
            <w:tcW w:w="537"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1063" w:type="dxa"/>
            <w:tcBorders/>
            <w:vAlign w:val="center"/>
          </w:tcPr>
          <w:p>
            <w:pPr>
              <w:pStyle w:val="TableContents"/>
              <w:bidi w:val="0"/>
              <w:spacing w:before="0" w:after="283"/>
              <w:jc w:val="left"/>
              <w:rPr>
                <w:sz w:val="4"/>
                <w:szCs w:val="4"/>
              </w:rPr>
            </w:pPr>
            <w:r>
              <w:rPr>
                <w:sz w:val="4"/>
                <w:szCs w:val="4"/>
              </w:rPr>
            </w:r>
          </w:p>
        </w:tc>
        <w:tc>
          <w:tcPr>
            <w:tcW w:w="731"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1961" w:type="dxa"/>
            <w:tcBorders/>
            <w:vAlign w:val="center"/>
          </w:tcPr>
          <w:p>
            <w:pPr>
              <w:pStyle w:val="TableContents"/>
              <w:bidi w:val="0"/>
              <w:spacing w:before="0" w:after="283"/>
              <w:jc w:val="left"/>
              <w:rPr>
                <w:sz w:val="4"/>
                <w:szCs w:val="4"/>
              </w:rPr>
            </w:pPr>
            <w:r>
              <w:rPr>
                <w:sz w:val="4"/>
                <w:szCs w:val="4"/>
              </w:rPr>
            </w:r>
          </w:p>
        </w:tc>
        <w:tc>
          <w:tcPr>
            <w:tcW w:w="1664" w:type="dxa"/>
            <w:tcBorders/>
            <w:vAlign w:val="center"/>
          </w:tcPr>
          <w:p>
            <w:pPr>
              <w:pStyle w:val="TableContents"/>
              <w:bidi w:val="0"/>
              <w:spacing w:before="0" w:after="283"/>
              <w:jc w:val="left"/>
              <w:rPr>
                <w:sz w:val="4"/>
                <w:szCs w:val="4"/>
              </w:rPr>
            </w:pPr>
            <w:r>
              <w:rPr>
                <w:sz w:val="4"/>
                <w:szCs w:val="4"/>
              </w:rPr>
            </w:r>
          </w:p>
        </w:tc>
        <w:tc>
          <w:tcPr>
            <w:tcW w:w="2364" w:type="dxa"/>
            <w:tcBorders/>
            <w:vAlign w:val="center"/>
          </w:tcPr>
          <w:p>
            <w:pPr>
              <w:pStyle w:val="TableContents"/>
              <w:bidi w:val="0"/>
              <w:spacing w:before="0" w:after="283"/>
              <w:jc w:val="left"/>
              <w:rPr>
                <w:sz w:val="4"/>
                <w:szCs w:val="4"/>
              </w:rPr>
            </w:pPr>
            <w:r>
              <w:rPr>
                <w:sz w:val="4"/>
                <w:szCs w:val="4"/>
              </w:rPr>
            </w:r>
          </w:p>
        </w:tc>
      </w:tr>
      <w:tr>
        <w:trPr/>
        <w:tc>
          <w:tcPr>
            <w:tcW w:w="168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6"/>
              </w:rPr>
            </w:pPr>
            <w:r>
              <w:rPr>
                <w:rFonts w:ascii="Arial;sans-serif" w:hAnsi="Arial;sans-serif"/>
                <w:b/>
                <w:color w:val="000000"/>
                <w:sz w:val="16"/>
              </w:rPr>
              <w:t>Compensation Element</w:t>
            </w:r>
          </w:p>
        </w:tc>
        <w:tc>
          <w:tcPr>
            <w:tcW w:w="252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6"/>
              </w:rPr>
            </w:pPr>
            <w:r>
              <w:rPr>
                <w:rFonts w:ascii="Arial;sans-serif" w:hAnsi="Arial;sans-serif"/>
                <w:b/>
                <w:color w:val="000000"/>
                <w:sz w:val="16"/>
              </w:rPr>
              <w:t>What This Element Rewards</w:t>
            </w:r>
          </w:p>
        </w:tc>
        <w:tc>
          <w:tcPr>
            <w:tcW w:w="598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6"/>
              </w:rPr>
            </w:pPr>
            <w:r>
              <w:rPr>
                <w:rFonts w:ascii="Arial;sans-serif" w:hAnsi="Arial;sans-serif"/>
                <w:b/>
                <w:color w:val="000000"/>
                <w:sz w:val="16"/>
              </w:rPr>
              <w:t>Purpose and Key Features of Element</w:t>
            </w:r>
          </w:p>
        </w:tc>
      </w:tr>
      <w:tr>
        <w:trPr/>
        <w:tc>
          <w:tcPr>
            <w:tcW w:w="16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8" w:type="dxa"/>
            <w:gridSpan w:val="3"/>
            <w:tcBorders/>
            <w:shd w:fill="ECEC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8" w:type="dxa"/>
            <w:gridSpan w:val="3"/>
            <w:tcBorders/>
            <w:shd w:fill="ECEC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89" w:type="dxa"/>
            <w:gridSpan w:val="3"/>
            <w:tcBorders/>
            <w:shd w:fill="ECEC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8" w:type="dxa"/>
            <w:gridSpan w:val="3"/>
            <w:tcBorders/>
            <w:shd w:fill="ECECEE"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74A333"/>
                <w:sz w:val="16"/>
              </w:rPr>
            </w:pPr>
            <w:r>
              <w:rPr>
                <w:rFonts w:ascii="Arial;sans-serif" w:hAnsi="Arial;sans-serif"/>
                <w:b/>
                <w:color w:val="74A333"/>
                <w:sz w:val="16"/>
              </w:rPr>
              <w:t>Base salary</w:t>
            </w:r>
          </w:p>
        </w:tc>
        <w:tc>
          <w:tcPr>
            <w:tcW w:w="2528" w:type="dxa"/>
            <w:gridSpan w:val="3"/>
            <w:tcBorders/>
            <w:shd w:fill="ECECEE"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Individual performance, level of experience, expected future performance and contributions</w:t>
            </w:r>
          </w:p>
        </w:tc>
        <w:tc>
          <w:tcPr>
            <w:tcW w:w="5989" w:type="dxa"/>
            <w:gridSpan w:val="3"/>
            <w:tcBorders/>
            <w:shd w:fill="ECECEE"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Provides competitive level of fixed compensation determined by the market value of the position, with actual base salaries established based on the facts and circumstances of each executive officer and each individual position</w:t>
            </w:r>
          </w:p>
        </w:tc>
      </w:tr>
      <w:tr>
        <w:trPr/>
        <w:tc>
          <w:tcPr>
            <w:tcW w:w="1688" w:type="dxa"/>
            <w:gridSpan w:val="3"/>
            <w:tcBorders/>
            <w:shd w:fill="ECEC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8" w:type="dxa"/>
            <w:gridSpan w:val="3"/>
            <w:tcBorders/>
            <w:shd w:fill="ECEC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89" w:type="dxa"/>
            <w:gridSpan w:val="3"/>
            <w:tcBorders/>
            <w:shd w:fill="ECEC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74A333"/>
                <w:sz w:val="16"/>
              </w:rPr>
            </w:pPr>
            <w:r>
              <w:rPr>
                <w:rFonts w:ascii="Arial;sans-serif" w:hAnsi="Arial;sans-serif"/>
                <w:b/>
                <w:color w:val="74A333"/>
                <w:sz w:val="16"/>
              </w:rPr>
              <w:t>Annual cash bonuses</w:t>
            </w:r>
          </w:p>
        </w:tc>
        <w:tc>
          <w:tcPr>
            <w:tcW w:w="252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Achievement of pre-established corporate performance objectives for 2024</w:t>
            </w:r>
          </w:p>
        </w:tc>
        <w:tc>
          <w:tcPr>
            <w:tcW w:w="598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Motivates executive officers to achieve or exceed our corporate and financial short-term goals that are aligned with stockholders' interests</w:t>
            </w:r>
          </w:p>
        </w:tc>
      </w:tr>
      <w:tr>
        <w:trPr/>
        <w:tc>
          <w:tcPr>
            <w:tcW w:w="16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8" w:type="dxa"/>
            <w:gridSpan w:val="3"/>
            <w:tcBorders/>
            <w:shd w:fill="ECEC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8" w:type="dxa"/>
            <w:gridSpan w:val="3"/>
            <w:tcBorders/>
            <w:shd w:fill="ECEC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89" w:type="dxa"/>
            <w:gridSpan w:val="3"/>
            <w:tcBorders/>
            <w:shd w:fill="ECEC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8" w:type="dxa"/>
            <w:gridSpan w:val="3"/>
            <w:tcBorders/>
            <w:shd w:fill="ECECEE"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74A333"/>
                <w:sz w:val="16"/>
              </w:rPr>
            </w:pPr>
            <w:r>
              <w:rPr>
                <w:rFonts w:ascii="Arial;sans-serif" w:hAnsi="Arial;sans-serif"/>
                <w:b/>
                <w:color w:val="74A333"/>
                <w:sz w:val="16"/>
              </w:rPr>
              <w:t>Long-term incentives/equity awards</w:t>
            </w:r>
          </w:p>
        </w:tc>
        <w:tc>
          <w:tcPr>
            <w:tcW w:w="2528" w:type="dxa"/>
            <w:gridSpan w:val="3"/>
            <w:tcBorders/>
            <w:shd w:fill="ECECEE"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 xml:space="preserve">Achievement of long-term performance objectives designed to enhance stockholder value </w:t>
            </w:r>
          </w:p>
        </w:tc>
        <w:tc>
          <w:tcPr>
            <w:tcW w:w="5989" w:type="dxa"/>
            <w:gridSpan w:val="3"/>
            <w:tcBorders/>
            <w:shd w:fill="ECECEE" w:val="clear"/>
            <w:tcMar>
              <w:top w:w="0" w:type="dxa"/>
              <w:left w:w="0" w:type="dxa"/>
              <w:bottom w:w="0" w:type="dxa"/>
              <w:right w:w="0" w:type="dxa"/>
            </w:tcMar>
            <w:vAlign w:val="center"/>
          </w:tcPr>
          <w:p>
            <w:pPr>
              <w:pStyle w:val="TableContents"/>
              <w:bidi w:val="0"/>
              <w:spacing w:lineRule="auto" w:line="288" w:before="0" w:after="120"/>
              <w:jc w:val="left"/>
              <w:rPr>
                <w:rFonts w:ascii="Arial;sans-serif" w:hAnsi="Arial;sans-serif"/>
                <w:b w:val="false"/>
                <w:color w:val="000000"/>
                <w:sz w:val="16"/>
              </w:rPr>
            </w:pPr>
            <w:r>
              <w:rPr>
                <w:rFonts w:ascii="Arial;sans-serif" w:hAnsi="Arial;sans-serif"/>
                <w:b w:val="false"/>
                <w:color w:val="000000"/>
                <w:sz w:val="16"/>
              </w:rPr>
              <w:t>Annual equity awards provide a variable “at risk” pay opportunity. RSUs vest over four years and PSUs vest over three years subject to meeting established total shareholder return ("TSR") performance criteria</w:t>
            </w:r>
          </w:p>
          <w:p>
            <w:pPr>
              <w:pStyle w:val="TableContents"/>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Because the ultimate value of these equity awards is directly related to the market price of our common stock, and the awards are only earned over an extended period of time subject to vesting, they serve to focus management on the creation and maintenance of long-term stockholder value</w:t>
            </w:r>
          </w:p>
        </w:tc>
      </w:tr>
      <w:tr>
        <w:trPr/>
        <w:tc>
          <w:tcPr>
            <w:tcW w:w="1688" w:type="dxa"/>
            <w:gridSpan w:val="3"/>
            <w:tcBorders>
              <w:bottom w:val="single" w:sz="12" w:space="0" w:color="74A333"/>
            </w:tcBorders>
            <w:shd w:fill="ECECEE"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528" w:type="dxa"/>
            <w:gridSpan w:val="3"/>
            <w:tcBorders>
              <w:bottom w:val="single" w:sz="12" w:space="0" w:color="74A333"/>
            </w:tcBorders>
            <w:shd w:fill="ECECEE"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989" w:type="dxa"/>
            <w:gridSpan w:val="3"/>
            <w:tcBorders>
              <w:bottom w:val="single" w:sz="12" w:space="0" w:color="74A333"/>
            </w:tcBorders>
            <w:shd w:fill="ECECEE"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12" w:before="0" w:after="180"/>
        <w:jc w:val="left"/>
        <w:rPr>
          <w:rFonts w:ascii="Arial;sans-serif" w:hAnsi="Arial;sans-serif"/>
          <w:b w:val="false"/>
          <w:color w:val="000000"/>
          <w:sz w:val="18"/>
        </w:rPr>
      </w:pPr>
      <w:r>
        <w:rPr>
          <w:rFonts w:ascii="Arial;sans-serif" w:hAnsi="Arial;sans-serif"/>
          <w:b w:val="false"/>
          <w:color w:val="000000"/>
          <w:sz w:val="18"/>
        </w:rPr>
        <w:t xml:space="preserve">Our Named Executive Officers also participate in the standard employee benefit plans available to most of our employees. In addition, our Named Executive Officers are eligible for modest post-employment (severance and change in control) payments and benefits under certain circumstances. </w:t>
      </w:r>
    </w:p>
    <w:p>
      <w:pPr>
        <w:pStyle w:val="TextBody"/>
        <w:bidi w:val="0"/>
        <w:spacing w:lineRule="auto" w:line="312" w:before="0" w:after="180"/>
        <w:jc w:val="left"/>
        <w:rPr>
          <w:rFonts w:ascii="Arial;sans-serif" w:hAnsi="Arial;sans-serif"/>
          <w:b w:val="false"/>
          <w:color w:val="000000"/>
          <w:sz w:val="18"/>
        </w:rPr>
      </w:pPr>
      <w:r>
        <w:rPr>
          <w:rFonts w:ascii="Arial;sans-serif" w:hAnsi="Arial;sans-serif"/>
          <w:b w:val="false"/>
          <w:color w:val="000000"/>
          <w:sz w:val="18"/>
        </w:rPr>
        <w:t>Each of these compensation elements is discussed in detail below, including a description of the particular element, how it fits into our overall executive compensation program, and summary of the amounts of compensation paid to our Named Executive Officers in 2024 under each of these elements.</w:t>
      </w:r>
    </w:p>
    <w:p>
      <w:pPr>
        <w:pStyle w:val="TextBody"/>
        <w:bidi w:val="0"/>
        <w:spacing w:lineRule="auto" w:line="312" w:before="0" w:after="120"/>
        <w:jc w:val="left"/>
        <w:rPr>
          <w:rFonts w:ascii="Arial;sans-serif" w:hAnsi="Arial;sans-serif"/>
          <w:b/>
          <w:color w:val="74A333"/>
          <w:sz w:val="18"/>
        </w:rPr>
      </w:pPr>
      <w:r>
        <w:rPr>
          <w:rFonts w:ascii="Arial;sans-serif" w:hAnsi="Arial;sans-serif"/>
          <w:b/>
          <w:color w:val="74A333"/>
          <w:sz w:val="18"/>
        </w:rPr>
        <w:t xml:space="preserve">Base Salary </w:t>
      </w:r>
    </w:p>
    <w:p>
      <w:pPr>
        <w:pStyle w:val="TextBody"/>
        <w:bidi w:val="0"/>
        <w:spacing w:lineRule="auto" w:line="312" w:before="0" w:after="180"/>
        <w:jc w:val="left"/>
        <w:rPr>
          <w:rFonts w:ascii="Arial;sans-serif" w:hAnsi="Arial;sans-serif"/>
          <w:b w:val="false"/>
          <w:color w:val="000000"/>
          <w:sz w:val="18"/>
        </w:rPr>
      </w:pPr>
      <w:r>
        <w:rPr>
          <w:rFonts w:ascii="Arial;sans-serif" w:hAnsi="Arial;sans-serif"/>
          <w:b w:val="false"/>
          <w:color w:val="000000"/>
          <w:sz w:val="18"/>
        </w:rPr>
        <w:t>We believe that a competitive base salary is a necessary element of our executive compensation program, so that we can attract and retain a stable management team. Base salaries for our Named Executive Officers are also intended to be competitive with those received by other individuals in similar positions at the companies with which we compete for talent, as well as equitable across the executive team.</w:t>
      </w:r>
    </w:p>
    <w:p>
      <w:pPr>
        <w:pStyle w:val="TextBody"/>
        <w:bidi w:val="0"/>
        <w:spacing w:lineRule="auto" w:line="312" w:before="0" w:after="180"/>
        <w:jc w:val="left"/>
        <w:rPr>
          <w:rFonts w:ascii="Arial;sans-serif" w:hAnsi="Arial;sans-serif"/>
          <w:b w:val="false"/>
          <w:color w:val="000000"/>
          <w:sz w:val="18"/>
        </w:rPr>
      </w:pPr>
      <w:r>
        <w:rPr>
          <w:rFonts w:ascii="Arial;sans-serif" w:hAnsi="Arial;sans-serif"/>
          <w:b w:val="false"/>
          <w:color w:val="000000"/>
          <w:sz w:val="18"/>
        </w:rPr>
        <w:t>Generally, we establish the initial base salaries of our Named Executive Officers through arm’s-length negotiation at the time we hire the individual executive officer, taking into account his or her position, qualifications, experience, and the base salaries of our other executive officers.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739140"/>
                <wp:effectExtent l="0" t="0" r="0" b="0"/>
                <wp:wrapNone/>
                <wp:docPr id="55" name="Frame35"/>
                <a:graphic xmlns:a="http://schemas.openxmlformats.org/drawingml/2006/main">
                  <a:graphicData uri="http://schemas.microsoft.com/office/word/2010/wordprocessingShape">
                    <wps:wsp>
                      <wps:cNvSpPr txBox="1"/>
                      <wps:spPr>
                        <a:xfrm>
                          <a:off x="0" y="0"/>
                          <a:ext cx="6480175" cy="739140"/>
                        </a:xfrm>
                        <a:prstGeom prst="rect"/>
                        <a:solidFill>
                          <a:srgbClr val="FFFFFF"/>
                        </a:solidFill>
                      </wps:spPr>
                      <wps:txbx>
                        <w:txbxContent>
                          <w:tbl>
                            <w:tblPr>
                              <w:tblW w:w="3266" w:type="dxa"/>
                              <w:jc w:val="center"/>
                              <w:tblInd w:w="0" w:type="dxa"/>
                              <w:tblLayout w:type="fixed"/>
                              <w:tblCellMar>
                                <w:top w:w="28" w:type="dxa"/>
                                <w:left w:w="28" w:type="dxa"/>
                                <w:bottom w:w="28" w:type="dxa"/>
                                <w:right w:w="28" w:type="dxa"/>
                              </w:tblCellMar>
                            </w:tblPr>
                            <w:tblGrid>
                              <w:gridCol w:w="424"/>
                              <w:gridCol w:w="372"/>
                              <w:gridCol w:w="374"/>
                              <w:gridCol w:w="109"/>
                              <w:gridCol w:w="109"/>
                              <w:gridCol w:w="109"/>
                              <w:gridCol w:w="517"/>
                              <w:gridCol w:w="517"/>
                              <w:gridCol w:w="735"/>
                            </w:tblGrid>
                            <w:tr>
                              <w:trPr/>
                              <w:tc>
                                <w:tcPr>
                                  <w:tcW w:w="424"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r>
                            <w:tr>
                              <w:trPr/>
                              <w:tc>
                                <w:tcPr>
                                  <w:tcW w:w="1170"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6"/>
                                    </w:rPr>
                                  </w:pPr>
                                  <w:r>
                                    <w:rPr>
                                      <w:rFonts w:ascii="Arial;sans-serif" w:hAnsi="Arial;sans-serif"/>
                                      <w:b/>
                                      <w:color w:val="000000"/>
                                      <w:sz w:val="16"/>
                                    </w:rPr>
                                    <w:t>SI-BONE, Inc.</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000000"/>
                                      <w:sz w:val="16"/>
                                    </w:rPr>
                                  </w:pPr>
                                  <w:r>
                                    <w:rPr>
                                      <w:rFonts w:ascii="Arial;sans-serif" w:hAnsi="Arial;sans-serif"/>
                                      <w:b/>
                                      <w:color w:val="000000"/>
                                      <w:sz w:val="16"/>
                                    </w:rPr>
                                    <w:t>30</w:t>
                                  </w:r>
                                </w:p>
                              </w:tc>
                              <w:tc>
                                <w:tcPr>
                                  <w:tcW w:w="176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2025 Proxy Statement</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2pt;mso-wrap-distance-left:0pt;mso-wrap-distance-right:0pt;mso-wrap-distance-top:0pt;mso-wrap-distance-bottom:0pt;margin-top:0pt;mso-position-vertical:top;mso-position-vertical-relative:text;margin-left:0pt;mso-position-horizontal:left;mso-position-horizontal-relative:text">
                <v:textbox>
                  <w:txbxContent>
                    <w:tbl>
                      <w:tblPr>
                        <w:tblW w:w="3266" w:type="dxa"/>
                        <w:jc w:val="center"/>
                        <w:tblInd w:w="0" w:type="dxa"/>
                        <w:tblLayout w:type="fixed"/>
                        <w:tblCellMar>
                          <w:top w:w="28" w:type="dxa"/>
                          <w:left w:w="28" w:type="dxa"/>
                          <w:bottom w:w="28" w:type="dxa"/>
                          <w:right w:w="28" w:type="dxa"/>
                        </w:tblCellMar>
                      </w:tblPr>
                      <w:tblGrid>
                        <w:gridCol w:w="424"/>
                        <w:gridCol w:w="372"/>
                        <w:gridCol w:w="374"/>
                        <w:gridCol w:w="109"/>
                        <w:gridCol w:w="109"/>
                        <w:gridCol w:w="109"/>
                        <w:gridCol w:w="517"/>
                        <w:gridCol w:w="517"/>
                        <w:gridCol w:w="735"/>
                      </w:tblGrid>
                      <w:tr>
                        <w:trPr/>
                        <w:tc>
                          <w:tcPr>
                            <w:tcW w:w="424"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r>
                      <w:tr>
                        <w:trPr/>
                        <w:tc>
                          <w:tcPr>
                            <w:tcW w:w="1170"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6"/>
                              </w:rPr>
                            </w:pPr>
                            <w:r>
                              <w:rPr>
                                <w:rFonts w:ascii="Arial;sans-serif" w:hAnsi="Arial;sans-serif"/>
                                <w:b/>
                                <w:color w:val="000000"/>
                                <w:sz w:val="16"/>
                              </w:rPr>
                              <w:t>SI-BONE, Inc.</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000000"/>
                                <w:sz w:val="16"/>
                              </w:rPr>
                            </w:pPr>
                            <w:r>
                              <w:rPr>
                                <w:rFonts w:ascii="Arial;sans-serif" w:hAnsi="Arial;sans-serif"/>
                                <w:b/>
                                <w:color w:val="000000"/>
                                <w:sz w:val="16"/>
                              </w:rPr>
                              <w:t>30</w:t>
                            </w:r>
                          </w:p>
                        </w:tc>
                        <w:tc>
                          <w:tcPr>
                            <w:tcW w:w="176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2025 Proxy Statement</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right"/>
        <w:rPr>
          <w:rFonts w:ascii="Arial;sans-serif" w:hAnsi="Arial;sans-serif"/>
          <w:b w:val="false"/>
          <w:color w:val="000000"/>
          <w:sz w:val="16"/>
        </w:rPr>
      </w:pPr>
      <w:r>
        <w:rPr>
          <w:rFonts w:ascii="Arial;sans-serif" w:hAnsi="Arial;sans-serif"/>
          <w:b w:val="false"/>
          <w:color w:val="000000"/>
          <w:sz w:val="16"/>
        </w:rPr>
        <w:t>Table of Contents</w:t>
      </w:r>
    </w:p>
    <w:p>
      <w:pPr>
        <w:pStyle w:val="TextBody"/>
        <w:bidi w:val="0"/>
        <w:spacing w:lineRule="auto" w:line="312" w:before="0" w:after="180"/>
        <w:jc w:val="left"/>
        <w:rPr>
          <w:rFonts w:ascii="Arial;sans-serif" w:hAnsi="Arial;sans-serif"/>
          <w:b w:val="false"/>
          <w:color w:val="000000"/>
          <w:sz w:val="18"/>
        </w:rPr>
      </w:pPr>
      <w:r>
        <w:rPr>
          <w:rFonts w:ascii="Arial;sans-serif" w:hAnsi="Arial;sans-serif"/>
          <w:b w:val="false"/>
          <w:color w:val="000000"/>
          <w:sz w:val="18"/>
        </w:rPr>
        <w:t>Thereafter, the Compensation Committee reviews the base salaries of our Named Executive Officers annually and makes adjustments to base salaries (recommends to our Board of Directors in the case of our CEO) as it determines to be necessary or appropriate.</w:t>
      </w:r>
    </w:p>
    <w:p>
      <w:pPr>
        <w:pStyle w:val="TextBody"/>
        <w:bidi w:val="0"/>
        <w:spacing w:lineRule="auto" w:line="312" w:before="0" w:after="120"/>
        <w:jc w:val="left"/>
        <w:rPr>
          <w:rFonts w:ascii="Arial;sans-serif" w:hAnsi="Arial;sans-serif"/>
          <w:b w:val="false"/>
          <w:color w:val="000000"/>
          <w:sz w:val="18"/>
        </w:rPr>
      </w:pPr>
      <w:r>
        <w:rPr>
          <w:rFonts w:ascii="Arial;sans-serif" w:hAnsi="Arial;sans-serif"/>
          <w:b w:val="false"/>
          <w:color w:val="000000"/>
          <w:sz w:val="18"/>
        </w:rPr>
        <w:t>In 2024, the Compensation Committee reviewed the base salaries of our executive officers, taking into consideration a competitive market analysis performed by Compensia and the recommendations of our CEO (except with respect to her own base salary), as well as the other factors described above. Following this review, the Compensation Committee set (recommended to our Board of Directors in the case of our CEO) the base salaries of our executive officers at levels that it believed were appropriate to maintain their competitiveness. The base salaries of our Named Executive Officers established at the beginning of 2024 were as follows:</w:t>
      </w:r>
    </w:p>
    <w:tbl>
      <w:tblPr>
        <w:tblW w:w="8408" w:type="dxa"/>
        <w:jc w:val="left"/>
        <w:tblInd w:w="0" w:type="dxa"/>
        <w:tblLayout w:type="fixed"/>
        <w:tblCellMar>
          <w:top w:w="28" w:type="dxa"/>
          <w:left w:w="28" w:type="dxa"/>
          <w:bottom w:w="28" w:type="dxa"/>
          <w:right w:w="28" w:type="dxa"/>
        </w:tblCellMar>
      </w:tblPr>
      <w:tblGrid>
        <w:gridCol w:w="750"/>
        <w:gridCol w:w="659"/>
        <w:gridCol w:w="661"/>
        <w:gridCol w:w="559"/>
        <w:gridCol w:w="559"/>
        <w:gridCol w:w="562"/>
        <w:gridCol w:w="559"/>
        <w:gridCol w:w="559"/>
        <w:gridCol w:w="562"/>
        <w:gridCol w:w="109"/>
        <w:gridCol w:w="109"/>
        <w:gridCol w:w="109"/>
        <w:gridCol w:w="759"/>
        <w:gridCol w:w="759"/>
        <w:gridCol w:w="761"/>
        <w:gridCol w:w="109"/>
        <w:gridCol w:w="109"/>
        <w:gridCol w:w="154"/>
      </w:tblGrid>
      <w:tr>
        <w:trPr/>
        <w:tc>
          <w:tcPr>
            <w:tcW w:w="750"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559" w:type="dxa"/>
            <w:tcBorders/>
            <w:vAlign w:val="center"/>
          </w:tcPr>
          <w:p>
            <w:pPr>
              <w:pStyle w:val="TableContents"/>
              <w:bidi w:val="0"/>
              <w:spacing w:before="0" w:after="283"/>
              <w:jc w:val="left"/>
              <w:rPr>
                <w:sz w:val="4"/>
                <w:szCs w:val="4"/>
              </w:rPr>
            </w:pPr>
            <w:r>
              <w:rPr>
                <w:sz w:val="4"/>
                <w:szCs w:val="4"/>
              </w:rPr>
            </w:r>
          </w:p>
        </w:tc>
        <w:tc>
          <w:tcPr>
            <w:tcW w:w="559"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sz w:val="4"/>
                <w:szCs w:val="4"/>
              </w:rPr>
            </w:pPr>
            <w:r>
              <w:rPr>
                <w:sz w:val="4"/>
                <w:szCs w:val="4"/>
              </w:rPr>
            </w:r>
          </w:p>
        </w:tc>
        <w:tc>
          <w:tcPr>
            <w:tcW w:w="559" w:type="dxa"/>
            <w:tcBorders/>
            <w:vAlign w:val="center"/>
          </w:tcPr>
          <w:p>
            <w:pPr>
              <w:pStyle w:val="TableContents"/>
              <w:bidi w:val="0"/>
              <w:spacing w:before="0" w:after="283"/>
              <w:jc w:val="left"/>
              <w:rPr>
                <w:sz w:val="4"/>
                <w:szCs w:val="4"/>
              </w:rPr>
            </w:pPr>
            <w:r>
              <w:rPr>
                <w:sz w:val="4"/>
                <w:szCs w:val="4"/>
              </w:rPr>
            </w:r>
          </w:p>
        </w:tc>
        <w:tc>
          <w:tcPr>
            <w:tcW w:w="559"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7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7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6"/>
              </w:rPr>
            </w:pPr>
            <w:r>
              <w:rPr>
                <w:rFonts w:ascii="Arial;sans-serif" w:hAnsi="Arial;sans-serif"/>
                <w:b/>
                <w:color w:val="000000"/>
                <w:sz w:val="16"/>
              </w:rPr>
              <w:t>Named Executive Officer</w:t>
            </w:r>
          </w:p>
        </w:tc>
        <w:tc>
          <w:tcPr>
            <w:tcW w:w="1680"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6"/>
              </w:rPr>
            </w:pPr>
            <w:r>
              <w:rPr>
                <w:rFonts w:ascii="Arial;sans-serif" w:hAnsi="Arial;sans-serif"/>
                <w:b/>
                <w:color w:val="000000"/>
                <w:sz w:val="16"/>
              </w:rPr>
              <w:t>2023 Base Salary ($)</w:t>
            </w:r>
          </w:p>
        </w:tc>
        <w:tc>
          <w:tcPr>
            <w:tcW w:w="1680"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6"/>
              </w:rPr>
            </w:pPr>
            <w:r>
              <w:rPr>
                <w:rFonts w:ascii="Arial;sans-serif" w:hAnsi="Arial;sans-serif"/>
                <w:b/>
                <w:color w:val="000000"/>
                <w:sz w:val="16"/>
              </w:rPr>
              <w:t>2024 Base Salary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9"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6"/>
              </w:rPr>
            </w:pPr>
            <w:r>
              <w:rPr>
                <w:rFonts w:ascii="Arial;sans-serif" w:hAnsi="Arial;sans-serif"/>
                <w:b/>
                <w:color w:val="000000"/>
                <w:sz w:val="16"/>
              </w:rPr>
              <w:t>Percentage Adjustment (%)</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0" w:type="dxa"/>
            <w:gridSpan w:val="3"/>
            <w:tcBorders/>
            <w:shd w:fill="EDEDEE"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74A333"/>
                <w:sz w:val="16"/>
              </w:rPr>
            </w:pPr>
            <w:r>
              <w:rPr>
                <w:rFonts w:ascii="Arial;sans-serif" w:hAnsi="Arial;sans-serif"/>
                <w:b/>
                <w:color w:val="74A333"/>
                <w:sz w:val="16"/>
              </w:rPr>
              <w:t>Laura A. Francis</w:t>
            </w:r>
          </w:p>
        </w:tc>
        <w:tc>
          <w:tcPr>
            <w:tcW w:w="1118" w:type="dxa"/>
            <w:gridSpan w:val="2"/>
            <w:tcBorders/>
            <w:shd w:fill="EDEDEE"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622,120 </w:t>
            </w:r>
          </w:p>
        </w:tc>
        <w:tc>
          <w:tcPr>
            <w:tcW w:w="562"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2"/>
            <w:tcBorders/>
            <w:shd w:fill="EDEDEE"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652,000 </w:t>
            </w:r>
          </w:p>
        </w:tc>
        <w:tc>
          <w:tcPr>
            <w:tcW w:w="562"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8" w:type="dxa"/>
            <w:gridSpan w:val="2"/>
            <w:tcBorders/>
            <w:shd w:fill="EDEDEE"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5 </w:t>
            </w:r>
          </w:p>
        </w:tc>
        <w:tc>
          <w:tcPr>
            <w:tcW w:w="761"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74A333"/>
                <w:sz w:val="16"/>
              </w:rPr>
            </w:pPr>
            <w:r>
              <w:rPr>
                <w:rFonts w:ascii="Arial;sans-serif" w:hAnsi="Arial;sans-serif"/>
                <w:b/>
                <w:color w:val="74A333"/>
                <w:sz w:val="16"/>
              </w:rPr>
              <w:t>Anshul Maheshwari</w:t>
            </w:r>
          </w:p>
        </w:tc>
        <w:tc>
          <w:tcPr>
            <w:tcW w:w="111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439,000 </w:t>
            </w:r>
          </w:p>
        </w:tc>
        <w:tc>
          <w:tcPr>
            <w:tcW w:w="5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457,000 </w:t>
            </w:r>
          </w:p>
        </w:tc>
        <w:tc>
          <w:tcPr>
            <w:tcW w:w="5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0"/>
              </w:rPr>
            </w:pPr>
            <w:r>
              <w:rPr>
                <w:rFonts w:ascii="Arial;sans-serif" w:hAnsi="Arial;sans-serif"/>
                <w:b w:val="false"/>
                <w:color w:val="000000"/>
                <w:sz w:val="10"/>
              </w:rPr>
              <w:t>(1)</w:t>
            </w:r>
          </w:p>
        </w:tc>
        <w:tc>
          <w:tcPr>
            <w:tcW w:w="151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4 </w:t>
            </w:r>
          </w:p>
        </w:tc>
        <w:tc>
          <w:tcPr>
            <w:tcW w:w="7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0" w:type="dxa"/>
            <w:gridSpan w:val="3"/>
            <w:tcBorders>
              <w:bottom w:val="single" w:sz="12" w:space="0" w:color="74A333"/>
            </w:tcBorders>
            <w:shd w:fill="EDEDEE" w:val="clear"/>
            <w:tcMar>
              <w:top w:w="0" w:type="dxa"/>
              <w:left w:w="0" w:type="dxa"/>
              <w:bottom w:w="30" w:type="dxa"/>
              <w:right w:w="0" w:type="dxa"/>
            </w:tcMar>
            <w:vAlign w:val="center"/>
          </w:tcPr>
          <w:p>
            <w:pPr>
              <w:pStyle w:val="TableContents"/>
              <w:bidi w:val="0"/>
              <w:spacing w:lineRule="auto" w:line="288" w:before="0" w:after="283"/>
              <w:jc w:val="left"/>
              <w:rPr>
                <w:rFonts w:ascii="Arial;sans-serif" w:hAnsi="Arial;sans-serif"/>
                <w:b/>
                <w:color w:val="74A333"/>
                <w:sz w:val="16"/>
              </w:rPr>
            </w:pPr>
            <w:r>
              <w:rPr>
                <w:rFonts w:ascii="Arial;sans-serif" w:hAnsi="Arial;sans-serif"/>
                <w:b/>
                <w:color w:val="74A333"/>
                <w:sz w:val="16"/>
              </w:rPr>
              <w:t>Anthony J. Recupero</w:t>
            </w:r>
          </w:p>
        </w:tc>
        <w:tc>
          <w:tcPr>
            <w:tcW w:w="1118" w:type="dxa"/>
            <w:gridSpan w:val="2"/>
            <w:tcBorders>
              <w:bottom w:val="single" w:sz="12" w:space="0" w:color="74A333"/>
            </w:tcBorders>
            <w:shd w:fill="EDEDEE" w:val="clear"/>
            <w:tcMar>
              <w:top w:w="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472,000 </w:t>
            </w:r>
          </w:p>
        </w:tc>
        <w:tc>
          <w:tcPr>
            <w:tcW w:w="562" w:type="dxa"/>
            <w:tcBorders>
              <w:bottom w:val="single" w:sz="12" w:space="0" w:color="74A333"/>
            </w:tcBorders>
            <w:shd w:fill="EDEDEE"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118" w:type="dxa"/>
            <w:gridSpan w:val="2"/>
            <w:tcBorders>
              <w:bottom w:val="single" w:sz="12" w:space="0" w:color="74A333"/>
            </w:tcBorders>
            <w:shd w:fill="EDEDEE" w:val="clear"/>
            <w:tcMar>
              <w:top w:w="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486,000 </w:t>
            </w:r>
          </w:p>
        </w:tc>
        <w:tc>
          <w:tcPr>
            <w:tcW w:w="562" w:type="dxa"/>
            <w:tcBorders>
              <w:bottom w:val="single" w:sz="12" w:space="0" w:color="74A333"/>
            </w:tcBorders>
            <w:shd w:fill="EDEDEE"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12" w:space="0" w:color="74A333"/>
            </w:tcBorders>
            <w:shd w:fill="EDEDEE"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518" w:type="dxa"/>
            <w:gridSpan w:val="2"/>
            <w:tcBorders>
              <w:bottom w:val="single" w:sz="12" w:space="0" w:color="74A333"/>
            </w:tcBorders>
            <w:shd w:fill="EDEDEE" w:val="clear"/>
            <w:tcMar>
              <w:top w:w="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3 </w:t>
            </w:r>
          </w:p>
        </w:tc>
        <w:tc>
          <w:tcPr>
            <w:tcW w:w="761" w:type="dxa"/>
            <w:tcBorders>
              <w:bottom w:val="single" w:sz="12" w:space="0" w:color="74A333"/>
            </w:tcBorders>
            <w:shd w:fill="EDEDEE"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bottom w:val="single" w:sz="12" w:space="0" w:color="74A333"/>
            </w:tcBorders>
            <w:shd w:fill="EDEDEE"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300"/>
        <w:ind w:left="0" w:right="0" w:hanging="360"/>
        <w:jc w:val="left"/>
        <w:rPr>
          <w:rFonts w:ascii="Arial;sans-serif" w:hAnsi="Arial;sans-serif"/>
          <w:b w:val="false"/>
          <w:color w:val="52575F"/>
          <w:sz w:val="16"/>
        </w:rPr>
      </w:pPr>
      <w:r>
        <w:rPr>
          <w:rFonts w:ascii="Arial;sans-serif" w:hAnsi="Arial;sans-serif"/>
          <w:b w:val="false"/>
          <w:color w:val="52575F"/>
          <w:sz w:val="16"/>
        </w:rPr>
        <w:t>1.Mr. Maheshwari received an additional 4.5% increase to $477,565, in September 2024 to reflect expanded responsibilities.</w:t>
      </w:r>
    </w:p>
    <w:p>
      <w:pPr>
        <w:pStyle w:val="TextBody"/>
        <w:bidi w:val="0"/>
        <w:spacing w:lineRule="auto" w:line="312" w:before="0" w:after="180"/>
        <w:jc w:val="left"/>
        <w:rPr>
          <w:rFonts w:ascii="Arial;sans-serif" w:hAnsi="Arial;sans-serif"/>
          <w:b w:val="false"/>
          <w:color w:val="000000"/>
          <w:sz w:val="18"/>
        </w:rPr>
      </w:pPr>
      <w:r>
        <w:rPr>
          <w:rFonts w:ascii="Arial;sans-serif" w:hAnsi="Arial;sans-serif"/>
          <w:b w:val="false"/>
          <w:color w:val="000000"/>
          <w:sz w:val="18"/>
        </w:rPr>
        <w:t>The actual base salaries earned by our Named Executive Officers during 2024 are set forth in the “2024 Summary Compensation Table” below.</w:t>
      </w:r>
    </w:p>
    <w:p>
      <w:pPr>
        <w:pStyle w:val="TextBody"/>
        <w:bidi w:val="0"/>
        <w:spacing w:lineRule="auto" w:line="312" w:before="0" w:after="120"/>
        <w:jc w:val="left"/>
        <w:rPr>
          <w:rFonts w:ascii="Arial;sans-serif" w:hAnsi="Arial;sans-serif"/>
          <w:b/>
          <w:color w:val="74A333"/>
          <w:sz w:val="18"/>
        </w:rPr>
      </w:pPr>
      <w:r>
        <w:rPr>
          <w:rFonts w:ascii="Arial;sans-serif" w:hAnsi="Arial;sans-serif"/>
          <w:b/>
          <w:color w:val="74A333"/>
          <w:sz w:val="18"/>
        </w:rPr>
        <w:t xml:space="preserve">Annual Cash Bonuses </w:t>
      </w:r>
    </w:p>
    <w:p>
      <w:pPr>
        <w:pStyle w:val="TextBody"/>
        <w:bidi w:val="0"/>
        <w:spacing w:lineRule="auto" w:line="312" w:before="0" w:after="180"/>
        <w:jc w:val="left"/>
        <w:rPr>
          <w:rFonts w:ascii="Arial;sans-serif" w:hAnsi="Arial;sans-serif"/>
          <w:b w:val="false"/>
          <w:color w:val="000000"/>
          <w:sz w:val="18"/>
        </w:rPr>
      </w:pPr>
      <w:r>
        <w:rPr>
          <w:rFonts w:ascii="Arial;sans-serif" w:hAnsi="Arial;sans-serif"/>
          <w:b w:val="false"/>
          <w:color w:val="000000"/>
          <w:sz w:val="18"/>
        </w:rPr>
        <w:t>We use annual bonuses to motivate our executive officers, including our Named Executive Officers, to achieve our short-term financial and operational objectives while making progress towards our longer-term growth and other goals. Consistent with our executive compensation philosophy, these annual bonuses are intended to help us deliver a competitive total direct compensation opportunity to our executive officers. Annual cash bonuses are entirely performance-based, are not guaranteed, and may vary materially from year-to-year.</w:t>
      </w:r>
    </w:p>
    <w:p>
      <w:pPr>
        <w:pStyle w:val="TextBody"/>
        <w:bidi w:val="0"/>
        <w:spacing w:lineRule="auto" w:line="312" w:before="0" w:after="180"/>
        <w:jc w:val="left"/>
        <w:rPr>
          <w:rFonts w:ascii="Arial;sans-serif" w:hAnsi="Arial;sans-serif"/>
          <w:b w:val="false"/>
          <w:color w:val="000000"/>
          <w:sz w:val="18"/>
        </w:rPr>
      </w:pPr>
      <w:r>
        <w:rPr>
          <w:rFonts w:ascii="Arial;sans-serif" w:hAnsi="Arial;sans-serif"/>
          <w:b w:val="false"/>
          <w:color w:val="000000"/>
          <w:sz w:val="18"/>
        </w:rPr>
        <w:t>Typically, the Compensation Committee establishes (recommends to our Board of Directors in the case of our CEO) cash bonus opportunities pursuant to a formal cash bonus plan that measures and rewards our executive officers for our actual corporate performance over the fiscal year. The cash bonus plan is designed to pay above-target bonuses when we exceed our annual corporate objectives and below-target bonuses (or no bonuses) when we do not achieve these objectives.</w:t>
      </w:r>
    </w:p>
    <w:p>
      <w:pPr>
        <w:pStyle w:val="TextBody"/>
        <w:bidi w:val="0"/>
        <w:spacing w:lineRule="auto" w:line="312" w:before="0" w:after="180"/>
        <w:jc w:val="left"/>
        <w:rPr>
          <w:rFonts w:ascii="Arial;sans-serif" w:hAnsi="Arial;sans-serif"/>
          <w:b w:val="false"/>
          <w:color w:val="000000"/>
          <w:sz w:val="18"/>
        </w:rPr>
      </w:pPr>
      <w:r>
        <w:rPr>
          <w:rFonts w:ascii="Arial;sans-serif" w:hAnsi="Arial;sans-serif"/>
          <w:b w:val="false"/>
          <w:color w:val="000000"/>
          <w:sz w:val="18"/>
        </w:rPr>
        <w:t xml:space="preserve">In January 2024, the Compensation Committee determined to award (recommend to our Board of Directors in the case of our CEO) cash bonus opportunities to our Named Executive Officers, pursuant to the cash bonus plan for 2024. The Compensation Committee has the authority to select the performance measures and related target levels applicable to the annual cash bonus opportunities for our executive officers. The Compensation Committee may also, in its sole discretion, increase, reduce, or eliminate a participant’s actual bonus payment. </w:t>
      </w:r>
    </w:p>
    <w:p>
      <w:pPr>
        <w:pStyle w:val="TextBody"/>
        <w:bidi w:val="0"/>
        <w:spacing w:lineRule="auto" w:line="312" w:before="0" w:after="120"/>
        <w:jc w:val="left"/>
        <w:rPr>
          <w:rFonts w:ascii="Arial;sans-serif" w:hAnsi="Arial;sans-serif"/>
          <w:b/>
          <w:color w:val="74A333"/>
          <w:sz w:val="18"/>
        </w:rPr>
      </w:pPr>
      <w:r>
        <w:rPr>
          <w:rFonts w:ascii="Arial;sans-serif" w:hAnsi="Arial;sans-serif"/>
          <w:b/>
          <w:color w:val="74A333"/>
          <w:sz w:val="18"/>
        </w:rPr>
        <w:t>Target Bonus Opportunities</w:t>
      </w:r>
    </w:p>
    <w:p>
      <w:pPr>
        <w:pStyle w:val="TextBody"/>
        <w:bidi w:val="0"/>
        <w:spacing w:lineRule="auto" w:line="312" w:before="0" w:after="180"/>
        <w:jc w:val="left"/>
        <w:rPr>
          <w:rFonts w:ascii="Arial;sans-serif" w:hAnsi="Arial;sans-serif"/>
          <w:b w:val="false"/>
          <w:color w:val="000000"/>
          <w:sz w:val="18"/>
        </w:rPr>
      </w:pPr>
      <w:r>
        <w:rPr>
          <w:rFonts w:ascii="Arial;sans-serif" w:hAnsi="Arial;sans-serif"/>
          <w:b w:val="false"/>
          <w:color w:val="000000"/>
          <w:sz w:val="18"/>
        </w:rPr>
        <w:t>The 2024 target annual cash bonus opportunities for each of our Named Executive Officers under the 2024 bonus plan, expressed as a percentage of his or her annual base salary, were as follows:</w:t>
      </w:r>
    </w:p>
    <w:tbl>
      <w:tblPr>
        <w:tblW w:w="9773" w:type="dxa"/>
        <w:jc w:val="left"/>
        <w:tblInd w:w="0" w:type="dxa"/>
        <w:tblLayout w:type="fixed"/>
        <w:tblCellMar>
          <w:top w:w="28" w:type="dxa"/>
          <w:left w:w="28" w:type="dxa"/>
          <w:bottom w:w="28" w:type="dxa"/>
          <w:right w:w="28" w:type="dxa"/>
        </w:tblCellMar>
      </w:tblPr>
      <w:tblGrid>
        <w:gridCol w:w="750"/>
        <w:gridCol w:w="659"/>
        <w:gridCol w:w="661"/>
        <w:gridCol w:w="474"/>
        <w:gridCol w:w="474"/>
        <w:gridCol w:w="476"/>
        <w:gridCol w:w="109"/>
        <w:gridCol w:w="109"/>
        <w:gridCol w:w="109"/>
        <w:gridCol w:w="839"/>
        <w:gridCol w:w="839"/>
        <w:gridCol w:w="842"/>
        <w:gridCol w:w="1019"/>
        <w:gridCol w:w="1019"/>
        <w:gridCol w:w="1022"/>
        <w:gridCol w:w="109"/>
        <w:gridCol w:w="109"/>
        <w:gridCol w:w="154"/>
      </w:tblGrid>
      <w:tr>
        <w:trPr/>
        <w:tc>
          <w:tcPr>
            <w:tcW w:w="750"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c>
          <w:tcPr>
            <w:tcW w:w="842" w:type="dxa"/>
            <w:tcBorders/>
            <w:vAlign w:val="center"/>
          </w:tcPr>
          <w:p>
            <w:pPr>
              <w:pStyle w:val="TableContents"/>
              <w:bidi w:val="0"/>
              <w:spacing w:before="0" w:after="283"/>
              <w:jc w:val="left"/>
              <w:rPr>
                <w:sz w:val="4"/>
                <w:szCs w:val="4"/>
              </w:rPr>
            </w:pPr>
            <w:r>
              <w:rPr>
                <w:sz w:val="4"/>
                <w:szCs w:val="4"/>
              </w:rPr>
            </w:r>
          </w:p>
        </w:tc>
        <w:tc>
          <w:tcPr>
            <w:tcW w:w="1019" w:type="dxa"/>
            <w:tcBorders/>
            <w:vAlign w:val="center"/>
          </w:tcPr>
          <w:p>
            <w:pPr>
              <w:pStyle w:val="TableContents"/>
              <w:bidi w:val="0"/>
              <w:spacing w:before="0" w:after="283"/>
              <w:jc w:val="left"/>
              <w:rPr>
                <w:sz w:val="4"/>
                <w:szCs w:val="4"/>
              </w:rPr>
            </w:pPr>
            <w:r>
              <w:rPr>
                <w:sz w:val="4"/>
                <w:szCs w:val="4"/>
              </w:rPr>
            </w:r>
          </w:p>
        </w:tc>
        <w:tc>
          <w:tcPr>
            <w:tcW w:w="1019" w:type="dxa"/>
            <w:tcBorders/>
            <w:vAlign w:val="center"/>
          </w:tcPr>
          <w:p>
            <w:pPr>
              <w:pStyle w:val="TableContents"/>
              <w:bidi w:val="0"/>
              <w:spacing w:before="0" w:after="283"/>
              <w:jc w:val="left"/>
              <w:rPr>
                <w:sz w:val="4"/>
                <w:szCs w:val="4"/>
              </w:rPr>
            </w:pPr>
            <w:r>
              <w:rPr>
                <w:sz w:val="4"/>
                <w:szCs w:val="4"/>
              </w:rPr>
            </w:r>
          </w:p>
        </w:tc>
        <w:tc>
          <w:tcPr>
            <w:tcW w:w="10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7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6"/>
              </w:rPr>
            </w:pPr>
            <w:r>
              <w:rPr>
                <w:rFonts w:ascii="Arial;sans-serif" w:hAnsi="Arial;sans-serif"/>
                <w:b/>
                <w:color w:val="000000"/>
                <w:sz w:val="16"/>
              </w:rPr>
              <w:t>Named Executive Officer</w:t>
            </w:r>
          </w:p>
        </w:tc>
        <w:tc>
          <w:tcPr>
            <w:tcW w:w="142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6"/>
              </w:rPr>
            </w:pPr>
            <w:r>
              <w:rPr>
                <w:rFonts w:ascii="Arial;sans-serif" w:hAnsi="Arial;sans-serif"/>
                <w:b/>
                <w:color w:val="000000"/>
                <w:sz w:val="16"/>
              </w:rPr>
              <w:t>2024 Base Salary</w:t>
              <w:b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0"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6"/>
              </w:rPr>
            </w:pPr>
            <w:r>
              <w:rPr>
                <w:rFonts w:ascii="Arial;sans-serif" w:hAnsi="Arial;sans-serif"/>
                <w:b/>
                <w:color w:val="000000"/>
                <w:sz w:val="16"/>
              </w:rPr>
              <w:t>2024 Target Bonus Percentage</w:t>
              <w:br/>
              <w:t>(%)</w:t>
            </w:r>
          </w:p>
        </w:tc>
        <w:tc>
          <w:tcPr>
            <w:tcW w:w="3060"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6"/>
              </w:rPr>
            </w:pPr>
            <w:r>
              <w:rPr>
                <w:rFonts w:ascii="Arial;sans-serif" w:hAnsi="Arial;sans-serif"/>
                <w:b/>
                <w:color w:val="000000"/>
                <w:sz w:val="16"/>
              </w:rPr>
              <w:t>Total 2024 Target Bonus Opportunity</w:t>
              <w:br/>
              <w:t>($)</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0" w:type="dxa"/>
            <w:gridSpan w:val="3"/>
            <w:tcBorders/>
            <w:shd w:fill="EDEDEE"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74A333"/>
                <w:sz w:val="16"/>
              </w:rPr>
            </w:pPr>
            <w:r>
              <w:rPr>
                <w:rFonts w:ascii="Arial;sans-serif" w:hAnsi="Arial;sans-serif"/>
                <w:b/>
                <w:color w:val="74A333"/>
                <w:sz w:val="16"/>
              </w:rPr>
              <w:t>Laura A. Francis</w:t>
            </w:r>
          </w:p>
        </w:tc>
        <w:tc>
          <w:tcPr>
            <w:tcW w:w="948" w:type="dxa"/>
            <w:gridSpan w:val="2"/>
            <w:tcBorders/>
            <w:shd w:fill="EDEDEE"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652,000 </w:t>
            </w:r>
          </w:p>
        </w:tc>
        <w:tc>
          <w:tcPr>
            <w:tcW w:w="476"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8" w:type="dxa"/>
            <w:gridSpan w:val="2"/>
            <w:tcBorders/>
            <w:shd w:fill="EDEDEE"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90 </w:t>
            </w:r>
          </w:p>
        </w:tc>
        <w:tc>
          <w:tcPr>
            <w:tcW w:w="842"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8" w:type="dxa"/>
            <w:gridSpan w:val="2"/>
            <w:tcBorders/>
            <w:shd w:fill="EDEDEE"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586,800 </w:t>
            </w:r>
          </w:p>
        </w:tc>
        <w:tc>
          <w:tcPr>
            <w:tcW w:w="1022"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74A333"/>
                <w:sz w:val="16"/>
              </w:rPr>
            </w:pPr>
            <w:r>
              <w:rPr>
                <w:rFonts w:ascii="Arial;sans-serif" w:hAnsi="Arial;sans-serif"/>
                <w:b/>
                <w:color w:val="74A333"/>
                <w:sz w:val="16"/>
              </w:rPr>
              <w:t>Anshul Maheshwari</w:t>
            </w:r>
          </w:p>
        </w:tc>
        <w:tc>
          <w:tcPr>
            <w:tcW w:w="94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457,000 </w:t>
            </w:r>
          </w:p>
        </w:tc>
        <w:tc>
          <w:tcPr>
            <w:tcW w:w="4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0"/>
              </w:rPr>
            </w:pPr>
            <w:r>
              <w:rPr>
                <w:rFonts w:ascii="Arial;sans-serif" w:hAnsi="Arial;sans-serif"/>
                <w:b w:val="false"/>
                <w:color w:val="000000"/>
                <w:sz w:val="10"/>
              </w:rPr>
              <w:t>(1)</w:t>
            </w:r>
          </w:p>
        </w:tc>
        <w:tc>
          <w:tcPr>
            <w:tcW w:w="167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55 </w:t>
            </w:r>
          </w:p>
        </w:tc>
        <w:tc>
          <w:tcPr>
            <w:tcW w:w="8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251,350 </w:t>
            </w:r>
          </w:p>
        </w:tc>
        <w:tc>
          <w:tcPr>
            <w:tcW w:w="10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0"/>
              </w:rPr>
            </w:pPr>
            <w:r>
              <w:rPr>
                <w:rFonts w:ascii="Arial;sans-serif" w:hAnsi="Arial;sans-serif"/>
                <w:b w:val="false"/>
                <w:color w:val="000000"/>
                <w:sz w:val="10"/>
              </w:rPr>
              <w:t>(2)</w:t>
            </w:r>
          </w:p>
        </w:tc>
      </w:tr>
      <w:tr>
        <w:trPr/>
        <w:tc>
          <w:tcPr>
            <w:tcW w:w="2070" w:type="dxa"/>
            <w:gridSpan w:val="3"/>
            <w:tcBorders>
              <w:bottom w:val="single" w:sz="12" w:space="0" w:color="74A333"/>
            </w:tcBorders>
            <w:shd w:fill="EDEDEE" w:val="clear"/>
            <w:tcMar>
              <w:top w:w="0" w:type="dxa"/>
              <w:left w:w="0" w:type="dxa"/>
              <w:bottom w:w="30" w:type="dxa"/>
              <w:right w:w="0" w:type="dxa"/>
            </w:tcMar>
            <w:vAlign w:val="center"/>
          </w:tcPr>
          <w:p>
            <w:pPr>
              <w:pStyle w:val="TableContents"/>
              <w:bidi w:val="0"/>
              <w:spacing w:lineRule="auto" w:line="288" w:before="0" w:after="283"/>
              <w:jc w:val="left"/>
              <w:rPr>
                <w:rFonts w:ascii="Arial;sans-serif" w:hAnsi="Arial;sans-serif"/>
                <w:b/>
                <w:color w:val="74A333"/>
                <w:sz w:val="16"/>
              </w:rPr>
            </w:pPr>
            <w:r>
              <w:rPr>
                <w:rFonts w:ascii="Arial;sans-serif" w:hAnsi="Arial;sans-serif"/>
                <w:b/>
                <w:color w:val="74A333"/>
                <w:sz w:val="16"/>
              </w:rPr>
              <w:t>Anthony J. Recupero</w:t>
            </w:r>
          </w:p>
        </w:tc>
        <w:tc>
          <w:tcPr>
            <w:tcW w:w="948" w:type="dxa"/>
            <w:gridSpan w:val="2"/>
            <w:tcBorders>
              <w:bottom w:val="single" w:sz="12" w:space="0" w:color="74A333"/>
            </w:tcBorders>
            <w:shd w:fill="EDEDEE" w:val="clear"/>
            <w:tcMar>
              <w:top w:w="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486,000 </w:t>
            </w:r>
          </w:p>
        </w:tc>
        <w:tc>
          <w:tcPr>
            <w:tcW w:w="476" w:type="dxa"/>
            <w:tcBorders>
              <w:bottom w:val="single" w:sz="12" w:space="0" w:color="74A333"/>
            </w:tcBorders>
            <w:shd w:fill="EDEDEE"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12" w:space="0" w:color="74A333"/>
            </w:tcBorders>
            <w:shd w:fill="EDEDEE"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678" w:type="dxa"/>
            <w:gridSpan w:val="2"/>
            <w:tcBorders>
              <w:bottom w:val="single" w:sz="12" w:space="0" w:color="74A333"/>
            </w:tcBorders>
            <w:shd w:fill="EDEDEE" w:val="clear"/>
            <w:tcMar>
              <w:top w:w="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75 </w:t>
            </w:r>
          </w:p>
        </w:tc>
        <w:tc>
          <w:tcPr>
            <w:tcW w:w="842" w:type="dxa"/>
            <w:tcBorders>
              <w:bottom w:val="single" w:sz="12" w:space="0" w:color="74A333"/>
            </w:tcBorders>
            <w:shd w:fill="EDEDEE"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038" w:type="dxa"/>
            <w:gridSpan w:val="2"/>
            <w:tcBorders>
              <w:bottom w:val="single" w:sz="12" w:space="0" w:color="74A333"/>
            </w:tcBorders>
            <w:shd w:fill="EDEDEE" w:val="clear"/>
            <w:tcMar>
              <w:top w:w="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364,500 </w:t>
            </w:r>
          </w:p>
        </w:tc>
        <w:tc>
          <w:tcPr>
            <w:tcW w:w="1022" w:type="dxa"/>
            <w:tcBorders>
              <w:bottom w:val="single" w:sz="12" w:space="0" w:color="74A333"/>
            </w:tcBorders>
            <w:shd w:fill="EDEDEE"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bottom w:val="single" w:sz="12" w:space="0" w:color="74A333"/>
            </w:tcBorders>
            <w:shd w:fill="EDEDEE"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ind w:left="0" w:right="0" w:hanging="360"/>
        <w:jc w:val="left"/>
        <w:rPr>
          <w:rFonts w:ascii="Arial;sans-serif" w:hAnsi="Arial;sans-serif"/>
          <w:b w:val="false"/>
          <w:color w:val="52575F"/>
          <w:sz w:val="16"/>
        </w:rPr>
      </w:pPr>
      <w:r>
        <w:rPr>
          <w:rFonts w:ascii="Arial;sans-serif" w:hAnsi="Arial;sans-serif"/>
          <w:b w:val="false"/>
          <w:color w:val="52575F"/>
          <w:sz w:val="16"/>
        </w:rPr>
        <w:t>1.Mr. Maheshwari received an additional increase of 4.5% in September 2024 to reflect expanded responsibilities.</w:t>
      </w:r>
    </w:p>
    <w:p>
      <w:pPr>
        <w:pStyle w:val="TextBody"/>
        <w:bidi w:val="0"/>
        <w:spacing w:lineRule="auto" w:line="288" w:before="0" w:after="300"/>
        <w:ind w:left="0" w:right="0" w:hanging="360"/>
        <w:jc w:val="left"/>
        <w:rPr>
          <w:rFonts w:ascii="Arial;sans-serif" w:hAnsi="Arial;sans-serif"/>
          <w:b w:val="false"/>
          <w:color w:val="52575F"/>
          <w:sz w:val="16"/>
        </w:rPr>
      </w:pPr>
      <w:r>
        <w:rPr>
          <w:rFonts w:ascii="Arial;sans-serif" w:hAnsi="Arial;sans-serif"/>
          <w:b w:val="false"/>
          <w:color w:val="52575F"/>
          <w:sz w:val="16"/>
        </w:rPr>
        <w:t>2.Total 2024 target bonus opportunity based on Mr. Maheshwari’s base salary prior to his expanded responsibilities.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739140"/>
                <wp:effectExtent l="0" t="0" r="0" b="0"/>
                <wp:wrapNone/>
                <wp:docPr id="56" name="Frame36"/>
                <a:graphic xmlns:a="http://schemas.openxmlformats.org/drawingml/2006/main">
                  <a:graphicData uri="http://schemas.microsoft.com/office/word/2010/wordprocessingShape">
                    <wps:wsp>
                      <wps:cNvSpPr txBox="1"/>
                      <wps:spPr>
                        <a:xfrm>
                          <a:off x="0" y="0"/>
                          <a:ext cx="6480175" cy="739140"/>
                        </a:xfrm>
                        <a:prstGeom prst="rect"/>
                        <a:solidFill>
                          <a:srgbClr val="FFFFFF"/>
                        </a:solidFill>
                      </wps:spPr>
                      <wps:txbx>
                        <w:txbxContent>
                          <w:tbl>
                            <w:tblPr>
                              <w:tblW w:w="3266" w:type="dxa"/>
                              <w:jc w:val="center"/>
                              <w:tblInd w:w="0" w:type="dxa"/>
                              <w:tblLayout w:type="fixed"/>
                              <w:tblCellMar>
                                <w:top w:w="28" w:type="dxa"/>
                                <w:left w:w="28" w:type="dxa"/>
                                <w:bottom w:w="28" w:type="dxa"/>
                                <w:right w:w="28" w:type="dxa"/>
                              </w:tblCellMar>
                            </w:tblPr>
                            <w:tblGrid>
                              <w:gridCol w:w="424"/>
                              <w:gridCol w:w="372"/>
                              <w:gridCol w:w="374"/>
                              <w:gridCol w:w="109"/>
                              <w:gridCol w:w="109"/>
                              <w:gridCol w:w="109"/>
                              <w:gridCol w:w="517"/>
                              <w:gridCol w:w="517"/>
                              <w:gridCol w:w="735"/>
                            </w:tblGrid>
                            <w:tr>
                              <w:trPr/>
                              <w:tc>
                                <w:tcPr>
                                  <w:tcW w:w="424"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r>
                            <w:tr>
                              <w:trPr/>
                              <w:tc>
                                <w:tcPr>
                                  <w:tcW w:w="1170"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6"/>
                                    </w:rPr>
                                  </w:pPr>
                                  <w:r>
                                    <w:rPr>
                                      <w:rFonts w:ascii="Arial;sans-serif" w:hAnsi="Arial;sans-serif"/>
                                      <w:b/>
                                      <w:color w:val="000000"/>
                                      <w:sz w:val="16"/>
                                    </w:rPr>
                                    <w:t>SI-BONE, Inc.</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000000"/>
                                      <w:sz w:val="16"/>
                                    </w:rPr>
                                  </w:pPr>
                                  <w:r>
                                    <w:rPr>
                                      <w:rFonts w:ascii="Arial;sans-serif" w:hAnsi="Arial;sans-serif"/>
                                      <w:b/>
                                      <w:color w:val="000000"/>
                                      <w:sz w:val="16"/>
                                    </w:rPr>
                                    <w:t>31</w:t>
                                  </w:r>
                                </w:p>
                              </w:tc>
                              <w:tc>
                                <w:tcPr>
                                  <w:tcW w:w="176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2025 Proxy Statement</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2pt;mso-wrap-distance-left:0pt;mso-wrap-distance-right:0pt;mso-wrap-distance-top:0pt;mso-wrap-distance-bottom:0pt;margin-top:0pt;mso-position-vertical:top;mso-position-vertical-relative:text;margin-left:0pt;mso-position-horizontal:left;mso-position-horizontal-relative:text">
                <v:textbox>
                  <w:txbxContent>
                    <w:tbl>
                      <w:tblPr>
                        <w:tblW w:w="3266" w:type="dxa"/>
                        <w:jc w:val="center"/>
                        <w:tblInd w:w="0" w:type="dxa"/>
                        <w:tblLayout w:type="fixed"/>
                        <w:tblCellMar>
                          <w:top w:w="28" w:type="dxa"/>
                          <w:left w:w="28" w:type="dxa"/>
                          <w:bottom w:w="28" w:type="dxa"/>
                          <w:right w:w="28" w:type="dxa"/>
                        </w:tblCellMar>
                      </w:tblPr>
                      <w:tblGrid>
                        <w:gridCol w:w="424"/>
                        <w:gridCol w:w="372"/>
                        <w:gridCol w:w="374"/>
                        <w:gridCol w:w="109"/>
                        <w:gridCol w:w="109"/>
                        <w:gridCol w:w="109"/>
                        <w:gridCol w:w="517"/>
                        <w:gridCol w:w="517"/>
                        <w:gridCol w:w="735"/>
                      </w:tblGrid>
                      <w:tr>
                        <w:trPr/>
                        <w:tc>
                          <w:tcPr>
                            <w:tcW w:w="424"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r>
                      <w:tr>
                        <w:trPr/>
                        <w:tc>
                          <w:tcPr>
                            <w:tcW w:w="1170"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6"/>
                              </w:rPr>
                            </w:pPr>
                            <w:r>
                              <w:rPr>
                                <w:rFonts w:ascii="Arial;sans-serif" w:hAnsi="Arial;sans-serif"/>
                                <w:b/>
                                <w:color w:val="000000"/>
                                <w:sz w:val="16"/>
                              </w:rPr>
                              <w:t>SI-BONE, Inc.</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000000"/>
                                <w:sz w:val="16"/>
                              </w:rPr>
                            </w:pPr>
                            <w:r>
                              <w:rPr>
                                <w:rFonts w:ascii="Arial;sans-serif" w:hAnsi="Arial;sans-serif"/>
                                <w:b/>
                                <w:color w:val="000000"/>
                                <w:sz w:val="16"/>
                              </w:rPr>
                              <w:t>31</w:t>
                            </w:r>
                          </w:p>
                        </w:tc>
                        <w:tc>
                          <w:tcPr>
                            <w:tcW w:w="176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2025 Proxy Statement</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right"/>
        <w:rPr>
          <w:rFonts w:ascii="Arial;sans-serif" w:hAnsi="Arial;sans-serif"/>
          <w:b w:val="false"/>
          <w:color w:val="000000"/>
          <w:sz w:val="16"/>
        </w:rPr>
      </w:pPr>
      <w:r>
        <w:rPr>
          <w:rFonts w:ascii="Arial;sans-serif" w:hAnsi="Arial;sans-serif"/>
          <w:b w:val="false"/>
          <w:color w:val="000000"/>
          <w:sz w:val="16"/>
        </w:rPr>
        <w:t>Table of Contents</w:t>
      </w:r>
    </w:p>
    <w:p>
      <w:pPr>
        <w:pStyle w:val="TextBody"/>
        <w:bidi w:val="0"/>
        <w:spacing w:lineRule="auto" w:line="312" w:before="0" w:after="180"/>
        <w:jc w:val="left"/>
        <w:rPr>
          <w:rFonts w:ascii="Arial;sans-serif" w:hAnsi="Arial;sans-serif"/>
          <w:b w:val="false"/>
          <w:color w:val="000000"/>
          <w:sz w:val="18"/>
        </w:rPr>
      </w:pPr>
      <w:r>
        <w:rPr>
          <w:rFonts w:ascii="Arial;sans-serif" w:hAnsi="Arial;sans-serif"/>
          <w:b w:val="false"/>
          <w:color w:val="000000"/>
          <w:sz w:val="18"/>
        </w:rPr>
        <w:t>The target annual cash bonus opportunities of our executive officers, including the Named Executive Officers, were driven entirely by achievement of corporate financial and operational objectives. The Compensation Committee determined this allocation to be appropriate to focus our executive officers on our short-term financial objectives as reflected in our annual operating plan while, at the same time, recognizing their contributions to the achievement of these objectives and the successful execution of their individual roles and responsibilities.</w:t>
      </w:r>
    </w:p>
    <w:p>
      <w:pPr>
        <w:pStyle w:val="TextBody"/>
        <w:bidi w:val="0"/>
        <w:spacing w:lineRule="auto" w:line="312" w:before="0" w:after="120"/>
        <w:jc w:val="left"/>
        <w:rPr>
          <w:rFonts w:ascii="Arial;sans-serif" w:hAnsi="Arial;sans-serif"/>
          <w:b/>
          <w:color w:val="74A333"/>
          <w:sz w:val="18"/>
        </w:rPr>
      </w:pPr>
      <w:r>
        <w:rPr>
          <w:rFonts w:ascii="Arial;sans-serif" w:hAnsi="Arial;sans-serif"/>
          <w:b/>
          <w:color w:val="74A333"/>
          <w:sz w:val="18"/>
        </w:rPr>
        <w:t xml:space="preserve">Corporate Performance Objectives </w:t>
      </w:r>
    </w:p>
    <w:p>
      <w:pPr>
        <w:pStyle w:val="TextBody"/>
        <w:bidi w:val="0"/>
        <w:spacing w:lineRule="auto" w:line="312" w:before="60" w:after="180"/>
        <w:jc w:val="both"/>
        <w:rPr>
          <w:rFonts w:ascii="Arial;sans-serif" w:hAnsi="Arial;sans-serif"/>
          <w:b w:val="false"/>
          <w:color w:val="000000"/>
          <w:sz w:val="18"/>
        </w:rPr>
      </w:pPr>
      <w:r>
        <w:rPr>
          <w:rFonts w:ascii="Arial;sans-serif" w:hAnsi="Arial;sans-serif"/>
          <w:b w:val="false"/>
          <w:color w:val="000000"/>
          <w:sz w:val="18"/>
        </w:rPr>
        <w:t xml:space="preserve">For purposes of the 2024 bonus plan, the Compensation Committee selected the following as the corporate performance measures, all of which are measured over the 2024 fiscal year performance period: </w:t>
      </w:r>
    </w:p>
    <w:p>
      <w:pPr>
        <w:pStyle w:val="TextBody"/>
        <w:bidi w:val="0"/>
        <w:spacing w:lineRule="auto" w:line="312" w:before="0" w:after="60"/>
        <w:ind w:left="0" w:right="0" w:hanging="360"/>
        <w:jc w:val="left"/>
        <w:rPr/>
      </w:pPr>
      <w:r>
        <w:rPr>
          <w:color w:val="000000"/>
        </w:rPr>
        <w:t>•</w:t>
      </w:r>
      <w:r>
        <w:rPr>
          <w:rFonts w:ascii="Arial;sans-serif" w:hAnsi="Arial;sans-serif"/>
          <w:b w:val="false"/>
          <w:color w:val="000000"/>
          <w:sz w:val="18"/>
        </w:rPr>
        <w:t>Revenue growth, weighted 40%;</w:t>
      </w:r>
    </w:p>
    <w:p>
      <w:pPr>
        <w:pStyle w:val="TextBody"/>
        <w:bidi w:val="0"/>
        <w:spacing w:lineRule="auto" w:line="312" w:before="0" w:after="60"/>
        <w:ind w:left="0" w:right="0" w:hanging="360"/>
        <w:jc w:val="left"/>
        <w:rPr/>
      </w:pPr>
      <w:r>
        <w:rPr>
          <w:color w:val="000000"/>
        </w:rPr>
        <w:t>•</w:t>
      </w:r>
      <w:r>
        <w:rPr>
          <w:rFonts w:ascii="Arial;sans-serif" w:hAnsi="Arial;sans-serif"/>
          <w:b w:val="false"/>
          <w:color w:val="000000"/>
          <w:sz w:val="18"/>
        </w:rPr>
        <w:t>Adjusted EBITDA, weighted 25%;</w:t>
      </w:r>
    </w:p>
    <w:p>
      <w:pPr>
        <w:pStyle w:val="TextBody"/>
        <w:bidi w:val="0"/>
        <w:spacing w:lineRule="auto" w:line="312" w:before="0" w:after="60"/>
        <w:ind w:left="0" w:right="0" w:hanging="360"/>
        <w:jc w:val="left"/>
        <w:rPr/>
      </w:pPr>
      <w:r>
        <w:rPr>
          <w:color w:val="000000"/>
        </w:rPr>
        <w:t>•</w:t>
      </w:r>
      <w:r>
        <w:rPr>
          <w:rFonts w:ascii="Arial;sans-serif" w:hAnsi="Arial;sans-serif"/>
          <w:b w:val="false"/>
          <w:color w:val="000000"/>
          <w:sz w:val="18"/>
        </w:rPr>
        <w:t>New product milestones ((i) Product 1 First in Patient use ("FIP") (weighted 10%), (ii) Product 2 FIP (weighted 10%), and (iii) Product 3 FIP (weighted 5%)); and</w:t>
      </w:r>
    </w:p>
    <w:p>
      <w:pPr>
        <w:pStyle w:val="TextBody"/>
        <w:bidi w:val="0"/>
        <w:spacing w:lineRule="auto" w:line="312" w:before="0" w:after="180"/>
        <w:ind w:left="0" w:right="0" w:hanging="360"/>
        <w:jc w:val="left"/>
        <w:rPr/>
      </w:pPr>
      <w:r>
        <w:rPr>
          <w:color w:val="000000"/>
        </w:rPr>
        <w:t>•</w:t>
      </w:r>
      <w:r>
        <w:rPr>
          <w:rFonts w:ascii="Arial;sans-serif" w:hAnsi="Arial;sans-serif"/>
          <w:b w:val="false"/>
          <w:color w:val="000000"/>
          <w:sz w:val="18"/>
        </w:rPr>
        <w:t>People and culture metrics ((i) Retention Rate and (ii) Engagement Score weighted 10%).</w:t>
      </w:r>
    </w:p>
    <w:p>
      <w:pPr>
        <w:pStyle w:val="TextBody"/>
        <w:bidi w:val="0"/>
        <w:spacing w:lineRule="auto" w:line="312" w:before="0" w:after="180"/>
        <w:jc w:val="left"/>
        <w:rPr>
          <w:rFonts w:ascii="Arial;sans-serif" w:hAnsi="Arial;sans-serif"/>
          <w:b w:val="false"/>
          <w:color w:val="000000"/>
          <w:sz w:val="18"/>
        </w:rPr>
      </w:pPr>
      <w:r>
        <w:rPr>
          <w:rFonts w:ascii="Arial;sans-serif" w:hAnsi="Arial;sans-serif"/>
          <w:b w:val="false"/>
          <w:color w:val="000000"/>
          <w:sz w:val="18"/>
        </w:rPr>
        <w:t xml:space="preserve">The Compensation Committee believed these performance measures were appropriate for our business because they provide a balance between generating revenue, managing our expenses, and growing our business, which it believes most directly influence long-term stockholder value. At the same time, the Compensation Committee established target performance levels for each of these measures at levels that it believed to be challenging, but attainable, through the successful execution of our annual operating plan. </w:t>
      </w:r>
    </w:p>
    <w:p>
      <w:pPr>
        <w:pStyle w:val="TextBody"/>
        <w:bidi w:val="0"/>
        <w:spacing w:lineRule="auto" w:line="312" w:before="0" w:after="180"/>
        <w:jc w:val="left"/>
        <w:rPr>
          <w:rFonts w:ascii="Arial;sans-serif" w:hAnsi="Arial;sans-serif"/>
          <w:b w:val="false"/>
          <w:color w:val="000000"/>
          <w:sz w:val="18"/>
        </w:rPr>
      </w:pPr>
      <w:r>
        <w:rPr>
          <w:rFonts w:ascii="Arial;sans-serif" w:hAnsi="Arial;sans-serif"/>
          <w:b w:val="false"/>
          <w:color w:val="000000"/>
          <w:sz w:val="18"/>
        </w:rPr>
        <w:t>The threshold, target, and maximum levels of achievement for each corporate performance measure, with the actual bonus payment with respect to each measure to be determined independently, were as follows. Potential payouts under the plan range from 0% if the threshold performance level is not met, 80% of target at threshold performance, up to 125% for Upper Performance for all metrics other than revenue which is up to 150% at maximum for revenue.</w:t>
      </w:r>
    </w:p>
    <w:tbl>
      <w:tblPr>
        <w:tblW w:w="10205" w:type="dxa"/>
        <w:jc w:val="left"/>
        <w:tblInd w:w="0" w:type="dxa"/>
        <w:tblLayout w:type="fixed"/>
        <w:tblCellMar>
          <w:top w:w="28" w:type="dxa"/>
          <w:left w:w="28" w:type="dxa"/>
          <w:bottom w:w="28" w:type="dxa"/>
          <w:right w:w="28" w:type="dxa"/>
        </w:tblCellMar>
      </w:tblPr>
      <w:tblGrid>
        <w:gridCol w:w="878"/>
        <w:gridCol w:w="771"/>
        <w:gridCol w:w="774"/>
        <w:gridCol w:w="165"/>
        <w:gridCol w:w="166"/>
        <w:gridCol w:w="357"/>
        <w:gridCol w:w="509"/>
        <w:gridCol w:w="509"/>
        <w:gridCol w:w="1201"/>
        <w:gridCol w:w="344"/>
        <w:gridCol w:w="344"/>
        <w:gridCol w:w="812"/>
        <w:gridCol w:w="344"/>
        <w:gridCol w:w="344"/>
        <w:gridCol w:w="812"/>
        <w:gridCol w:w="344"/>
        <w:gridCol w:w="344"/>
        <w:gridCol w:w="812"/>
        <w:gridCol w:w="109"/>
        <w:gridCol w:w="109"/>
        <w:gridCol w:w="157"/>
      </w:tblGrid>
      <w:tr>
        <w:trPr/>
        <w:tc>
          <w:tcPr>
            <w:tcW w:w="878" w:type="dxa"/>
            <w:tcBorders/>
            <w:vAlign w:val="center"/>
          </w:tcPr>
          <w:p>
            <w:pPr>
              <w:pStyle w:val="TableContents"/>
              <w:bidi w:val="0"/>
              <w:spacing w:before="0" w:after="283"/>
              <w:jc w:val="left"/>
              <w:rPr>
                <w:sz w:val="4"/>
                <w:szCs w:val="4"/>
              </w:rPr>
            </w:pPr>
            <w:r>
              <w:rPr>
                <w:sz w:val="4"/>
                <w:szCs w:val="4"/>
              </w:rPr>
            </w:r>
          </w:p>
        </w:tc>
        <w:tc>
          <w:tcPr>
            <w:tcW w:w="771" w:type="dxa"/>
            <w:tcBorders/>
            <w:vAlign w:val="center"/>
          </w:tcPr>
          <w:p>
            <w:pPr>
              <w:pStyle w:val="TableContents"/>
              <w:bidi w:val="0"/>
              <w:spacing w:before="0" w:after="283"/>
              <w:jc w:val="left"/>
              <w:rPr>
                <w:sz w:val="4"/>
                <w:szCs w:val="4"/>
              </w:rPr>
            </w:pPr>
            <w:r>
              <w:rPr>
                <w:sz w:val="4"/>
                <w:szCs w:val="4"/>
              </w:rPr>
            </w:r>
          </w:p>
        </w:tc>
        <w:tc>
          <w:tcPr>
            <w:tcW w:w="774"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1201"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812"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812"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8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42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6"/>
              </w:rPr>
            </w:pPr>
            <w:r>
              <w:rPr>
                <w:rFonts w:ascii="Arial;sans-serif" w:hAnsi="Arial;sans-serif"/>
                <w:b/>
                <w:color w:val="000000"/>
                <w:sz w:val="16"/>
              </w:rPr>
              <w:t>Corporate Performance Measure</w:t>
            </w:r>
          </w:p>
        </w:tc>
        <w:tc>
          <w:tcPr>
            <w:tcW w:w="688"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6"/>
              </w:rPr>
            </w:pPr>
            <w:r>
              <w:rPr>
                <w:rFonts w:ascii="Arial;sans-serif" w:hAnsi="Arial;sans-serif"/>
                <w:b/>
                <w:color w:val="000000"/>
                <w:sz w:val="16"/>
              </w:rPr>
              <w:t>Weight</w:t>
            </w:r>
          </w:p>
        </w:tc>
        <w:tc>
          <w:tcPr>
            <w:tcW w:w="2219"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6"/>
              </w:rPr>
            </w:pPr>
            <w:r>
              <w:rPr>
                <w:rFonts w:ascii="Arial;sans-serif" w:hAnsi="Arial;sans-serif"/>
                <w:b/>
                <w:color w:val="000000"/>
                <w:sz w:val="16"/>
              </w:rPr>
              <w:t>Threshold Performance Level</w:t>
            </w:r>
          </w:p>
        </w:tc>
        <w:tc>
          <w:tcPr>
            <w:tcW w:w="1500"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6"/>
              </w:rPr>
            </w:pPr>
            <w:r>
              <w:rPr>
                <w:rFonts w:ascii="Arial;sans-serif" w:hAnsi="Arial;sans-serif"/>
                <w:b/>
                <w:color w:val="000000"/>
                <w:sz w:val="16"/>
              </w:rPr>
              <w:t xml:space="preserve">Target </w:t>
              <w:br/>
              <w:t>Performance Level</w:t>
            </w:r>
          </w:p>
        </w:tc>
        <w:tc>
          <w:tcPr>
            <w:tcW w:w="1500"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6"/>
              </w:rPr>
            </w:pPr>
            <w:r>
              <w:rPr>
                <w:rFonts w:ascii="Arial;sans-serif" w:hAnsi="Arial;sans-serif"/>
                <w:b/>
                <w:color w:val="000000"/>
                <w:sz w:val="16"/>
              </w:rPr>
              <w:t xml:space="preserve">Upper </w:t>
              <w:br/>
              <w:t>Performance Level</w:t>
            </w:r>
          </w:p>
        </w:tc>
        <w:tc>
          <w:tcPr>
            <w:tcW w:w="1500"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6"/>
              </w:rPr>
            </w:pPr>
            <w:r>
              <w:rPr>
                <w:rFonts w:ascii="Arial;sans-serif" w:hAnsi="Arial;sans-serif"/>
                <w:b/>
                <w:color w:val="000000"/>
                <w:sz w:val="16"/>
              </w:rPr>
              <w:t xml:space="preserve">Maximum </w:t>
              <w:br/>
              <w:t>Performance Level</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3" w:type="dxa"/>
            <w:gridSpan w:val="3"/>
            <w:tcBorders/>
            <w:shd w:fill="EDEDEE"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Revenue growth</w:t>
            </w:r>
          </w:p>
        </w:tc>
        <w:tc>
          <w:tcPr>
            <w:tcW w:w="331" w:type="dxa"/>
            <w:gridSpan w:val="2"/>
            <w:tcBorders/>
            <w:shd w:fill="EDEDEE"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40 </w:t>
            </w:r>
          </w:p>
        </w:tc>
        <w:tc>
          <w:tcPr>
            <w:tcW w:w="357" w:type="dxa"/>
            <w:tcBorders/>
            <w:shd w:fill="EDEDEE"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w:t>
            </w:r>
          </w:p>
        </w:tc>
        <w:tc>
          <w:tcPr>
            <w:tcW w:w="1018" w:type="dxa"/>
            <w:gridSpan w:val="2"/>
            <w:tcBorders/>
            <w:shd w:fill="EDEDEE"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18 </w:t>
            </w:r>
          </w:p>
        </w:tc>
        <w:tc>
          <w:tcPr>
            <w:tcW w:w="1201" w:type="dxa"/>
            <w:tcBorders/>
            <w:shd w:fill="EDEDEE"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w:t>
            </w:r>
          </w:p>
        </w:tc>
        <w:tc>
          <w:tcPr>
            <w:tcW w:w="688" w:type="dxa"/>
            <w:gridSpan w:val="2"/>
            <w:tcBorders/>
            <w:shd w:fill="EDEDEE"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22 </w:t>
            </w:r>
          </w:p>
        </w:tc>
        <w:tc>
          <w:tcPr>
            <w:tcW w:w="812" w:type="dxa"/>
            <w:tcBorders/>
            <w:shd w:fill="EDEDEE"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w:t>
            </w:r>
          </w:p>
        </w:tc>
        <w:tc>
          <w:tcPr>
            <w:tcW w:w="688" w:type="dxa"/>
            <w:gridSpan w:val="2"/>
            <w:tcBorders/>
            <w:shd w:fill="EDEDEE"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25 </w:t>
            </w:r>
          </w:p>
        </w:tc>
        <w:tc>
          <w:tcPr>
            <w:tcW w:w="812" w:type="dxa"/>
            <w:tcBorders/>
            <w:shd w:fill="EDEDEE"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w:t>
            </w:r>
          </w:p>
        </w:tc>
        <w:tc>
          <w:tcPr>
            <w:tcW w:w="688" w:type="dxa"/>
            <w:gridSpan w:val="2"/>
            <w:tcBorders/>
            <w:shd w:fill="EDEDEE"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30 </w:t>
            </w:r>
          </w:p>
        </w:tc>
        <w:tc>
          <w:tcPr>
            <w:tcW w:w="812" w:type="dxa"/>
            <w:tcBorders/>
            <w:shd w:fill="EDEDEE"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w:t>
            </w:r>
          </w:p>
        </w:tc>
        <w:tc>
          <w:tcPr>
            <w:tcW w:w="375"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Adjusted EBITDA</w:t>
            </w:r>
          </w:p>
        </w:tc>
        <w:tc>
          <w:tcPr>
            <w:tcW w:w="33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25 </w:t>
            </w:r>
          </w:p>
        </w:tc>
        <w:tc>
          <w:tcPr>
            <w:tcW w:w="35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w:t>
            </w:r>
          </w:p>
        </w:tc>
        <w:tc>
          <w:tcPr>
            <w:tcW w:w="22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($10M)</w:t>
            </w:r>
          </w:p>
        </w:tc>
        <w:tc>
          <w:tcPr>
            <w:tcW w:w="15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($7.5M)</w:t>
            </w:r>
          </w:p>
        </w:tc>
        <w:tc>
          <w:tcPr>
            <w:tcW w:w="15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($5M)</w:t>
            </w:r>
          </w:p>
        </w:tc>
        <w:tc>
          <w:tcPr>
            <w:tcW w:w="15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3" w:type="dxa"/>
            <w:gridSpan w:val="3"/>
            <w:tcBorders/>
            <w:shd w:fill="EDEDEE"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Product 1 FIP</w:t>
            </w:r>
          </w:p>
        </w:tc>
        <w:tc>
          <w:tcPr>
            <w:tcW w:w="331" w:type="dxa"/>
            <w:gridSpan w:val="2"/>
            <w:tcBorders/>
            <w:shd w:fill="EDEDEE"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10 </w:t>
            </w:r>
          </w:p>
        </w:tc>
        <w:tc>
          <w:tcPr>
            <w:tcW w:w="357" w:type="dxa"/>
            <w:tcBorders/>
            <w:shd w:fill="EDEDEE"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w:t>
            </w:r>
          </w:p>
        </w:tc>
        <w:tc>
          <w:tcPr>
            <w:tcW w:w="2219" w:type="dxa"/>
            <w:gridSpan w:val="3"/>
            <w:tcBorders/>
            <w:shd w:fill="EDEDEE"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Jun</w:t>
            </w:r>
          </w:p>
        </w:tc>
        <w:tc>
          <w:tcPr>
            <w:tcW w:w="1500" w:type="dxa"/>
            <w:gridSpan w:val="3"/>
            <w:tcBorders/>
            <w:shd w:fill="EDEDEE"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May</w:t>
            </w:r>
          </w:p>
        </w:tc>
        <w:tc>
          <w:tcPr>
            <w:tcW w:w="1500" w:type="dxa"/>
            <w:gridSpan w:val="3"/>
            <w:tcBorders/>
            <w:shd w:fill="EDEDEE"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Apr</w:t>
            </w:r>
          </w:p>
        </w:tc>
        <w:tc>
          <w:tcPr>
            <w:tcW w:w="1500"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Product 2 FIP</w:t>
            </w:r>
          </w:p>
        </w:tc>
        <w:tc>
          <w:tcPr>
            <w:tcW w:w="33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10 </w:t>
            </w:r>
          </w:p>
        </w:tc>
        <w:tc>
          <w:tcPr>
            <w:tcW w:w="35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w:t>
            </w:r>
          </w:p>
        </w:tc>
        <w:tc>
          <w:tcPr>
            <w:tcW w:w="22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Jun</w:t>
            </w:r>
          </w:p>
        </w:tc>
        <w:tc>
          <w:tcPr>
            <w:tcW w:w="15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May</w:t>
            </w:r>
          </w:p>
        </w:tc>
        <w:tc>
          <w:tcPr>
            <w:tcW w:w="15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Apr</w:t>
            </w:r>
          </w:p>
        </w:tc>
        <w:tc>
          <w:tcPr>
            <w:tcW w:w="15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3" w:type="dxa"/>
            <w:gridSpan w:val="3"/>
            <w:tcBorders/>
            <w:shd w:fill="EDEDEE"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Product 3 FIP</w:t>
            </w:r>
          </w:p>
        </w:tc>
        <w:tc>
          <w:tcPr>
            <w:tcW w:w="331" w:type="dxa"/>
            <w:gridSpan w:val="2"/>
            <w:tcBorders/>
            <w:shd w:fill="EDEDEE"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5 </w:t>
            </w:r>
          </w:p>
        </w:tc>
        <w:tc>
          <w:tcPr>
            <w:tcW w:w="357" w:type="dxa"/>
            <w:tcBorders/>
            <w:shd w:fill="EDEDEE"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w:t>
            </w:r>
          </w:p>
        </w:tc>
        <w:tc>
          <w:tcPr>
            <w:tcW w:w="2219" w:type="dxa"/>
            <w:gridSpan w:val="3"/>
            <w:tcBorders/>
            <w:shd w:fill="EDEDEE"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Dec</w:t>
            </w:r>
          </w:p>
        </w:tc>
        <w:tc>
          <w:tcPr>
            <w:tcW w:w="1500" w:type="dxa"/>
            <w:gridSpan w:val="3"/>
            <w:tcBorders/>
            <w:shd w:fill="EDEDEE"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Nov</w:t>
            </w:r>
          </w:p>
        </w:tc>
        <w:tc>
          <w:tcPr>
            <w:tcW w:w="1500" w:type="dxa"/>
            <w:gridSpan w:val="3"/>
            <w:tcBorders/>
            <w:shd w:fill="EDEDEE"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Oct</w:t>
            </w:r>
          </w:p>
        </w:tc>
        <w:tc>
          <w:tcPr>
            <w:tcW w:w="1500"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Retention rate</w:t>
            </w:r>
          </w:p>
        </w:tc>
        <w:tc>
          <w:tcPr>
            <w:tcW w:w="33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5 </w:t>
            </w:r>
          </w:p>
        </w:tc>
        <w:tc>
          <w:tcPr>
            <w:tcW w:w="35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w:t>
            </w:r>
          </w:p>
        </w:tc>
        <w:tc>
          <w:tcPr>
            <w:tcW w:w="22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Flat</w:t>
            </w:r>
          </w:p>
        </w:tc>
        <w:tc>
          <w:tcPr>
            <w:tcW w:w="15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Up 1%</w:t>
            </w:r>
          </w:p>
        </w:tc>
        <w:tc>
          <w:tcPr>
            <w:tcW w:w="15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Up 2%</w:t>
            </w:r>
          </w:p>
        </w:tc>
        <w:tc>
          <w:tcPr>
            <w:tcW w:w="15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3" w:type="dxa"/>
            <w:gridSpan w:val="3"/>
            <w:tcBorders>
              <w:bottom w:val="single" w:sz="12" w:space="0" w:color="74A333"/>
            </w:tcBorders>
            <w:shd w:fill="EDEDEE" w:val="clear"/>
            <w:tcMar>
              <w:top w:w="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Engagement score</w:t>
            </w:r>
          </w:p>
        </w:tc>
        <w:tc>
          <w:tcPr>
            <w:tcW w:w="331" w:type="dxa"/>
            <w:gridSpan w:val="2"/>
            <w:tcBorders>
              <w:bottom w:val="single" w:sz="12" w:space="0" w:color="74A333"/>
            </w:tcBorders>
            <w:shd w:fill="EDEDEE" w:val="clear"/>
            <w:tcMar>
              <w:top w:w="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5 </w:t>
            </w:r>
          </w:p>
        </w:tc>
        <w:tc>
          <w:tcPr>
            <w:tcW w:w="357" w:type="dxa"/>
            <w:tcBorders>
              <w:bottom w:val="single" w:sz="12" w:space="0" w:color="74A333"/>
            </w:tcBorders>
            <w:shd w:fill="EDEDEE" w:val="clear"/>
            <w:tcMar>
              <w:top w:w="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w:t>
            </w:r>
          </w:p>
        </w:tc>
        <w:tc>
          <w:tcPr>
            <w:tcW w:w="2219" w:type="dxa"/>
            <w:gridSpan w:val="3"/>
            <w:tcBorders>
              <w:bottom w:val="single" w:sz="12" w:space="0" w:color="74A333"/>
            </w:tcBorders>
            <w:shd w:fill="EDEDEE" w:val="clear"/>
            <w:tcMar>
              <w:top w:w="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Flat</w:t>
            </w:r>
          </w:p>
        </w:tc>
        <w:tc>
          <w:tcPr>
            <w:tcW w:w="1500" w:type="dxa"/>
            <w:gridSpan w:val="3"/>
            <w:tcBorders>
              <w:bottom w:val="single" w:sz="12" w:space="0" w:color="74A333"/>
            </w:tcBorders>
            <w:shd w:fill="EDEDEE" w:val="clear"/>
            <w:tcMar>
              <w:top w:w="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Up 2%</w:t>
            </w:r>
          </w:p>
        </w:tc>
        <w:tc>
          <w:tcPr>
            <w:tcW w:w="1500" w:type="dxa"/>
            <w:gridSpan w:val="3"/>
            <w:tcBorders>
              <w:bottom w:val="single" w:sz="12" w:space="0" w:color="74A333"/>
            </w:tcBorders>
            <w:shd w:fill="EDEDEE" w:val="clear"/>
            <w:tcMar>
              <w:top w:w="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Up 4%</w:t>
            </w:r>
          </w:p>
        </w:tc>
        <w:tc>
          <w:tcPr>
            <w:tcW w:w="1500" w:type="dxa"/>
            <w:gridSpan w:val="3"/>
            <w:tcBorders>
              <w:bottom w:val="single" w:sz="12" w:space="0" w:color="74A333"/>
            </w:tcBorders>
            <w:shd w:fill="EDEDEE"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bottom w:val="single" w:sz="12" w:space="0" w:color="74A333"/>
            </w:tcBorders>
            <w:shd w:fill="EDEDEE"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12" w:before="0" w:after="180"/>
        <w:jc w:val="left"/>
        <w:rPr>
          <w:rFonts w:ascii="Arial;sans-serif" w:hAnsi="Arial;sans-serif"/>
          <w:b w:val="false"/>
          <w:color w:val="000000"/>
          <w:sz w:val="18"/>
        </w:rPr>
      </w:pPr>
      <w:r>
        <w:rPr>
          <w:rFonts w:ascii="Arial;sans-serif" w:hAnsi="Arial;sans-serif"/>
          <w:b w:val="false"/>
          <w:color w:val="000000"/>
          <w:sz w:val="18"/>
        </w:rPr>
        <w:t>Adjusted EBITDA excludes from net loss the effects of interest income, interest expense, depreciation and amortization and stock-based compensation. In the event of actual revenue or adjusted EBITDA performance between the threshold and target, and target and maximum performance levels, the payment amount was to be calculated between each designated segment on a linear basis.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739140"/>
                <wp:effectExtent l="0" t="0" r="0" b="0"/>
                <wp:wrapNone/>
                <wp:docPr id="57" name="Frame37"/>
                <a:graphic xmlns:a="http://schemas.openxmlformats.org/drawingml/2006/main">
                  <a:graphicData uri="http://schemas.microsoft.com/office/word/2010/wordprocessingShape">
                    <wps:wsp>
                      <wps:cNvSpPr txBox="1"/>
                      <wps:spPr>
                        <a:xfrm>
                          <a:off x="0" y="0"/>
                          <a:ext cx="6480175" cy="739140"/>
                        </a:xfrm>
                        <a:prstGeom prst="rect"/>
                        <a:solidFill>
                          <a:srgbClr val="FFFFFF"/>
                        </a:solidFill>
                      </wps:spPr>
                      <wps:txbx>
                        <w:txbxContent>
                          <w:tbl>
                            <w:tblPr>
                              <w:tblW w:w="3266" w:type="dxa"/>
                              <w:jc w:val="center"/>
                              <w:tblInd w:w="0" w:type="dxa"/>
                              <w:tblLayout w:type="fixed"/>
                              <w:tblCellMar>
                                <w:top w:w="28" w:type="dxa"/>
                                <w:left w:w="28" w:type="dxa"/>
                                <w:bottom w:w="28" w:type="dxa"/>
                                <w:right w:w="28" w:type="dxa"/>
                              </w:tblCellMar>
                            </w:tblPr>
                            <w:tblGrid>
                              <w:gridCol w:w="424"/>
                              <w:gridCol w:w="372"/>
                              <w:gridCol w:w="374"/>
                              <w:gridCol w:w="109"/>
                              <w:gridCol w:w="109"/>
                              <w:gridCol w:w="109"/>
                              <w:gridCol w:w="517"/>
                              <w:gridCol w:w="517"/>
                              <w:gridCol w:w="735"/>
                            </w:tblGrid>
                            <w:tr>
                              <w:trPr/>
                              <w:tc>
                                <w:tcPr>
                                  <w:tcW w:w="424"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r>
                            <w:tr>
                              <w:trPr/>
                              <w:tc>
                                <w:tcPr>
                                  <w:tcW w:w="1170"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6"/>
                                    </w:rPr>
                                  </w:pPr>
                                  <w:r>
                                    <w:rPr>
                                      <w:rFonts w:ascii="Arial;sans-serif" w:hAnsi="Arial;sans-serif"/>
                                      <w:b/>
                                      <w:color w:val="000000"/>
                                      <w:sz w:val="16"/>
                                    </w:rPr>
                                    <w:t>SI-BONE, Inc.</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000000"/>
                                      <w:sz w:val="16"/>
                                    </w:rPr>
                                  </w:pPr>
                                  <w:r>
                                    <w:rPr>
                                      <w:rFonts w:ascii="Arial;sans-serif" w:hAnsi="Arial;sans-serif"/>
                                      <w:b/>
                                      <w:color w:val="000000"/>
                                      <w:sz w:val="16"/>
                                    </w:rPr>
                                    <w:t>32</w:t>
                                  </w:r>
                                </w:p>
                              </w:tc>
                              <w:tc>
                                <w:tcPr>
                                  <w:tcW w:w="176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2025 Proxy Statement</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2pt;mso-wrap-distance-left:0pt;mso-wrap-distance-right:0pt;mso-wrap-distance-top:0pt;mso-wrap-distance-bottom:0pt;margin-top:0pt;mso-position-vertical:top;mso-position-vertical-relative:text;margin-left:0pt;mso-position-horizontal:left;mso-position-horizontal-relative:text">
                <v:textbox>
                  <w:txbxContent>
                    <w:tbl>
                      <w:tblPr>
                        <w:tblW w:w="3266" w:type="dxa"/>
                        <w:jc w:val="center"/>
                        <w:tblInd w:w="0" w:type="dxa"/>
                        <w:tblLayout w:type="fixed"/>
                        <w:tblCellMar>
                          <w:top w:w="28" w:type="dxa"/>
                          <w:left w:w="28" w:type="dxa"/>
                          <w:bottom w:w="28" w:type="dxa"/>
                          <w:right w:w="28" w:type="dxa"/>
                        </w:tblCellMar>
                      </w:tblPr>
                      <w:tblGrid>
                        <w:gridCol w:w="424"/>
                        <w:gridCol w:w="372"/>
                        <w:gridCol w:w="374"/>
                        <w:gridCol w:w="109"/>
                        <w:gridCol w:w="109"/>
                        <w:gridCol w:w="109"/>
                        <w:gridCol w:w="517"/>
                        <w:gridCol w:w="517"/>
                        <w:gridCol w:w="735"/>
                      </w:tblGrid>
                      <w:tr>
                        <w:trPr/>
                        <w:tc>
                          <w:tcPr>
                            <w:tcW w:w="424"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r>
                      <w:tr>
                        <w:trPr/>
                        <w:tc>
                          <w:tcPr>
                            <w:tcW w:w="1170"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6"/>
                              </w:rPr>
                            </w:pPr>
                            <w:r>
                              <w:rPr>
                                <w:rFonts w:ascii="Arial;sans-serif" w:hAnsi="Arial;sans-serif"/>
                                <w:b/>
                                <w:color w:val="000000"/>
                                <w:sz w:val="16"/>
                              </w:rPr>
                              <w:t>SI-BONE, Inc.</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000000"/>
                                <w:sz w:val="16"/>
                              </w:rPr>
                            </w:pPr>
                            <w:r>
                              <w:rPr>
                                <w:rFonts w:ascii="Arial;sans-serif" w:hAnsi="Arial;sans-serif"/>
                                <w:b/>
                                <w:color w:val="000000"/>
                                <w:sz w:val="16"/>
                              </w:rPr>
                              <w:t>32</w:t>
                            </w:r>
                          </w:p>
                        </w:tc>
                        <w:tc>
                          <w:tcPr>
                            <w:tcW w:w="176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2025 Proxy Statement</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right"/>
        <w:rPr>
          <w:rFonts w:ascii="Arial;sans-serif" w:hAnsi="Arial;sans-serif"/>
          <w:b w:val="false"/>
          <w:color w:val="000000"/>
          <w:sz w:val="16"/>
        </w:rPr>
      </w:pPr>
      <w:r>
        <w:rPr>
          <w:rFonts w:ascii="Arial;sans-serif" w:hAnsi="Arial;sans-serif"/>
          <w:b w:val="false"/>
          <w:color w:val="000000"/>
          <w:sz w:val="16"/>
        </w:rPr>
        <w:t>Table of Contents</w:t>
      </w:r>
    </w:p>
    <w:p>
      <w:pPr>
        <w:pStyle w:val="TextBody"/>
        <w:bidi w:val="0"/>
        <w:spacing w:lineRule="auto" w:line="312" w:before="0" w:after="120"/>
        <w:jc w:val="left"/>
        <w:rPr>
          <w:rFonts w:ascii="Arial;sans-serif" w:hAnsi="Arial;sans-serif"/>
          <w:b/>
          <w:color w:val="74A333"/>
          <w:sz w:val="18"/>
        </w:rPr>
      </w:pPr>
      <w:r>
        <w:rPr>
          <w:rFonts w:ascii="Arial;sans-serif" w:hAnsi="Arial;sans-serif"/>
          <w:b/>
          <w:color w:val="74A333"/>
          <w:sz w:val="18"/>
        </w:rPr>
        <w:t xml:space="preserve">2024 Performance Results and Bonus Decisions </w:t>
      </w:r>
    </w:p>
    <w:p>
      <w:pPr>
        <w:pStyle w:val="TextBody"/>
        <w:bidi w:val="0"/>
        <w:spacing w:lineRule="auto" w:line="312" w:before="0" w:after="180"/>
        <w:jc w:val="left"/>
        <w:rPr>
          <w:rFonts w:ascii="Arial;sans-serif" w:hAnsi="Arial;sans-serif"/>
          <w:b w:val="false"/>
          <w:color w:val="000000"/>
          <w:sz w:val="18"/>
        </w:rPr>
      </w:pPr>
      <w:r>
        <w:rPr>
          <w:rFonts w:ascii="Arial;sans-serif" w:hAnsi="Arial;sans-serif"/>
          <w:b w:val="false"/>
          <w:color w:val="000000"/>
          <w:sz w:val="18"/>
        </w:rPr>
        <w:t>In January 2025, the Compensation Committee approved (recommended to our Board of Directors in the case of our CEO) our actual achievement with respect to the corporate performance objectives under the 2024 bonus plan as follows:</w:t>
      </w:r>
    </w:p>
    <w:tbl>
      <w:tblPr>
        <w:tblW w:w="7721" w:type="dxa"/>
        <w:jc w:val="left"/>
        <w:tblInd w:w="0" w:type="dxa"/>
        <w:tblLayout w:type="fixed"/>
        <w:tblCellMar>
          <w:top w:w="28" w:type="dxa"/>
          <w:left w:w="28" w:type="dxa"/>
          <w:bottom w:w="28" w:type="dxa"/>
          <w:right w:w="28" w:type="dxa"/>
        </w:tblCellMar>
      </w:tblPr>
      <w:tblGrid>
        <w:gridCol w:w="967"/>
        <w:gridCol w:w="849"/>
        <w:gridCol w:w="853"/>
        <w:gridCol w:w="220"/>
        <w:gridCol w:w="220"/>
        <w:gridCol w:w="221"/>
        <w:gridCol w:w="262"/>
        <w:gridCol w:w="262"/>
        <w:gridCol w:w="617"/>
        <w:gridCol w:w="394"/>
        <w:gridCol w:w="394"/>
        <w:gridCol w:w="396"/>
        <w:gridCol w:w="564"/>
        <w:gridCol w:w="564"/>
        <w:gridCol w:w="566"/>
        <w:gridCol w:w="109"/>
        <w:gridCol w:w="109"/>
        <w:gridCol w:w="154"/>
      </w:tblGrid>
      <w:tr>
        <w:trPr/>
        <w:tc>
          <w:tcPr>
            <w:tcW w:w="967" w:type="dxa"/>
            <w:tcBorders/>
            <w:vAlign w:val="center"/>
          </w:tcPr>
          <w:p>
            <w:pPr>
              <w:pStyle w:val="TableContents"/>
              <w:bidi w:val="0"/>
              <w:spacing w:before="0" w:after="283"/>
              <w:jc w:val="left"/>
              <w:rPr>
                <w:sz w:val="4"/>
                <w:szCs w:val="4"/>
              </w:rPr>
            </w:pPr>
            <w:r>
              <w:rPr>
                <w:sz w:val="4"/>
                <w:szCs w:val="4"/>
              </w:rPr>
            </w:r>
          </w:p>
        </w:tc>
        <w:tc>
          <w:tcPr>
            <w:tcW w:w="849" w:type="dxa"/>
            <w:tcBorders/>
            <w:vAlign w:val="center"/>
          </w:tcPr>
          <w:p>
            <w:pPr>
              <w:pStyle w:val="TableContents"/>
              <w:bidi w:val="0"/>
              <w:spacing w:before="0" w:after="283"/>
              <w:jc w:val="left"/>
              <w:rPr>
                <w:sz w:val="4"/>
                <w:szCs w:val="4"/>
              </w:rPr>
            </w:pPr>
            <w:r>
              <w:rPr>
                <w:sz w:val="4"/>
                <w:szCs w:val="4"/>
              </w:rPr>
            </w:r>
          </w:p>
        </w:tc>
        <w:tc>
          <w:tcPr>
            <w:tcW w:w="853"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617"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6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6"/>
              </w:rPr>
            </w:pPr>
            <w:r>
              <w:rPr>
                <w:rFonts w:ascii="Arial;sans-serif" w:hAnsi="Arial;sans-serif"/>
                <w:b/>
                <w:color w:val="000000"/>
                <w:sz w:val="16"/>
              </w:rPr>
              <w:t>Corporate Performance Measure</w:t>
            </w:r>
          </w:p>
        </w:tc>
        <w:tc>
          <w:tcPr>
            <w:tcW w:w="661"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6"/>
              </w:rPr>
            </w:pPr>
            <w:r>
              <w:rPr>
                <w:rFonts w:ascii="Arial;sans-serif" w:hAnsi="Arial;sans-serif"/>
                <w:b/>
                <w:color w:val="000000"/>
                <w:sz w:val="16"/>
              </w:rPr>
              <w:t>Weight</w:t>
              <w:br/>
              <w:t>(%)</w:t>
            </w:r>
          </w:p>
        </w:tc>
        <w:tc>
          <w:tcPr>
            <w:tcW w:w="1141"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6"/>
              </w:rPr>
            </w:pPr>
            <w:r>
              <w:rPr>
                <w:rFonts w:ascii="Arial;sans-serif" w:hAnsi="Arial;sans-serif"/>
                <w:b/>
                <w:color w:val="000000"/>
                <w:sz w:val="16"/>
              </w:rPr>
              <w:t xml:space="preserve">Actual </w:t>
              <w:br/>
              <w:t>Achievement</w:t>
            </w:r>
          </w:p>
        </w:tc>
        <w:tc>
          <w:tcPr>
            <w:tcW w:w="118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6"/>
              </w:rPr>
            </w:pPr>
            <w:r>
              <w:rPr>
                <w:rFonts w:ascii="Arial;sans-serif" w:hAnsi="Arial;sans-serif"/>
                <w:b/>
                <w:color w:val="000000"/>
                <w:sz w:val="16"/>
              </w:rPr>
              <w:t xml:space="preserve">Achievement </w:t>
              <w:br/>
              <w:t>Payout Level</w:t>
              <w:br/>
              <w:t>(%)</w:t>
            </w:r>
          </w:p>
        </w:tc>
        <w:tc>
          <w:tcPr>
            <w:tcW w:w="169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6"/>
              </w:rPr>
            </w:pPr>
            <w:r>
              <w:rPr>
                <w:rFonts w:ascii="Arial;sans-serif" w:hAnsi="Arial;sans-serif"/>
                <w:b/>
                <w:color w:val="000000"/>
                <w:sz w:val="16"/>
              </w:rPr>
              <w:t>Bonus Contribution</w:t>
              <w:br/>
              <w:t>(%)</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69" w:type="dxa"/>
            <w:gridSpan w:val="3"/>
            <w:tcBorders/>
            <w:shd w:fill="EDEDEE"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Revenue growth</w:t>
            </w:r>
          </w:p>
        </w:tc>
        <w:tc>
          <w:tcPr>
            <w:tcW w:w="440" w:type="dxa"/>
            <w:gridSpan w:val="2"/>
            <w:tcBorders/>
            <w:shd w:fill="EDEDEE"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40 </w:t>
            </w:r>
          </w:p>
        </w:tc>
        <w:tc>
          <w:tcPr>
            <w:tcW w:w="221"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4" w:type="dxa"/>
            <w:gridSpan w:val="2"/>
            <w:tcBorders/>
            <w:shd w:fill="EDEDEE"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20.4 </w:t>
            </w:r>
          </w:p>
        </w:tc>
        <w:tc>
          <w:tcPr>
            <w:tcW w:w="617" w:type="dxa"/>
            <w:tcBorders/>
            <w:shd w:fill="EDEDEE"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w:t>
            </w:r>
          </w:p>
        </w:tc>
        <w:tc>
          <w:tcPr>
            <w:tcW w:w="788" w:type="dxa"/>
            <w:gridSpan w:val="2"/>
            <w:tcBorders/>
            <w:shd w:fill="EDEDEE"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92 </w:t>
            </w:r>
          </w:p>
        </w:tc>
        <w:tc>
          <w:tcPr>
            <w:tcW w:w="396"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EDEDEE"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36.7 </w:t>
            </w:r>
          </w:p>
        </w:tc>
        <w:tc>
          <w:tcPr>
            <w:tcW w:w="566"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Adjusted EBITDA</w:t>
            </w:r>
          </w:p>
        </w:tc>
        <w:tc>
          <w:tcPr>
            <w:tcW w:w="4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25 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($5.1M)</w:t>
            </w:r>
          </w:p>
        </w:tc>
        <w:tc>
          <w:tcPr>
            <w:tcW w:w="78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124 </w:t>
            </w:r>
          </w:p>
        </w:tc>
        <w:tc>
          <w:tcPr>
            <w:tcW w:w="3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31.1 </w:t>
            </w:r>
          </w:p>
        </w:tc>
        <w:tc>
          <w:tcPr>
            <w:tcW w:w="5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69" w:type="dxa"/>
            <w:gridSpan w:val="3"/>
            <w:tcBorders/>
            <w:shd w:fill="EDEDEE"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Product 1 FIP</w:t>
            </w:r>
          </w:p>
        </w:tc>
        <w:tc>
          <w:tcPr>
            <w:tcW w:w="440" w:type="dxa"/>
            <w:gridSpan w:val="2"/>
            <w:tcBorders/>
            <w:shd w:fill="EDEDEE"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10 </w:t>
            </w:r>
          </w:p>
        </w:tc>
        <w:tc>
          <w:tcPr>
            <w:tcW w:w="221"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EDEDEE"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Apr</w:t>
            </w:r>
          </w:p>
        </w:tc>
        <w:tc>
          <w:tcPr>
            <w:tcW w:w="788" w:type="dxa"/>
            <w:gridSpan w:val="2"/>
            <w:tcBorders/>
            <w:shd w:fill="EDEDEE"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125 </w:t>
            </w:r>
          </w:p>
        </w:tc>
        <w:tc>
          <w:tcPr>
            <w:tcW w:w="396"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EDEDEE"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12.5 </w:t>
            </w:r>
          </w:p>
        </w:tc>
        <w:tc>
          <w:tcPr>
            <w:tcW w:w="566"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Product 2 FIP</w:t>
            </w:r>
          </w:p>
        </w:tc>
        <w:tc>
          <w:tcPr>
            <w:tcW w:w="4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10 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Apr</w:t>
            </w:r>
          </w:p>
        </w:tc>
        <w:tc>
          <w:tcPr>
            <w:tcW w:w="78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125 </w:t>
            </w:r>
          </w:p>
        </w:tc>
        <w:tc>
          <w:tcPr>
            <w:tcW w:w="3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12.5 </w:t>
            </w:r>
          </w:p>
        </w:tc>
        <w:tc>
          <w:tcPr>
            <w:tcW w:w="5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69" w:type="dxa"/>
            <w:gridSpan w:val="3"/>
            <w:tcBorders/>
            <w:shd w:fill="EDEDEE"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Product 3 FIP</w:t>
            </w:r>
          </w:p>
        </w:tc>
        <w:tc>
          <w:tcPr>
            <w:tcW w:w="440" w:type="dxa"/>
            <w:gridSpan w:val="2"/>
            <w:tcBorders/>
            <w:shd w:fill="EDEDEE"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5 </w:t>
            </w:r>
          </w:p>
        </w:tc>
        <w:tc>
          <w:tcPr>
            <w:tcW w:w="221"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EDEDEE"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Sept</w:t>
            </w:r>
          </w:p>
        </w:tc>
        <w:tc>
          <w:tcPr>
            <w:tcW w:w="788" w:type="dxa"/>
            <w:gridSpan w:val="2"/>
            <w:tcBorders/>
            <w:shd w:fill="EDEDEE"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125 </w:t>
            </w:r>
          </w:p>
        </w:tc>
        <w:tc>
          <w:tcPr>
            <w:tcW w:w="396"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EDEDEE"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6.3 </w:t>
            </w:r>
          </w:p>
        </w:tc>
        <w:tc>
          <w:tcPr>
            <w:tcW w:w="566"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Retention rate</w:t>
            </w:r>
          </w:p>
        </w:tc>
        <w:tc>
          <w:tcPr>
            <w:tcW w:w="4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5 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92 </w:t>
            </w:r>
          </w:p>
        </w:tc>
        <w:tc>
          <w:tcPr>
            <w:tcW w:w="61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w:t>
            </w:r>
          </w:p>
        </w:tc>
        <w:tc>
          <w:tcPr>
            <w:tcW w:w="78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125 </w:t>
            </w:r>
          </w:p>
        </w:tc>
        <w:tc>
          <w:tcPr>
            <w:tcW w:w="3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6.3 </w:t>
            </w:r>
          </w:p>
        </w:tc>
        <w:tc>
          <w:tcPr>
            <w:tcW w:w="5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69" w:type="dxa"/>
            <w:gridSpan w:val="3"/>
            <w:tcBorders/>
            <w:shd w:fill="EDEDEE"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Engagement score</w:t>
            </w:r>
          </w:p>
        </w:tc>
        <w:tc>
          <w:tcPr>
            <w:tcW w:w="440" w:type="dxa"/>
            <w:gridSpan w:val="2"/>
            <w:tcBorders/>
            <w:shd w:fill="EDEDEE"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5 </w:t>
            </w:r>
          </w:p>
        </w:tc>
        <w:tc>
          <w:tcPr>
            <w:tcW w:w="221"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4" w:type="dxa"/>
            <w:gridSpan w:val="2"/>
            <w:tcBorders/>
            <w:shd w:fill="EDEDEE"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72 </w:t>
            </w:r>
          </w:p>
        </w:tc>
        <w:tc>
          <w:tcPr>
            <w:tcW w:w="617" w:type="dxa"/>
            <w:tcBorders/>
            <w:shd w:fill="EDEDEE"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w:t>
            </w:r>
          </w:p>
        </w:tc>
        <w:tc>
          <w:tcPr>
            <w:tcW w:w="788" w:type="dxa"/>
            <w:gridSpan w:val="2"/>
            <w:tcBorders/>
            <w:shd w:fill="EDEDEE"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80 </w:t>
            </w:r>
          </w:p>
        </w:tc>
        <w:tc>
          <w:tcPr>
            <w:tcW w:w="396"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EDEDEE"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4.0 </w:t>
            </w:r>
          </w:p>
        </w:tc>
        <w:tc>
          <w:tcPr>
            <w:tcW w:w="566"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69" w:type="dxa"/>
            <w:gridSpan w:val="3"/>
            <w:tcBorders>
              <w:bottom w:val="single" w:sz="12" w:space="0" w:color="74A333"/>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bottom w:val="single" w:sz="12" w:space="0" w:color="74A333"/>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bottom w:val="single" w:sz="12" w:space="0" w:color="74A333"/>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bottom w:val="single" w:sz="12" w:space="0" w:color="74A333"/>
            </w:tcBorders>
            <w:shd w:fill="FFFFFF" w:val="clear"/>
            <w:tcMar>
              <w:top w:w="0" w:type="dxa"/>
              <w:left w:w="0" w:type="dxa"/>
              <w:bottom w:w="30" w:type="dxa"/>
              <w:right w:w="0" w:type="dxa"/>
            </w:tcMar>
            <w:vAlign w:val="center"/>
          </w:tcPr>
          <w:p>
            <w:pPr>
              <w:pStyle w:val="TableContents"/>
              <w:bidi w:val="0"/>
              <w:spacing w:lineRule="auto" w:line="288" w:before="0" w:after="283"/>
              <w:jc w:val="right"/>
              <w:rPr>
                <w:rFonts w:ascii="Arial;sans-serif" w:hAnsi="Arial;sans-serif"/>
                <w:b/>
                <w:color w:val="000000"/>
                <w:sz w:val="16"/>
              </w:rPr>
            </w:pPr>
            <w:r>
              <w:rPr>
                <w:rFonts w:ascii="Arial;sans-serif" w:hAnsi="Arial;sans-serif"/>
                <w:b/>
                <w:color w:val="000000"/>
                <w:sz w:val="16"/>
              </w:rPr>
              <w:t>Total</w:t>
            </w:r>
          </w:p>
        </w:tc>
        <w:tc>
          <w:tcPr>
            <w:tcW w:w="1128" w:type="dxa"/>
            <w:gridSpan w:val="2"/>
            <w:tcBorders>
              <w:bottom w:val="single" w:sz="12" w:space="0" w:color="74A333"/>
            </w:tcBorders>
            <w:shd w:fill="FFFFFF" w:val="clear"/>
            <w:tcMar>
              <w:top w:w="0" w:type="dxa"/>
              <w:left w:w="0" w:type="dxa"/>
              <w:bottom w:w="30" w:type="dxa"/>
              <w:right w:w="0" w:type="dxa"/>
            </w:tcMar>
            <w:vAlign w:val="center"/>
          </w:tcPr>
          <w:p>
            <w:pPr>
              <w:pStyle w:val="TableContents"/>
              <w:bidi w:val="0"/>
              <w:spacing w:lineRule="auto" w:line="288" w:before="0" w:after="283"/>
              <w:jc w:val="right"/>
              <w:rPr/>
            </w:pPr>
            <w:r>
              <w:rPr>
                <w:rFonts w:ascii="Arial;sans-serif" w:hAnsi="Arial;sans-serif"/>
                <w:b/>
                <w:color w:val="000000"/>
                <w:sz w:val="16"/>
              </w:rPr>
              <w:t>109.4</w:t>
            </w:r>
            <w:r>
              <w:rPr>
                <w:color w:val="000000"/>
              </w:rPr>
              <w:t> </w:t>
            </w:r>
          </w:p>
        </w:tc>
        <w:tc>
          <w:tcPr>
            <w:tcW w:w="566" w:type="dxa"/>
            <w:tcBorders>
              <w:bottom w:val="single" w:sz="12" w:space="0" w:color="74A333"/>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bottom w:val="single" w:sz="12" w:space="0" w:color="74A333"/>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12" w:before="0" w:after="180"/>
        <w:jc w:val="left"/>
        <w:rPr>
          <w:rFonts w:ascii="Arial;sans-serif" w:hAnsi="Arial;sans-serif"/>
          <w:b w:val="false"/>
          <w:color w:val="000000"/>
          <w:sz w:val="18"/>
        </w:rPr>
      </w:pPr>
      <w:r>
        <w:rPr>
          <w:rFonts w:ascii="Arial;sans-serif" w:hAnsi="Arial;sans-serif"/>
          <w:b w:val="false"/>
          <w:color w:val="000000"/>
          <w:sz w:val="18"/>
        </w:rPr>
        <w:t xml:space="preserve">The Compensation Committee determined that, based on our actual performance with respect to each corporate performance measure, the corporate performance objectives had been achieved, in the aggregate, at a level resulting in payout of 109.4% of target. Accordingly, the Compensation Committee (our Board of Directors in the case of our CEO) approved bonus payments as follows for our Named Executive Officers: </w:t>
      </w:r>
    </w:p>
    <w:tbl>
      <w:tblPr>
        <w:tblW w:w="10205" w:type="dxa"/>
        <w:jc w:val="left"/>
        <w:tblInd w:w="0" w:type="dxa"/>
        <w:tblLayout w:type="fixed"/>
        <w:tblCellMar>
          <w:top w:w="28" w:type="dxa"/>
          <w:left w:w="28" w:type="dxa"/>
          <w:bottom w:w="28" w:type="dxa"/>
          <w:right w:w="28" w:type="dxa"/>
        </w:tblCellMar>
      </w:tblPr>
      <w:tblGrid>
        <w:gridCol w:w="695"/>
        <w:gridCol w:w="576"/>
        <w:gridCol w:w="578"/>
        <w:gridCol w:w="932"/>
        <w:gridCol w:w="929"/>
        <w:gridCol w:w="931"/>
        <w:gridCol w:w="109"/>
        <w:gridCol w:w="109"/>
        <w:gridCol w:w="109"/>
        <w:gridCol w:w="769"/>
        <w:gridCol w:w="769"/>
        <w:gridCol w:w="771"/>
        <w:gridCol w:w="879"/>
        <w:gridCol w:w="834"/>
        <w:gridCol w:w="836"/>
        <w:gridCol w:w="109"/>
        <w:gridCol w:w="109"/>
        <w:gridCol w:w="161"/>
      </w:tblGrid>
      <w:tr>
        <w:trPr/>
        <w:tc>
          <w:tcPr>
            <w:tcW w:w="695"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578" w:type="dxa"/>
            <w:tcBorders/>
            <w:vAlign w:val="center"/>
          </w:tcPr>
          <w:p>
            <w:pPr>
              <w:pStyle w:val="TableContents"/>
              <w:bidi w:val="0"/>
              <w:spacing w:before="0" w:after="283"/>
              <w:jc w:val="left"/>
              <w:rPr>
                <w:sz w:val="4"/>
                <w:szCs w:val="4"/>
              </w:rPr>
            </w:pPr>
            <w:r>
              <w:rPr>
                <w:sz w:val="4"/>
                <w:szCs w:val="4"/>
              </w:rPr>
            </w:r>
          </w:p>
        </w:tc>
        <w:tc>
          <w:tcPr>
            <w:tcW w:w="932"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71" w:type="dxa"/>
            <w:tcBorders/>
            <w:vAlign w:val="center"/>
          </w:tcPr>
          <w:p>
            <w:pPr>
              <w:pStyle w:val="TableContents"/>
              <w:bidi w:val="0"/>
              <w:spacing w:before="0" w:after="283"/>
              <w:jc w:val="left"/>
              <w:rPr>
                <w:sz w:val="4"/>
                <w:szCs w:val="4"/>
              </w:rPr>
            </w:pPr>
            <w:r>
              <w:rPr>
                <w:sz w:val="4"/>
                <w:szCs w:val="4"/>
              </w:rPr>
            </w:r>
          </w:p>
        </w:tc>
        <w:tc>
          <w:tcPr>
            <w:tcW w:w="879"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8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184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6"/>
              </w:rPr>
            </w:pPr>
            <w:r>
              <w:rPr>
                <w:rFonts w:ascii="Arial;sans-serif" w:hAnsi="Arial;sans-serif"/>
                <w:b/>
                <w:color w:val="000000"/>
                <w:sz w:val="16"/>
              </w:rPr>
              <w:t>Named Executive Officer</w:t>
            </w:r>
          </w:p>
        </w:tc>
        <w:tc>
          <w:tcPr>
            <w:tcW w:w="2792"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6"/>
              </w:rPr>
            </w:pPr>
            <w:r>
              <w:rPr>
                <w:rFonts w:ascii="Arial;sans-serif" w:hAnsi="Arial;sans-serif"/>
                <w:b/>
                <w:color w:val="000000"/>
                <w:sz w:val="16"/>
              </w:rPr>
              <w:t>Target Annual Cash Bonus Opportunity</w:t>
              <w:b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9"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6"/>
              </w:rPr>
            </w:pPr>
            <w:r>
              <w:rPr>
                <w:rFonts w:ascii="Arial;sans-serif" w:hAnsi="Arial;sans-serif"/>
                <w:b/>
                <w:color w:val="000000"/>
                <w:sz w:val="16"/>
              </w:rPr>
              <w:t>Bonus Achievement Percentage</w:t>
              <w:br/>
              <w:t>(%)</w:t>
            </w:r>
          </w:p>
        </w:tc>
        <w:tc>
          <w:tcPr>
            <w:tcW w:w="2549"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6"/>
              </w:rPr>
            </w:pPr>
            <w:r>
              <w:rPr>
                <w:rFonts w:ascii="Arial;sans-serif" w:hAnsi="Arial;sans-serif"/>
                <w:b/>
                <w:color w:val="000000"/>
                <w:sz w:val="16"/>
              </w:rPr>
              <w:t>Actual Annual Cash Bonus Payment</w:t>
              <w:br/>
              <w:t>($)</w:t>
            </w:r>
          </w:p>
        </w:tc>
        <w:tc>
          <w:tcPr>
            <w:tcW w:w="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9" w:type="dxa"/>
            <w:gridSpan w:val="3"/>
            <w:tcBorders/>
            <w:shd w:fill="EDEDEE"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74A333"/>
                <w:sz w:val="16"/>
              </w:rPr>
            </w:pPr>
            <w:r>
              <w:rPr>
                <w:rFonts w:ascii="Arial;sans-serif" w:hAnsi="Arial;sans-serif"/>
                <w:b/>
                <w:color w:val="74A333"/>
                <w:sz w:val="16"/>
              </w:rPr>
              <w:t>Laura A. Francis</w:t>
            </w:r>
          </w:p>
        </w:tc>
        <w:tc>
          <w:tcPr>
            <w:tcW w:w="1861" w:type="dxa"/>
            <w:gridSpan w:val="2"/>
            <w:tcBorders/>
            <w:shd w:fill="EDEDEE"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586,800 </w:t>
            </w:r>
          </w:p>
        </w:tc>
        <w:tc>
          <w:tcPr>
            <w:tcW w:w="931"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8" w:type="dxa"/>
            <w:gridSpan w:val="2"/>
            <w:tcBorders/>
            <w:shd w:fill="EDEDEE"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109.4 </w:t>
            </w:r>
          </w:p>
        </w:tc>
        <w:tc>
          <w:tcPr>
            <w:tcW w:w="771"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3" w:type="dxa"/>
            <w:gridSpan w:val="2"/>
            <w:tcBorders/>
            <w:shd w:fill="EDEDEE"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641,959 </w:t>
            </w:r>
          </w:p>
        </w:tc>
        <w:tc>
          <w:tcPr>
            <w:tcW w:w="836"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74A333"/>
                <w:sz w:val="16"/>
              </w:rPr>
            </w:pPr>
            <w:r>
              <w:rPr>
                <w:rFonts w:ascii="Arial;sans-serif" w:hAnsi="Arial;sans-serif"/>
                <w:b/>
                <w:color w:val="74A333"/>
                <w:sz w:val="16"/>
              </w:rPr>
              <w:t>Anshul Maheshwari</w:t>
            </w:r>
          </w:p>
        </w:tc>
        <w:tc>
          <w:tcPr>
            <w:tcW w:w="18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255,292 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0"/>
              </w:rPr>
            </w:pPr>
            <w:r>
              <w:rPr>
                <w:rFonts w:ascii="Arial;sans-serif" w:hAnsi="Arial;sans-serif"/>
                <w:b w:val="false"/>
                <w:color w:val="000000"/>
                <w:sz w:val="10"/>
              </w:rPr>
              <w:t>(1)</w:t>
            </w:r>
          </w:p>
        </w:tc>
        <w:tc>
          <w:tcPr>
            <w:tcW w:w="153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109.4 </w:t>
            </w:r>
          </w:p>
        </w:tc>
        <w:tc>
          <w:tcPr>
            <w:tcW w:w="7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279,289 </w:t>
            </w:r>
          </w:p>
        </w:tc>
        <w:tc>
          <w:tcPr>
            <w:tcW w:w="8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0"/>
              </w:rPr>
            </w:pPr>
            <w:r>
              <w:rPr>
                <w:rFonts w:ascii="Arial;sans-serif" w:hAnsi="Arial;sans-serif"/>
                <w:b w:val="false"/>
                <w:color w:val="000000"/>
                <w:sz w:val="10"/>
              </w:rPr>
              <w:t>(2)</w:t>
            </w:r>
          </w:p>
        </w:tc>
      </w:tr>
      <w:tr>
        <w:trPr/>
        <w:tc>
          <w:tcPr>
            <w:tcW w:w="1849" w:type="dxa"/>
            <w:gridSpan w:val="3"/>
            <w:tcBorders>
              <w:bottom w:val="single" w:sz="12" w:space="0" w:color="74A333"/>
            </w:tcBorders>
            <w:shd w:fill="EDEDEE" w:val="clear"/>
            <w:tcMar>
              <w:top w:w="0" w:type="dxa"/>
              <w:left w:w="0" w:type="dxa"/>
              <w:bottom w:w="30" w:type="dxa"/>
              <w:right w:w="0" w:type="dxa"/>
            </w:tcMar>
            <w:vAlign w:val="center"/>
          </w:tcPr>
          <w:p>
            <w:pPr>
              <w:pStyle w:val="TableContents"/>
              <w:bidi w:val="0"/>
              <w:spacing w:lineRule="auto" w:line="288" w:before="0" w:after="283"/>
              <w:jc w:val="left"/>
              <w:rPr>
                <w:rFonts w:ascii="Arial;sans-serif" w:hAnsi="Arial;sans-serif"/>
                <w:b/>
                <w:color w:val="74A333"/>
                <w:sz w:val="16"/>
              </w:rPr>
            </w:pPr>
            <w:r>
              <w:rPr>
                <w:rFonts w:ascii="Arial;sans-serif" w:hAnsi="Arial;sans-serif"/>
                <w:b/>
                <w:color w:val="74A333"/>
                <w:sz w:val="16"/>
              </w:rPr>
              <w:t>Anthony J. Recupero</w:t>
            </w:r>
          </w:p>
        </w:tc>
        <w:tc>
          <w:tcPr>
            <w:tcW w:w="1861" w:type="dxa"/>
            <w:gridSpan w:val="2"/>
            <w:tcBorders>
              <w:bottom w:val="single" w:sz="12" w:space="0" w:color="74A333"/>
            </w:tcBorders>
            <w:shd w:fill="EDEDEE" w:val="clear"/>
            <w:tcMar>
              <w:top w:w="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364,500 </w:t>
            </w:r>
          </w:p>
        </w:tc>
        <w:tc>
          <w:tcPr>
            <w:tcW w:w="931" w:type="dxa"/>
            <w:tcBorders>
              <w:bottom w:val="single" w:sz="12" w:space="0" w:color="74A333"/>
            </w:tcBorders>
            <w:shd w:fill="EDEDEE"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12" w:space="0" w:color="74A333"/>
            </w:tcBorders>
            <w:shd w:fill="EDEDEE"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538" w:type="dxa"/>
            <w:gridSpan w:val="2"/>
            <w:tcBorders>
              <w:bottom w:val="single" w:sz="12" w:space="0" w:color="74A333"/>
            </w:tcBorders>
            <w:shd w:fill="EDEDEE" w:val="clear"/>
            <w:tcMar>
              <w:top w:w="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109.4 </w:t>
            </w:r>
          </w:p>
        </w:tc>
        <w:tc>
          <w:tcPr>
            <w:tcW w:w="771" w:type="dxa"/>
            <w:tcBorders>
              <w:bottom w:val="single" w:sz="12" w:space="0" w:color="74A333"/>
            </w:tcBorders>
            <w:shd w:fill="EDEDEE"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713" w:type="dxa"/>
            <w:gridSpan w:val="2"/>
            <w:tcBorders>
              <w:bottom w:val="single" w:sz="12" w:space="0" w:color="74A333"/>
            </w:tcBorders>
            <w:shd w:fill="EDEDEE" w:val="clear"/>
            <w:tcMar>
              <w:top w:w="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398,763 </w:t>
            </w:r>
          </w:p>
        </w:tc>
        <w:tc>
          <w:tcPr>
            <w:tcW w:w="836" w:type="dxa"/>
            <w:tcBorders>
              <w:bottom w:val="single" w:sz="12" w:space="0" w:color="74A333"/>
            </w:tcBorders>
            <w:shd w:fill="EDEDEE"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9" w:type="dxa"/>
            <w:gridSpan w:val="3"/>
            <w:tcBorders>
              <w:bottom w:val="single" w:sz="12" w:space="0" w:color="74A333"/>
            </w:tcBorders>
            <w:shd w:fill="EDEDEE"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ind w:left="0" w:right="0" w:hanging="360"/>
        <w:jc w:val="left"/>
        <w:rPr>
          <w:rFonts w:ascii="Arial;sans-serif" w:hAnsi="Arial;sans-serif"/>
          <w:b w:val="false"/>
          <w:color w:val="52575F"/>
          <w:sz w:val="16"/>
        </w:rPr>
      </w:pPr>
      <w:r>
        <w:rPr>
          <w:rFonts w:ascii="Arial;sans-serif" w:hAnsi="Arial;sans-serif"/>
          <w:b w:val="false"/>
          <w:color w:val="52575F"/>
          <w:sz w:val="16"/>
        </w:rPr>
        <w:t xml:space="preserve">1.Based on the actual salary paid to Mr. Maheshwari in 2024 of $464,167, including the increase of 4.5% approved in September 2024. </w:t>
      </w:r>
    </w:p>
    <w:p>
      <w:pPr>
        <w:pStyle w:val="TextBody"/>
        <w:bidi w:val="0"/>
        <w:spacing w:lineRule="auto" w:line="288" w:before="0" w:after="300"/>
        <w:ind w:left="0" w:right="0" w:hanging="360"/>
        <w:jc w:val="left"/>
        <w:rPr>
          <w:rFonts w:ascii="Arial;sans-serif" w:hAnsi="Arial;sans-serif"/>
          <w:b w:val="false"/>
          <w:color w:val="52575F"/>
          <w:sz w:val="16"/>
        </w:rPr>
      </w:pPr>
      <w:r>
        <w:rPr>
          <w:rFonts w:ascii="Arial;sans-serif" w:hAnsi="Arial;sans-serif"/>
          <w:b w:val="false"/>
          <w:color w:val="52575F"/>
          <w:sz w:val="16"/>
        </w:rPr>
        <w:t>2.Actual annual bonus payment reflects the higher salary for Mr. Maheshwari as of September 2024 based on expanded responsibilities.</w:t>
      </w:r>
    </w:p>
    <w:p>
      <w:pPr>
        <w:pStyle w:val="TextBody"/>
        <w:bidi w:val="0"/>
        <w:spacing w:lineRule="auto" w:line="312" w:before="0" w:after="180"/>
        <w:jc w:val="left"/>
        <w:rPr>
          <w:rFonts w:ascii="Arial;sans-serif" w:hAnsi="Arial;sans-serif"/>
          <w:b w:val="false"/>
          <w:color w:val="000000"/>
          <w:sz w:val="18"/>
        </w:rPr>
      </w:pPr>
      <w:r>
        <w:rPr>
          <w:rFonts w:ascii="Arial;sans-serif" w:hAnsi="Arial;sans-serif"/>
          <w:b w:val="false"/>
          <w:color w:val="000000"/>
          <w:sz w:val="18"/>
        </w:rPr>
        <w:t>The actual annual cash bonuses paid to our Named Executive Officers for 2024 are also set forth in the “2024 Summary Compensation Table” below.</w:t>
      </w:r>
    </w:p>
    <w:p>
      <w:pPr>
        <w:pStyle w:val="TextBody"/>
        <w:bidi w:val="0"/>
        <w:spacing w:lineRule="auto" w:line="312" w:before="0" w:after="120"/>
        <w:jc w:val="left"/>
        <w:rPr/>
      </w:pPr>
      <w:r>
        <w:rPr>
          <w:rFonts w:ascii="Arial;sans-serif" w:hAnsi="Arial;sans-serif"/>
          <w:b/>
          <w:color w:val="74A333"/>
          <w:sz w:val="18"/>
        </w:rPr>
        <w:t>Long-Term Incentive Compensation</w:t>
      </w:r>
      <w:r>
        <w:rPr>
          <w:color w:val="000000"/>
        </w:rPr>
        <w:t xml:space="preserve"> </w:t>
      </w:r>
    </w:p>
    <w:p>
      <w:pPr>
        <w:pStyle w:val="TextBody"/>
        <w:bidi w:val="0"/>
        <w:spacing w:lineRule="auto" w:line="312" w:before="0" w:after="180"/>
        <w:jc w:val="left"/>
        <w:rPr>
          <w:rFonts w:ascii="Arial;sans-serif" w:hAnsi="Arial;sans-serif"/>
          <w:b w:val="false"/>
          <w:color w:val="000000"/>
          <w:sz w:val="18"/>
        </w:rPr>
      </w:pPr>
      <w:r>
        <w:rPr>
          <w:rFonts w:ascii="Arial;sans-serif" w:hAnsi="Arial;sans-serif"/>
          <w:b w:val="false"/>
          <w:color w:val="000000"/>
          <w:sz w:val="18"/>
        </w:rPr>
        <w:t>We use long-term incentive compensation in the form of equity awards to motivate our executive officers, including our Named Executive Officers, by providing them with the opportunity to build an equity interest in the company and to share in the potential appreciation of the value of our common stock. The Compensation Committee views equity awards, whether the awards are subject to time-based vesting requirements or are to be earned based on the attainment of specific performance objectives, as inherently variable since the grant date fair value of these awards may not necessarily be indicative of their value when, and if, the shares of our common stock underlying these awards are ever earned or vested. The Compensation Committee further believes these awards enable us to attract and retain key talent in our industry and align our executive officers’ interests with the long-term interests of our stockholders.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739140"/>
                <wp:effectExtent l="0" t="0" r="0" b="0"/>
                <wp:wrapNone/>
                <wp:docPr id="58" name="Frame38"/>
                <a:graphic xmlns:a="http://schemas.openxmlformats.org/drawingml/2006/main">
                  <a:graphicData uri="http://schemas.microsoft.com/office/word/2010/wordprocessingShape">
                    <wps:wsp>
                      <wps:cNvSpPr txBox="1"/>
                      <wps:spPr>
                        <a:xfrm>
                          <a:off x="0" y="0"/>
                          <a:ext cx="6480175" cy="739140"/>
                        </a:xfrm>
                        <a:prstGeom prst="rect"/>
                        <a:solidFill>
                          <a:srgbClr val="FFFFFF"/>
                        </a:solidFill>
                      </wps:spPr>
                      <wps:txbx>
                        <w:txbxContent>
                          <w:tbl>
                            <w:tblPr>
                              <w:tblW w:w="3266" w:type="dxa"/>
                              <w:jc w:val="center"/>
                              <w:tblInd w:w="0" w:type="dxa"/>
                              <w:tblLayout w:type="fixed"/>
                              <w:tblCellMar>
                                <w:top w:w="28" w:type="dxa"/>
                                <w:left w:w="28" w:type="dxa"/>
                                <w:bottom w:w="28" w:type="dxa"/>
                                <w:right w:w="28" w:type="dxa"/>
                              </w:tblCellMar>
                            </w:tblPr>
                            <w:tblGrid>
                              <w:gridCol w:w="424"/>
                              <w:gridCol w:w="372"/>
                              <w:gridCol w:w="374"/>
                              <w:gridCol w:w="109"/>
                              <w:gridCol w:w="109"/>
                              <w:gridCol w:w="109"/>
                              <w:gridCol w:w="517"/>
                              <w:gridCol w:w="517"/>
                              <w:gridCol w:w="735"/>
                            </w:tblGrid>
                            <w:tr>
                              <w:trPr/>
                              <w:tc>
                                <w:tcPr>
                                  <w:tcW w:w="424"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r>
                            <w:tr>
                              <w:trPr/>
                              <w:tc>
                                <w:tcPr>
                                  <w:tcW w:w="1170"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6"/>
                                    </w:rPr>
                                  </w:pPr>
                                  <w:r>
                                    <w:rPr>
                                      <w:rFonts w:ascii="Arial;sans-serif" w:hAnsi="Arial;sans-serif"/>
                                      <w:b/>
                                      <w:color w:val="000000"/>
                                      <w:sz w:val="16"/>
                                    </w:rPr>
                                    <w:t>SI-BONE, Inc.</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000000"/>
                                      <w:sz w:val="16"/>
                                    </w:rPr>
                                  </w:pPr>
                                  <w:r>
                                    <w:rPr>
                                      <w:rFonts w:ascii="Arial;sans-serif" w:hAnsi="Arial;sans-serif"/>
                                      <w:b/>
                                      <w:color w:val="000000"/>
                                      <w:sz w:val="16"/>
                                    </w:rPr>
                                    <w:t>33</w:t>
                                  </w:r>
                                </w:p>
                              </w:tc>
                              <w:tc>
                                <w:tcPr>
                                  <w:tcW w:w="176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2025 Proxy Statement</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2pt;mso-wrap-distance-left:0pt;mso-wrap-distance-right:0pt;mso-wrap-distance-top:0pt;mso-wrap-distance-bottom:0pt;margin-top:0pt;mso-position-vertical:top;mso-position-vertical-relative:text;margin-left:0pt;mso-position-horizontal:left;mso-position-horizontal-relative:text">
                <v:textbox>
                  <w:txbxContent>
                    <w:tbl>
                      <w:tblPr>
                        <w:tblW w:w="3266" w:type="dxa"/>
                        <w:jc w:val="center"/>
                        <w:tblInd w:w="0" w:type="dxa"/>
                        <w:tblLayout w:type="fixed"/>
                        <w:tblCellMar>
                          <w:top w:w="28" w:type="dxa"/>
                          <w:left w:w="28" w:type="dxa"/>
                          <w:bottom w:w="28" w:type="dxa"/>
                          <w:right w:w="28" w:type="dxa"/>
                        </w:tblCellMar>
                      </w:tblPr>
                      <w:tblGrid>
                        <w:gridCol w:w="424"/>
                        <w:gridCol w:w="372"/>
                        <w:gridCol w:w="374"/>
                        <w:gridCol w:w="109"/>
                        <w:gridCol w:w="109"/>
                        <w:gridCol w:w="109"/>
                        <w:gridCol w:w="517"/>
                        <w:gridCol w:w="517"/>
                        <w:gridCol w:w="735"/>
                      </w:tblGrid>
                      <w:tr>
                        <w:trPr/>
                        <w:tc>
                          <w:tcPr>
                            <w:tcW w:w="424"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r>
                      <w:tr>
                        <w:trPr/>
                        <w:tc>
                          <w:tcPr>
                            <w:tcW w:w="1170"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6"/>
                              </w:rPr>
                            </w:pPr>
                            <w:r>
                              <w:rPr>
                                <w:rFonts w:ascii="Arial;sans-serif" w:hAnsi="Arial;sans-serif"/>
                                <w:b/>
                                <w:color w:val="000000"/>
                                <w:sz w:val="16"/>
                              </w:rPr>
                              <w:t>SI-BONE, Inc.</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000000"/>
                                <w:sz w:val="16"/>
                              </w:rPr>
                            </w:pPr>
                            <w:r>
                              <w:rPr>
                                <w:rFonts w:ascii="Arial;sans-serif" w:hAnsi="Arial;sans-serif"/>
                                <w:b/>
                                <w:color w:val="000000"/>
                                <w:sz w:val="16"/>
                              </w:rPr>
                              <w:t>33</w:t>
                            </w:r>
                          </w:p>
                        </w:tc>
                        <w:tc>
                          <w:tcPr>
                            <w:tcW w:w="176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2025 Proxy Statement</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right"/>
        <w:rPr>
          <w:rFonts w:ascii="Arial;sans-serif" w:hAnsi="Arial;sans-serif"/>
          <w:b w:val="false"/>
          <w:color w:val="000000"/>
          <w:sz w:val="16"/>
        </w:rPr>
      </w:pPr>
      <w:r>
        <w:rPr>
          <w:rFonts w:ascii="Arial;sans-serif" w:hAnsi="Arial;sans-serif"/>
          <w:b w:val="false"/>
          <w:color w:val="000000"/>
          <w:sz w:val="16"/>
        </w:rPr>
        <w:t>Table of Contents</w:t>
      </w:r>
    </w:p>
    <w:p>
      <w:pPr>
        <w:pStyle w:val="TextBody"/>
        <w:bidi w:val="0"/>
        <w:spacing w:lineRule="auto" w:line="312" w:before="0" w:after="180"/>
        <w:jc w:val="left"/>
        <w:rPr>
          <w:rFonts w:ascii="Arial;sans-serif" w:hAnsi="Arial;sans-serif"/>
          <w:b w:val="false"/>
          <w:color w:val="000000"/>
          <w:sz w:val="18"/>
        </w:rPr>
      </w:pPr>
      <w:r>
        <w:rPr>
          <w:rFonts w:ascii="Arial;sans-serif" w:hAnsi="Arial;sans-serif"/>
          <w:b w:val="false"/>
          <w:color w:val="000000"/>
          <w:sz w:val="18"/>
        </w:rPr>
        <w:t xml:space="preserve">Generally, in determining the size of the equity awards granted to our executive officers, the Compensation Committee takes into consideration the recommendations of our CEO (except with respect to her own equity awards), and other factors, including the comparative awards granted to similar positions at our peer companies, the performance and expected performance of the executive officer, the existing equity holdings of each executive officer, including the current economic value of their unvested equity awards and the ability of these unvested holdings to satisfy our retention objectives, overall market data, and information provided by our compensation consultant. The Compensation Committee also considers the dilutive effect of our long-term incentive compensation practices, and the overall impact that these equity awards, as well as awards to other employees, will have on stockholder value. </w:t>
      </w:r>
    </w:p>
    <w:p>
      <w:pPr>
        <w:pStyle w:val="TextBody"/>
        <w:bidi w:val="0"/>
        <w:spacing w:lineRule="auto" w:line="312" w:before="0" w:after="180"/>
        <w:jc w:val="left"/>
        <w:rPr>
          <w:rFonts w:ascii="Arial;sans-serif" w:hAnsi="Arial;sans-serif"/>
          <w:b w:val="false"/>
          <w:color w:val="000000"/>
          <w:sz w:val="18"/>
        </w:rPr>
      </w:pPr>
      <w:r>
        <w:rPr>
          <w:rFonts w:ascii="Arial;sans-serif" w:hAnsi="Arial;sans-serif"/>
          <w:b w:val="false"/>
          <w:color w:val="000000"/>
          <w:sz w:val="18"/>
        </w:rPr>
        <w:t>In January 2024, the Compensation Committee (our Board of Directors in the case of our CEO) granted equity awards in the form of relative TSR PSU awards and RSU awards to our Named Executive Officers. Further, the Compensation Committee determined Ms. Francis’ 2024 long-term incentive mix would be 50% PSUs and 50% RSUs, and Messrs. Maheshwari and Recupero’s mix would be 25% PSUs and 75% RSUs. The Compensation Committee determined the mix of RSUs and PSUs for each of our Named Executive Officers with reference to market norms and predominant practices among our peer companies. The equity awards granted to our Named Executive Officers in 2024 were as follows:</w:t>
      </w:r>
    </w:p>
    <w:tbl>
      <w:tblPr>
        <w:tblW w:w="8872" w:type="dxa"/>
        <w:jc w:val="left"/>
        <w:tblInd w:w="0" w:type="dxa"/>
        <w:tblLayout w:type="fixed"/>
        <w:tblCellMar>
          <w:top w:w="28" w:type="dxa"/>
          <w:left w:w="28" w:type="dxa"/>
          <w:bottom w:w="28" w:type="dxa"/>
          <w:right w:w="28" w:type="dxa"/>
        </w:tblCellMar>
      </w:tblPr>
      <w:tblGrid>
        <w:gridCol w:w="750"/>
        <w:gridCol w:w="659"/>
        <w:gridCol w:w="661"/>
        <w:gridCol w:w="474"/>
        <w:gridCol w:w="474"/>
        <w:gridCol w:w="476"/>
        <w:gridCol w:w="109"/>
        <w:gridCol w:w="109"/>
        <w:gridCol w:w="109"/>
        <w:gridCol w:w="1003"/>
        <w:gridCol w:w="1003"/>
        <w:gridCol w:w="1008"/>
        <w:gridCol w:w="554"/>
        <w:gridCol w:w="554"/>
        <w:gridCol w:w="557"/>
        <w:gridCol w:w="109"/>
        <w:gridCol w:w="109"/>
        <w:gridCol w:w="154"/>
      </w:tblGrid>
      <w:tr>
        <w:trPr/>
        <w:tc>
          <w:tcPr>
            <w:tcW w:w="750"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3" w:type="dxa"/>
            <w:tcBorders/>
            <w:vAlign w:val="center"/>
          </w:tcPr>
          <w:p>
            <w:pPr>
              <w:pStyle w:val="TableContents"/>
              <w:bidi w:val="0"/>
              <w:spacing w:before="0" w:after="283"/>
              <w:jc w:val="left"/>
              <w:rPr>
                <w:sz w:val="4"/>
                <w:szCs w:val="4"/>
              </w:rPr>
            </w:pPr>
            <w:r>
              <w:rPr>
                <w:sz w:val="4"/>
                <w:szCs w:val="4"/>
              </w:rPr>
            </w:r>
          </w:p>
        </w:tc>
        <w:tc>
          <w:tcPr>
            <w:tcW w:w="1003" w:type="dxa"/>
            <w:tcBorders/>
            <w:vAlign w:val="center"/>
          </w:tcPr>
          <w:p>
            <w:pPr>
              <w:pStyle w:val="TableContents"/>
              <w:bidi w:val="0"/>
              <w:spacing w:before="0" w:after="283"/>
              <w:jc w:val="left"/>
              <w:rPr>
                <w:sz w:val="4"/>
                <w:szCs w:val="4"/>
              </w:rPr>
            </w:pPr>
            <w:r>
              <w:rPr>
                <w:sz w:val="4"/>
                <w:szCs w:val="4"/>
              </w:rPr>
            </w:r>
          </w:p>
        </w:tc>
        <w:tc>
          <w:tcPr>
            <w:tcW w:w="1008"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7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6"/>
              </w:rPr>
            </w:pPr>
            <w:r>
              <w:rPr>
                <w:rFonts w:ascii="Arial;sans-serif" w:hAnsi="Arial;sans-serif"/>
                <w:b/>
                <w:color w:val="000000"/>
                <w:sz w:val="16"/>
              </w:rPr>
              <w:t>Named Executive Officer</w:t>
            </w:r>
          </w:p>
        </w:tc>
        <w:tc>
          <w:tcPr>
            <w:tcW w:w="142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6"/>
              </w:rPr>
            </w:pPr>
            <w:r>
              <w:rPr>
                <w:rFonts w:ascii="Arial;sans-serif" w:hAnsi="Arial;sans-serif"/>
                <w:b/>
                <w:color w:val="000000"/>
                <w:sz w:val="16"/>
              </w:rPr>
              <w:t>Number of RSUs</w:t>
              <w:b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6"/>
              </w:rPr>
            </w:pPr>
            <w:r>
              <w:rPr>
                <w:rFonts w:ascii="Arial;sans-serif" w:hAnsi="Arial;sans-serif"/>
                <w:b/>
                <w:color w:val="000000"/>
                <w:sz w:val="16"/>
              </w:rPr>
              <w:t>Target Number of Relative TSR PSUs</w:t>
              <w:br/>
              <w:t>(#)</w:t>
            </w:r>
          </w:p>
        </w:tc>
        <w:tc>
          <w:tcPr>
            <w:tcW w:w="1665" w:type="dxa"/>
            <w:gridSpan w:val="3"/>
            <w:tcBorders/>
            <w:tcMar>
              <w:top w:w="0" w:type="dxa"/>
              <w:left w:w="0" w:type="dxa"/>
              <w:bottom w:w="0" w:type="dxa"/>
              <w:right w:w="0" w:type="dxa"/>
            </w:tcMar>
            <w:vAlign w:val="center"/>
          </w:tcPr>
          <w:p>
            <w:pPr>
              <w:pStyle w:val="TableContents"/>
              <w:bidi w:val="0"/>
              <w:spacing w:lineRule="auto" w:line="288" w:before="0" w:after="0"/>
              <w:jc w:val="right"/>
              <w:rPr/>
            </w:pPr>
            <w:r>
              <w:rPr>
                <w:rFonts w:ascii="Arial;sans-serif" w:hAnsi="Arial;sans-serif"/>
                <w:b/>
                <w:color w:val="000000"/>
                <w:sz w:val="16"/>
              </w:rPr>
              <w:t>Total Target Value</w:t>
            </w:r>
            <w:r>
              <w:rPr>
                <w:rFonts w:ascii="Arial;sans-serif" w:hAnsi="Arial;sans-serif"/>
                <w:b/>
                <w:color w:val="000000"/>
                <w:sz w:val="10"/>
              </w:rPr>
              <w:t>(1)</w:t>
            </w:r>
          </w:p>
          <w:p>
            <w:pPr>
              <w:pStyle w:val="TableContents"/>
              <w:bidi w:val="0"/>
              <w:spacing w:lineRule="auto" w:line="288" w:before="0" w:after="0"/>
              <w:jc w:val="right"/>
              <w:rPr>
                <w:rFonts w:ascii="Arial;sans-serif" w:hAnsi="Arial;sans-serif"/>
                <w:b/>
                <w:color w:val="000000"/>
                <w:sz w:val="16"/>
              </w:rPr>
            </w:pPr>
            <w:r>
              <w:rPr>
                <w:rFonts w:ascii="Arial;sans-serif" w:hAnsi="Arial;sans-serif"/>
                <w:b/>
                <w:color w:val="000000"/>
                <w:sz w:val="16"/>
              </w:rPr>
              <w:t>($)</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0" w:type="dxa"/>
            <w:gridSpan w:val="3"/>
            <w:tcBorders/>
            <w:shd w:fill="EDEDEE"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74A333"/>
                <w:sz w:val="16"/>
              </w:rPr>
            </w:pPr>
            <w:r>
              <w:rPr>
                <w:rFonts w:ascii="Arial;sans-serif" w:hAnsi="Arial;sans-serif"/>
                <w:b/>
                <w:color w:val="74A333"/>
                <w:sz w:val="16"/>
              </w:rPr>
              <w:t>Laura A. Francis</w:t>
            </w:r>
          </w:p>
        </w:tc>
        <w:tc>
          <w:tcPr>
            <w:tcW w:w="948" w:type="dxa"/>
            <w:gridSpan w:val="2"/>
            <w:tcBorders/>
            <w:shd w:fill="EDEDEE"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100,653 </w:t>
            </w:r>
          </w:p>
        </w:tc>
        <w:tc>
          <w:tcPr>
            <w:tcW w:w="476"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6" w:type="dxa"/>
            <w:gridSpan w:val="2"/>
            <w:tcBorders/>
            <w:shd w:fill="EDEDEE"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100,653 </w:t>
            </w:r>
          </w:p>
        </w:tc>
        <w:tc>
          <w:tcPr>
            <w:tcW w:w="1008"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5" w:type="dxa"/>
            <w:gridSpan w:val="3"/>
            <w:tcBorders/>
            <w:shd w:fill="EDEDEE"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3,700,000</w:t>
            </w:r>
          </w:p>
        </w:tc>
        <w:tc>
          <w:tcPr>
            <w:tcW w:w="372"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74A333"/>
                <w:sz w:val="16"/>
              </w:rPr>
            </w:pPr>
            <w:r>
              <w:rPr>
                <w:rFonts w:ascii="Arial;sans-serif" w:hAnsi="Arial;sans-serif"/>
                <w:b/>
                <w:color w:val="74A333"/>
                <w:sz w:val="16"/>
              </w:rPr>
              <w:t>Anshul Maheshwari</w:t>
            </w:r>
          </w:p>
        </w:tc>
        <w:tc>
          <w:tcPr>
            <w:tcW w:w="94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54,026 </w:t>
            </w:r>
          </w:p>
        </w:tc>
        <w:tc>
          <w:tcPr>
            <w:tcW w:w="4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0"/>
              </w:rPr>
            </w:pPr>
            <w:r>
              <w:rPr>
                <w:rFonts w:ascii="Arial;sans-serif" w:hAnsi="Arial;sans-serif"/>
                <w:b w:val="false"/>
                <w:color w:val="000000"/>
                <w:sz w:val="10"/>
              </w:rPr>
              <w:t>(2)</w:t>
            </w:r>
          </w:p>
        </w:tc>
        <w:tc>
          <w:tcPr>
            <w:tcW w:w="20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17,002 </w:t>
            </w:r>
          </w:p>
        </w:tc>
        <w:tc>
          <w:tcPr>
            <w:tcW w:w="10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1,298,000</w:t>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0" w:type="dxa"/>
            <w:gridSpan w:val="3"/>
            <w:tcBorders>
              <w:bottom w:val="single" w:sz="12" w:space="0" w:color="74A333"/>
            </w:tcBorders>
            <w:shd w:fill="EDEDEE" w:val="clear"/>
            <w:tcMar>
              <w:top w:w="0" w:type="dxa"/>
              <w:left w:w="0" w:type="dxa"/>
              <w:bottom w:w="30" w:type="dxa"/>
              <w:right w:w="0" w:type="dxa"/>
            </w:tcMar>
            <w:vAlign w:val="center"/>
          </w:tcPr>
          <w:p>
            <w:pPr>
              <w:pStyle w:val="TableContents"/>
              <w:bidi w:val="0"/>
              <w:spacing w:lineRule="auto" w:line="288" w:before="0" w:after="283"/>
              <w:jc w:val="left"/>
              <w:rPr>
                <w:rFonts w:ascii="Arial;sans-serif" w:hAnsi="Arial;sans-serif"/>
                <w:b/>
                <w:color w:val="74A333"/>
                <w:sz w:val="16"/>
              </w:rPr>
            </w:pPr>
            <w:r>
              <w:rPr>
                <w:rFonts w:ascii="Arial;sans-serif" w:hAnsi="Arial;sans-serif"/>
                <w:b/>
                <w:color w:val="74A333"/>
                <w:sz w:val="16"/>
              </w:rPr>
              <w:t>Anthony J. Recupero</w:t>
            </w:r>
          </w:p>
        </w:tc>
        <w:tc>
          <w:tcPr>
            <w:tcW w:w="948" w:type="dxa"/>
            <w:gridSpan w:val="2"/>
            <w:tcBorders>
              <w:bottom w:val="single" w:sz="12" w:space="0" w:color="74A333"/>
            </w:tcBorders>
            <w:shd w:fill="EDEDEE" w:val="clear"/>
            <w:tcMar>
              <w:top w:w="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51,007 </w:t>
            </w:r>
          </w:p>
        </w:tc>
        <w:tc>
          <w:tcPr>
            <w:tcW w:w="476" w:type="dxa"/>
            <w:tcBorders>
              <w:bottom w:val="single" w:sz="12" w:space="0" w:color="74A333"/>
            </w:tcBorders>
            <w:shd w:fill="EDEDEE"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12" w:space="0" w:color="74A333"/>
            </w:tcBorders>
            <w:shd w:fill="EDEDEE"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006" w:type="dxa"/>
            <w:gridSpan w:val="2"/>
            <w:tcBorders>
              <w:bottom w:val="single" w:sz="12" w:space="0" w:color="74A333"/>
            </w:tcBorders>
            <w:shd w:fill="EDEDEE" w:val="clear"/>
            <w:tcMar>
              <w:top w:w="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17,002 </w:t>
            </w:r>
          </w:p>
        </w:tc>
        <w:tc>
          <w:tcPr>
            <w:tcW w:w="1008" w:type="dxa"/>
            <w:tcBorders>
              <w:bottom w:val="single" w:sz="12" w:space="0" w:color="74A333"/>
            </w:tcBorders>
            <w:shd w:fill="EDEDEE"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665" w:type="dxa"/>
            <w:gridSpan w:val="3"/>
            <w:tcBorders>
              <w:bottom w:val="single" w:sz="12" w:space="0" w:color="74A333"/>
            </w:tcBorders>
            <w:shd w:fill="EDEDEE" w:val="clear"/>
            <w:tcMar>
              <w:top w:w="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1,250,000</w:t>
            </w:r>
          </w:p>
        </w:tc>
        <w:tc>
          <w:tcPr>
            <w:tcW w:w="372" w:type="dxa"/>
            <w:gridSpan w:val="3"/>
            <w:tcBorders>
              <w:bottom w:val="single" w:sz="12" w:space="0" w:color="74A333"/>
            </w:tcBorders>
            <w:shd w:fill="EDEDEE"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ind w:left="0" w:right="0" w:hanging="360"/>
        <w:jc w:val="left"/>
        <w:rPr>
          <w:rFonts w:ascii="Arial;sans-serif" w:hAnsi="Arial;sans-serif"/>
          <w:b w:val="false"/>
          <w:color w:val="52575F"/>
          <w:sz w:val="16"/>
        </w:rPr>
      </w:pPr>
      <w:r>
        <w:rPr>
          <w:rFonts w:ascii="Arial;sans-serif" w:hAnsi="Arial;sans-serif"/>
          <w:b w:val="false"/>
          <w:color w:val="52575F"/>
          <w:sz w:val="16"/>
        </w:rPr>
        <w:t>1.The amounts reported in this column represent the target value of equity awards made in 2024. The target value assumes the payout of the PSU component at Target or 100%. This differs from the aggregate grant date fair value of awards as computed in accordance with FASB ASC 718 and reported in the “2024 Summary Compensation Table” below. Target values were converted to shares using our 60-trading day average stock price as of December 31, 2024.</w:t>
      </w:r>
    </w:p>
    <w:p>
      <w:pPr>
        <w:pStyle w:val="TextBody"/>
        <w:bidi w:val="0"/>
        <w:spacing w:lineRule="auto" w:line="288" w:before="0" w:after="300"/>
        <w:ind w:left="0" w:right="0" w:hanging="360"/>
        <w:jc w:val="left"/>
        <w:rPr>
          <w:rFonts w:ascii="Arial;sans-serif" w:hAnsi="Arial;sans-serif"/>
          <w:b w:val="false"/>
          <w:color w:val="52575F"/>
          <w:sz w:val="16"/>
        </w:rPr>
      </w:pPr>
      <w:r>
        <w:rPr>
          <w:rFonts w:ascii="Arial;sans-serif" w:hAnsi="Arial;sans-serif"/>
          <w:b w:val="false"/>
          <w:color w:val="52575F"/>
          <w:sz w:val="16"/>
        </w:rPr>
        <w:t>2.The RSU award to Mr. Maheshwari is comprised of 51,007 RSUs granted in January 2024 and 3,019 RSUs granted in September 2024 in conjunction with his expanded responsibilities.</w:t>
      </w:r>
    </w:p>
    <w:p>
      <w:pPr>
        <w:pStyle w:val="TextBody"/>
        <w:bidi w:val="0"/>
        <w:spacing w:lineRule="auto" w:line="312" w:before="0" w:after="180"/>
        <w:jc w:val="left"/>
        <w:rPr>
          <w:rFonts w:ascii="Arial;sans-serif" w:hAnsi="Arial;sans-serif"/>
          <w:b w:val="false"/>
          <w:color w:val="000000"/>
          <w:sz w:val="18"/>
        </w:rPr>
      </w:pPr>
      <w:r>
        <w:rPr>
          <w:rFonts w:ascii="Arial;sans-serif" w:hAnsi="Arial;sans-serif"/>
          <w:b w:val="false"/>
          <w:color w:val="000000"/>
          <w:sz w:val="18"/>
        </w:rPr>
        <w:t xml:space="preserve">The PSU awards are designed to be earned based on our TSR as compared to a group of industry peers in equal tranches over one-, two-, and three-year performance periods. In each period, the target performance is the median of the industry peer group. A maximum payout of 200% of target is earned if the company’s performance exceeds the industry group median by 50 percentage points or more; no payout is earned if the company’s performance trails the industry group median by 50 percentage points or more. </w:t>
      </w:r>
    </w:p>
    <w:tbl>
      <w:tblPr>
        <w:tblW w:w="6101" w:type="dxa"/>
        <w:jc w:val="left"/>
        <w:tblInd w:w="0" w:type="dxa"/>
        <w:tblLayout w:type="fixed"/>
        <w:tblCellMar>
          <w:top w:w="28" w:type="dxa"/>
          <w:left w:w="28" w:type="dxa"/>
          <w:bottom w:w="28" w:type="dxa"/>
          <w:right w:w="28" w:type="dxa"/>
        </w:tblCellMar>
      </w:tblPr>
      <w:tblGrid>
        <w:gridCol w:w="587"/>
        <w:gridCol w:w="516"/>
        <w:gridCol w:w="517"/>
        <w:gridCol w:w="989"/>
        <w:gridCol w:w="989"/>
        <w:gridCol w:w="992"/>
        <w:gridCol w:w="379"/>
        <w:gridCol w:w="379"/>
        <w:gridCol w:w="381"/>
        <w:gridCol w:w="109"/>
        <w:gridCol w:w="109"/>
        <w:gridCol w:w="154"/>
      </w:tblGrid>
      <w:tr>
        <w:trPr/>
        <w:tc>
          <w:tcPr>
            <w:tcW w:w="587"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sz w:val="4"/>
                <w:szCs w:val="4"/>
              </w:rPr>
            </w:pPr>
            <w:r>
              <w:rPr>
                <w:sz w:val="4"/>
                <w:szCs w:val="4"/>
              </w:rPr>
            </w:r>
          </w:p>
        </w:tc>
        <w:tc>
          <w:tcPr>
            <w:tcW w:w="992"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2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6"/>
              </w:rPr>
            </w:pPr>
            <w:r>
              <w:rPr>
                <w:rFonts w:ascii="Arial;sans-serif" w:hAnsi="Arial;sans-serif"/>
                <w:b/>
                <w:color w:val="000000"/>
                <w:sz w:val="16"/>
              </w:rPr>
              <w:t>Achievement Level</w:t>
            </w:r>
          </w:p>
        </w:tc>
        <w:tc>
          <w:tcPr>
            <w:tcW w:w="2970"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Arial;sans-serif" w:hAnsi="Arial;sans-serif"/>
                <w:b/>
                <w:color w:val="000000"/>
                <w:sz w:val="16"/>
              </w:rPr>
            </w:pPr>
            <w:r>
              <w:rPr>
                <w:rFonts w:ascii="Arial;sans-serif" w:hAnsi="Arial;sans-serif"/>
                <w:b/>
                <w:color w:val="000000"/>
                <w:sz w:val="16"/>
              </w:rPr>
              <w:t>Performance</w:t>
            </w:r>
          </w:p>
          <w:p>
            <w:pPr>
              <w:pStyle w:val="TableContents"/>
              <w:bidi w:val="0"/>
              <w:spacing w:lineRule="auto" w:line="288" w:before="0" w:after="0"/>
              <w:jc w:val="right"/>
              <w:rPr/>
            </w:pPr>
            <w:r>
              <w:rPr>
                <w:rFonts w:ascii="Arial;sans-serif" w:hAnsi="Arial;sans-serif"/>
                <w:b/>
                <w:color w:val="000000"/>
                <w:sz w:val="16"/>
              </w:rPr>
              <w:t>(Points vs. 50</w:t>
            </w:r>
            <w:r>
              <w:rPr>
                <w:rFonts w:ascii="Arial;sans-serif" w:hAnsi="Arial;sans-serif"/>
                <w:b/>
                <w:color w:val="000000"/>
                <w:sz w:val="10"/>
              </w:rPr>
              <w:t>th</w:t>
            </w:r>
            <w:r>
              <w:rPr>
                <w:color w:val="000000"/>
              </w:rPr>
              <w:t xml:space="preserve"> </w:t>
            </w:r>
            <w:r>
              <w:rPr>
                <w:rFonts w:ascii="Arial;sans-serif" w:hAnsi="Arial;sans-serif"/>
                <w:b/>
                <w:color w:val="000000"/>
                <w:sz w:val="16"/>
              </w:rPr>
              <w:t>Percentile Company)</w:t>
            </w:r>
          </w:p>
        </w:tc>
        <w:tc>
          <w:tcPr>
            <w:tcW w:w="1139"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6"/>
              </w:rPr>
            </w:pPr>
            <w:r>
              <w:rPr>
                <w:rFonts w:ascii="Arial;sans-serif" w:hAnsi="Arial;sans-serif"/>
                <w:b/>
                <w:color w:val="000000"/>
                <w:sz w:val="16"/>
              </w:rPr>
              <w:t>Payout</w:t>
              <w:br/>
              <w:t>(% of Target)</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0" w:type="dxa"/>
            <w:gridSpan w:val="3"/>
            <w:tcBorders/>
            <w:shd w:fill="EDEDEE"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Maximum</w:t>
            </w:r>
          </w:p>
        </w:tc>
        <w:tc>
          <w:tcPr>
            <w:tcW w:w="2970" w:type="dxa"/>
            <w:gridSpan w:val="3"/>
            <w:tcBorders/>
            <w:shd w:fill="EDEDEE"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xml:space="preserve">≥ </w:t>
            </w:r>
            <w:r>
              <w:rPr>
                <w:rFonts w:ascii="Arial;sans-serif" w:hAnsi="Arial;sans-serif"/>
                <w:b w:val="false"/>
                <w:color w:val="000000"/>
                <w:sz w:val="16"/>
              </w:rPr>
              <w:t>+50 Points</w:t>
            </w:r>
          </w:p>
        </w:tc>
        <w:tc>
          <w:tcPr>
            <w:tcW w:w="758" w:type="dxa"/>
            <w:gridSpan w:val="2"/>
            <w:tcBorders/>
            <w:shd w:fill="EDEDEE"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200 </w:t>
            </w:r>
          </w:p>
        </w:tc>
        <w:tc>
          <w:tcPr>
            <w:tcW w:w="381"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Target</w:t>
            </w:r>
          </w:p>
        </w:tc>
        <w:tc>
          <w:tcPr>
            <w:tcW w:w="297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rPr/>
            </w:pPr>
            <w:r>
              <w:rPr>
                <w:rFonts w:ascii="Arial;sans-serif" w:hAnsi="Arial;sans-serif"/>
                <w:b w:val="false"/>
                <w:color w:val="000000"/>
                <w:sz w:val="16"/>
              </w:rPr>
              <w:t>Equal to 50</w:t>
            </w:r>
            <w:r>
              <w:rPr>
                <w:rFonts w:ascii="Arial;sans-serif" w:hAnsi="Arial;sans-serif"/>
                <w:b w:val="false"/>
                <w:color w:val="000000"/>
                <w:sz w:val="10"/>
              </w:rPr>
              <w:t>th</w:t>
            </w:r>
            <w:r>
              <w:rPr>
                <w:color w:val="000000"/>
              </w:rPr>
              <w:t xml:space="preserve"> </w:t>
            </w:r>
            <w:r>
              <w:rPr>
                <w:rFonts w:ascii="Arial;sans-serif" w:hAnsi="Arial;sans-serif"/>
                <w:b w:val="false"/>
                <w:color w:val="000000"/>
                <w:sz w:val="16"/>
              </w:rPr>
              <w:t>percentile company</w:t>
            </w:r>
          </w:p>
        </w:tc>
        <w:tc>
          <w:tcPr>
            <w:tcW w:w="75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100 </w:t>
            </w:r>
          </w:p>
        </w:tc>
        <w:tc>
          <w:tcPr>
            <w:tcW w:w="3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0" w:type="dxa"/>
            <w:gridSpan w:val="3"/>
            <w:tcBorders>
              <w:bottom w:val="single" w:sz="12" w:space="0" w:color="74A333"/>
            </w:tcBorders>
            <w:shd w:fill="EDEDEE" w:val="clear"/>
            <w:tcMar>
              <w:top w:w="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Threshold</w:t>
            </w:r>
          </w:p>
        </w:tc>
        <w:tc>
          <w:tcPr>
            <w:tcW w:w="2970" w:type="dxa"/>
            <w:gridSpan w:val="3"/>
            <w:tcBorders>
              <w:bottom w:val="single" w:sz="12" w:space="0" w:color="74A333"/>
            </w:tcBorders>
            <w:shd w:fill="EDEDEE" w:val="clear"/>
            <w:tcMar>
              <w:top w:w="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r>
              <w:rPr>
                <w:rFonts w:ascii="Arial;sans-serif" w:hAnsi="Arial;sans-serif"/>
                <w:b w:val="false"/>
                <w:color w:val="000000"/>
                <w:sz w:val="16"/>
              </w:rPr>
              <w:t>-50 Points</w:t>
            </w:r>
          </w:p>
        </w:tc>
        <w:tc>
          <w:tcPr>
            <w:tcW w:w="758" w:type="dxa"/>
            <w:gridSpan w:val="2"/>
            <w:tcBorders>
              <w:bottom w:val="single" w:sz="12" w:space="0" w:color="74A333"/>
            </w:tcBorders>
            <w:shd w:fill="EDEDEE" w:val="clear"/>
            <w:tcMar>
              <w:top w:w="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381" w:type="dxa"/>
            <w:tcBorders>
              <w:bottom w:val="single" w:sz="12" w:space="0" w:color="74A333"/>
            </w:tcBorders>
            <w:shd w:fill="EDEDEE"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bottom w:val="single" w:sz="12" w:space="0" w:color="74A333"/>
            </w:tcBorders>
            <w:shd w:fill="EDEDEE"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12" w:before="0" w:after="180"/>
        <w:jc w:val="left"/>
        <w:rPr>
          <w:rFonts w:ascii="Arial;sans-serif" w:hAnsi="Arial;sans-serif"/>
          <w:b w:val="false"/>
          <w:color w:val="000000"/>
          <w:sz w:val="18"/>
        </w:rPr>
      </w:pPr>
      <w:r>
        <w:rPr>
          <w:rFonts w:ascii="Arial;sans-serif" w:hAnsi="Arial;sans-serif"/>
          <w:b w:val="false"/>
          <w:color w:val="000000"/>
          <w:sz w:val="18"/>
        </w:rPr>
        <w:t>The 2024 PSUs include interim payout opportunities after the end of the first and second years of the three-year performance period. The first interim payout opportunity is capped at one-third of the target level payout for the PSUs, while up to 200% of the target shares associated with the second-year performance period may be earned following that performance period, based on relative TSR performance and continued service through the end of the relevant year. Up to 200% of the total target shares under the whole award may be earned after the conclusion of the three-year performance period based on relative TSR performance through the end of the three-year performance period, less any shares previously earned and paid out for the first and second interim periods.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739140"/>
                <wp:effectExtent l="0" t="0" r="0" b="0"/>
                <wp:wrapNone/>
                <wp:docPr id="59" name="Frame39"/>
                <a:graphic xmlns:a="http://schemas.openxmlformats.org/drawingml/2006/main">
                  <a:graphicData uri="http://schemas.microsoft.com/office/word/2010/wordprocessingShape">
                    <wps:wsp>
                      <wps:cNvSpPr txBox="1"/>
                      <wps:spPr>
                        <a:xfrm>
                          <a:off x="0" y="0"/>
                          <a:ext cx="6480175" cy="739140"/>
                        </a:xfrm>
                        <a:prstGeom prst="rect"/>
                        <a:solidFill>
                          <a:srgbClr val="FFFFFF"/>
                        </a:solidFill>
                      </wps:spPr>
                      <wps:txbx>
                        <w:txbxContent>
                          <w:tbl>
                            <w:tblPr>
                              <w:tblW w:w="3266" w:type="dxa"/>
                              <w:jc w:val="center"/>
                              <w:tblInd w:w="0" w:type="dxa"/>
                              <w:tblLayout w:type="fixed"/>
                              <w:tblCellMar>
                                <w:top w:w="28" w:type="dxa"/>
                                <w:left w:w="28" w:type="dxa"/>
                                <w:bottom w:w="28" w:type="dxa"/>
                                <w:right w:w="28" w:type="dxa"/>
                              </w:tblCellMar>
                            </w:tblPr>
                            <w:tblGrid>
                              <w:gridCol w:w="424"/>
                              <w:gridCol w:w="372"/>
                              <w:gridCol w:w="374"/>
                              <w:gridCol w:w="109"/>
                              <w:gridCol w:w="109"/>
                              <w:gridCol w:w="109"/>
                              <w:gridCol w:w="517"/>
                              <w:gridCol w:w="517"/>
                              <w:gridCol w:w="735"/>
                            </w:tblGrid>
                            <w:tr>
                              <w:trPr/>
                              <w:tc>
                                <w:tcPr>
                                  <w:tcW w:w="424"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r>
                            <w:tr>
                              <w:trPr/>
                              <w:tc>
                                <w:tcPr>
                                  <w:tcW w:w="1170"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6"/>
                                    </w:rPr>
                                  </w:pPr>
                                  <w:r>
                                    <w:rPr>
                                      <w:rFonts w:ascii="Arial;sans-serif" w:hAnsi="Arial;sans-serif"/>
                                      <w:b/>
                                      <w:color w:val="000000"/>
                                      <w:sz w:val="16"/>
                                    </w:rPr>
                                    <w:t>SI-BONE, Inc.</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000000"/>
                                      <w:sz w:val="16"/>
                                    </w:rPr>
                                  </w:pPr>
                                  <w:r>
                                    <w:rPr>
                                      <w:rFonts w:ascii="Arial;sans-serif" w:hAnsi="Arial;sans-serif"/>
                                      <w:b/>
                                      <w:color w:val="000000"/>
                                      <w:sz w:val="16"/>
                                    </w:rPr>
                                    <w:t>34</w:t>
                                  </w:r>
                                </w:p>
                              </w:tc>
                              <w:tc>
                                <w:tcPr>
                                  <w:tcW w:w="176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2025 Proxy Statement</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2pt;mso-wrap-distance-left:0pt;mso-wrap-distance-right:0pt;mso-wrap-distance-top:0pt;mso-wrap-distance-bottom:0pt;margin-top:0pt;mso-position-vertical:top;mso-position-vertical-relative:text;margin-left:0pt;mso-position-horizontal:left;mso-position-horizontal-relative:text">
                <v:textbox>
                  <w:txbxContent>
                    <w:tbl>
                      <w:tblPr>
                        <w:tblW w:w="3266" w:type="dxa"/>
                        <w:jc w:val="center"/>
                        <w:tblInd w:w="0" w:type="dxa"/>
                        <w:tblLayout w:type="fixed"/>
                        <w:tblCellMar>
                          <w:top w:w="28" w:type="dxa"/>
                          <w:left w:w="28" w:type="dxa"/>
                          <w:bottom w:w="28" w:type="dxa"/>
                          <w:right w:w="28" w:type="dxa"/>
                        </w:tblCellMar>
                      </w:tblPr>
                      <w:tblGrid>
                        <w:gridCol w:w="424"/>
                        <w:gridCol w:w="372"/>
                        <w:gridCol w:w="374"/>
                        <w:gridCol w:w="109"/>
                        <w:gridCol w:w="109"/>
                        <w:gridCol w:w="109"/>
                        <w:gridCol w:w="517"/>
                        <w:gridCol w:w="517"/>
                        <w:gridCol w:w="735"/>
                      </w:tblGrid>
                      <w:tr>
                        <w:trPr/>
                        <w:tc>
                          <w:tcPr>
                            <w:tcW w:w="424"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r>
                      <w:tr>
                        <w:trPr/>
                        <w:tc>
                          <w:tcPr>
                            <w:tcW w:w="1170"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6"/>
                              </w:rPr>
                            </w:pPr>
                            <w:r>
                              <w:rPr>
                                <w:rFonts w:ascii="Arial;sans-serif" w:hAnsi="Arial;sans-serif"/>
                                <w:b/>
                                <w:color w:val="000000"/>
                                <w:sz w:val="16"/>
                              </w:rPr>
                              <w:t>SI-BONE, Inc.</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000000"/>
                                <w:sz w:val="16"/>
                              </w:rPr>
                            </w:pPr>
                            <w:r>
                              <w:rPr>
                                <w:rFonts w:ascii="Arial;sans-serif" w:hAnsi="Arial;sans-serif"/>
                                <w:b/>
                                <w:color w:val="000000"/>
                                <w:sz w:val="16"/>
                              </w:rPr>
                              <w:t>34</w:t>
                            </w:r>
                          </w:p>
                        </w:tc>
                        <w:tc>
                          <w:tcPr>
                            <w:tcW w:w="176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2025 Proxy Statement</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right"/>
        <w:rPr>
          <w:rFonts w:ascii="Arial;sans-serif" w:hAnsi="Arial;sans-serif"/>
          <w:b w:val="false"/>
          <w:color w:val="000000"/>
          <w:sz w:val="16"/>
        </w:rPr>
      </w:pPr>
      <w:r>
        <w:rPr>
          <w:rFonts w:ascii="Arial;sans-serif" w:hAnsi="Arial;sans-serif"/>
          <w:b w:val="false"/>
          <w:color w:val="000000"/>
          <w:sz w:val="16"/>
        </w:rPr>
        <w:t>Table of Contents</w:t>
      </w:r>
    </w:p>
    <w:p>
      <w:pPr>
        <w:pStyle w:val="TextBody"/>
        <w:bidi w:val="0"/>
        <w:spacing w:before="0" w:after="180"/>
        <w:jc w:val="center"/>
        <w:rPr/>
      </w:pPr>
      <w:r>
        <w:rPr/>
        <w:drawing>
          <wp:inline distT="0" distB="0" distL="0" distR="0">
            <wp:extent cx="6305550" cy="3381375"/>
            <wp:effectExtent l="0" t="0" r="0" b="0"/>
            <wp:docPr id="60"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 name="Image21" descr=""/>
                    <pic:cNvPicPr>
                      <a:picLocks noChangeAspect="1" noChangeArrowheads="1"/>
                    </pic:cNvPicPr>
                  </pic:nvPicPr>
                  <pic:blipFill>
                    <a:blip r:embed="rId22"/>
                    <a:stretch>
                      <a:fillRect/>
                    </a:stretch>
                  </pic:blipFill>
                  <pic:spPr bwMode="auto">
                    <a:xfrm>
                      <a:off x="0" y="0"/>
                      <a:ext cx="6305550" cy="3381375"/>
                    </a:xfrm>
                    <a:prstGeom prst="rect">
                      <a:avLst/>
                    </a:prstGeom>
                  </pic:spPr>
                </pic:pic>
              </a:graphicData>
            </a:graphic>
          </wp:inline>
        </w:drawing>
      </w:r>
    </w:p>
    <w:p>
      <w:pPr>
        <w:pStyle w:val="TextBody"/>
        <w:bidi w:val="0"/>
        <w:spacing w:lineRule="auto" w:line="312" w:before="0" w:after="180"/>
        <w:jc w:val="left"/>
        <w:rPr>
          <w:rFonts w:ascii="Arial;sans-serif" w:hAnsi="Arial;sans-serif"/>
          <w:b w:val="false"/>
          <w:color w:val="000000"/>
          <w:sz w:val="18"/>
        </w:rPr>
      </w:pPr>
      <w:r>
        <w:rPr>
          <w:rFonts w:ascii="Arial;sans-serif" w:hAnsi="Arial;sans-serif"/>
          <w:b w:val="false"/>
          <w:color w:val="000000"/>
          <w:sz w:val="18"/>
        </w:rPr>
        <w:t>The group of relative TSR industry peers was selected using objective criteria determined in advance of the start of the performance period. For the 2024 awards, the Compensation Committee determined to include constituents of the S&amp;P Healthcare Equipment Select Index and other executive compensation peers with market cap between ~0.25x and ~4.0x SI-BONE.</w:t>
      </w:r>
    </w:p>
    <w:p>
      <w:pPr>
        <w:pStyle w:val="TextBody"/>
        <w:bidi w:val="0"/>
        <w:spacing w:lineRule="auto" w:line="312" w:before="0" w:after="180"/>
        <w:jc w:val="left"/>
        <w:rPr>
          <w:rFonts w:ascii="Arial;sans-serif" w:hAnsi="Arial;sans-serif"/>
          <w:b w:val="false"/>
          <w:color w:val="000000"/>
          <w:sz w:val="18"/>
        </w:rPr>
      </w:pPr>
      <w:r>
        <w:rPr>
          <w:rFonts w:ascii="Arial;sans-serif" w:hAnsi="Arial;sans-serif"/>
          <w:b w:val="false"/>
          <w:color w:val="000000"/>
          <w:sz w:val="18"/>
        </w:rPr>
        <w:t>The RSU awards granted to our Named Executive Officers in January 2024 were subject to a time-based vesting requirement providing that these awards are to vest quarterly over four years, assuming the continued service of the executive officers on each such vesting date.</w:t>
      </w:r>
    </w:p>
    <w:p>
      <w:pPr>
        <w:pStyle w:val="TextBody"/>
        <w:bidi w:val="0"/>
        <w:spacing w:lineRule="auto" w:line="312" w:before="0" w:after="120"/>
        <w:jc w:val="left"/>
        <w:rPr>
          <w:rFonts w:ascii="Arial;sans-serif" w:hAnsi="Arial;sans-serif"/>
          <w:b/>
          <w:color w:val="74A333"/>
          <w:sz w:val="18"/>
        </w:rPr>
      </w:pPr>
      <w:r>
        <w:rPr>
          <w:rFonts w:ascii="Arial;sans-serif" w:hAnsi="Arial;sans-serif"/>
          <w:b/>
          <w:color w:val="74A333"/>
          <w:sz w:val="18"/>
        </w:rPr>
        <w:t>Earned PSU Awards</w:t>
      </w:r>
    </w:p>
    <w:p>
      <w:pPr>
        <w:pStyle w:val="TextBody"/>
        <w:bidi w:val="0"/>
        <w:spacing w:lineRule="auto" w:line="312" w:before="0" w:after="180"/>
        <w:jc w:val="left"/>
        <w:rPr>
          <w:rFonts w:ascii="Arial;sans-serif" w:hAnsi="Arial;sans-serif"/>
          <w:b w:val="false"/>
          <w:color w:val="000000"/>
          <w:sz w:val="18"/>
        </w:rPr>
      </w:pPr>
      <w:r>
        <w:rPr>
          <w:rFonts w:ascii="Arial;sans-serif" w:hAnsi="Arial;sans-serif"/>
          <w:b w:val="false"/>
          <w:color w:val="000000"/>
          <w:sz w:val="18"/>
        </w:rPr>
        <w:t xml:space="preserve">As noted above, the PSUs include an interim payout opportunity after the end of the first and second years of the three-year performance period. Shares associated with the one-year performance period (one-third of total shares) are capped at the target level payout, while shares associated with the two-year performance period (one-third of total shares) may be earned at up to 200% of the target level payout, based on relative TSR performance and continued service through the end of each applicable year. </w:t>
      </w:r>
    </w:p>
    <w:p>
      <w:pPr>
        <w:pStyle w:val="TextBody"/>
        <w:bidi w:val="0"/>
        <w:spacing w:lineRule="auto" w:line="312" w:before="0" w:after="180"/>
        <w:jc w:val="left"/>
        <w:rPr>
          <w:rFonts w:ascii="Arial;sans-serif" w:hAnsi="Arial;sans-serif"/>
          <w:b w:val="false"/>
          <w:color w:val="000000"/>
          <w:sz w:val="18"/>
        </w:rPr>
      </w:pPr>
      <w:r>
        <w:rPr>
          <w:rFonts w:ascii="Arial;sans-serif" w:hAnsi="Arial;sans-serif"/>
          <w:b w:val="false"/>
          <w:color w:val="000000"/>
          <w:sz w:val="18"/>
        </w:rPr>
        <w:t>For the first year covered by the 2024 PSUs we underperformed on a TSR basis the median issuer in our designated TSR industry peer group, resulting in payout of 47%. For the second year covered by the 2023 PSUs, we outperformed on a TSR basis the median issuer in our designated TSR industry peer group, resulting in payouts of 139% of target for FY23 Tranche Two. For the third year covered by the 2022 PSUs, we also outperformed on a TSR basis the median issuer in our designated TSR industry peer group, resulting in a 146% payout.</w:t>
      </w:r>
    </w:p>
    <w:tbl>
      <w:tblPr>
        <w:tblW w:w="6190" w:type="dxa"/>
        <w:jc w:val="left"/>
        <w:tblInd w:w="0" w:type="dxa"/>
        <w:tblLayout w:type="fixed"/>
        <w:tblCellMar>
          <w:top w:w="28" w:type="dxa"/>
          <w:left w:w="28" w:type="dxa"/>
          <w:bottom w:w="28" w:type="dxa"/>
          <w:right w:w="28" w:type="dxa"/>
        </w:tblCellMar>
      </w:tblPr>
      <w:tblGrid>
        <w:gridCol w:w="477"/>
        <w:gridCol w:w="420"/>
        <w:gridCol w:w="422"/>
        <w:gridCol w:w="1034"/>
        <w:gridCol w:w="1034"/>
        <w:gridCol w:w="1037"/>
        <w:gridCol w:w="464"/>
        <w:gridCol w:w="464"/>
        <w:gridCol w:w="466"/>
        <w:gridCol w:w="109"/>
        <w:gridCol w:w="109"/>
        <w:gridCol w:w="154"/>
      </w:tblGrid>
      <w:tr>
        <w:trPr/>
        <w:tc>
          <w:tcPr>
            <w:tcW w:w="477"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422" w:type="dxa"/>
            <w:tcBorders/>
            <w:vAlign w:val="center"/>
          </w:tcPr>
          <w:p>
            <w:pPr>
              <w:pStyle w:val="TableContents"/>
              <w:bidi w:val="0"/>
              <w:spacing w:before="0" w:after="283"/>
              <w:jc w:val="left"/>
              <w:rPr>
                <w:sz w:val="4"/>
                <w:szCs w:val="4"/>
              </w:rPr>
            </w:pPr>
            <w:r>
              <w:rPr>
                <w:sz w:val="4"/>
                <w:szCs w:val="4"/>
              </w:rPr>
            </w:r>
          </w:p>
        </w:tc>
        <w:tc>
          <w:tcPr>
            <w:tcW w:w="1034" w:type="dxa"/>
            <w:tcBorders/>
            <w:vAlign w:val="center"/>
          </w:tcPr>
          <w:p>
            <w:pPr>
              <w:pStyle w:val="TableContents"/>
              <w:bidi w:val="0"/>
              <w:spacing w:before="0" w:after="283"/>
              <w:jc w:val="left"/>
              <w:rPr>
                <w:sz w:val="4"/>
                <w:szCs w:val="4"/>
              </w:rPr>
            </w:pPr>
            <w:r>
              <w:rPr>
                <w:sz w:val="4"/>
                <w:szCs w:val="4"/>
              </w:rPr>
            </w:r>
          </w:p>
        </w:tc>
        <w:tc>
          <w:tcPr>
            <w:tcW w:w="1034" w:type="dxa"/>
            <w:tcBorders/>
            <w:vAlign w:val="center"/>
          </w:tcPr>
          <w:p>
            <w:pPr>
              <w:pStyle w:val="TableContents"/>
              <w:bidi w:val="0"/>
              <w:spacing w:before="0" w:after="283"/>
              <w:jc w:val="left"/>
              <w:rPr>
                <w:sz w:val="4"/>
                <w:szCs w:val="4"/>
              </w:rPr>
            </w:pPr>
            <w:r>
              <w:rPr>
                <w:sz w:val="4"/>
                <w:szCs w:val="4"/>
              </w:rPr>
            </w:r>
          </w:p>
        </w:tc>
        <w:tc>
          <w:tcPr>
            <w:tcW w:w="1037"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1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6"/>
              </w:rPr>
            </w:pPr>
            <w:r>
              <w:rPr>
                <w:rFonts w:ascii="Arial;sans-serif" w:hAnsi="Arial;sans-serif"/>
                <w:b/>
                <w:color w:val="000000"/>
                <w:sz w:val="16"/>
              </w:rPr>
              <w:t>Award Tranche</w:t>
            </w:r>
          </w:p>
        </w:tc>
        <w:tc>
          <w:tcPr>
            <w:tcW w:w="3105"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6"/>
              </w:rPr>
            </w:pPr>
            <w:r>
              <w:rPr>
                <w:rFonts w:ascii="Arial;sans-serif" w:hAnsi="Arial;sans-serif"/>
                <w:b/>
                <w:color w:val="000000"/>
                <w:sz w:val="16"/>
              </w:rPr>
              <w:t>SI-BONE TSR Performance vs. Median</w:t>
            </w:r>
          </w:p>
        </w:tc>
        <w:tc>
          <w:tcPr>
            <w:tcW w:w="139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6"/>
              </w:rPr>
            </w:pPr>
            <w:r>
              <w:rPr>
                <w:rFonts w:ascii="Arial;sans-serif" w:hAnsi="Arial;sans-serif"/>
                <w:b/>
                <w:color w:val="000000"/>
                <w:sz w:val="16"/>
              </w:rPr>
              <w:t xml:space="preserve">Tranche Payout </w:t>
              <w:br/>
              <w:t>(% of Target)</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19" w:type="dxa"/>
            <w:gridSpan w:val="3"/>
            <w:tcBorders/>
            <w:shd w:fill="EDEDEE"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FY24 Tranche 1</w:t>
            </w:r>
          </w:p>
        </w:tc>
        <w:tc>
          <w:tcPr>
            <w:tcW w:w="3105" w:type="dxa"/>
            <w:gridSpan w:val="3"/>
            <w:tcBorders/>
            <w:shd w:fill="EDEDEE" w:val="clear"/>
            <w:tcMar>
              <w:top w:w="0" w:type="dxa"/>
              <w:left w:w="0" w:type="dxa"/>
              <w:bottom w:w="0" w:type="dxa"/>
              <w:right w:w="0" w:type="dxa"/>
            </w:tcMar>
            <w:vAlign w:val="center"/>
          </w:tcPr>
          <w:p>
            <w:pPr>
              <w:pStyle w:val="TableContents"/>
              <w:bidi w:val="0"/>
              <w:spacing w:lineRule="auto" w:line="288" w:before="0" w:after="0"/>
              <w:jc w:val="right"/>
              <w:rPr>
                <w:color w:val="000000"/>
              </w:rPr>
            </w:pPr>
            <w:r>
              <w:rPr>
                <w:color w:val="000000"/>
              </w:rPr>
              <w:t>  </w:t>
            </w:r>
            <w:r>
              <w:rPr>
                <w:rFonts w:ascii="Arial;sans-serif" w:hAnsi="Arial;sans-serif"/>
                <w:b w:val="false"/>
                <w:color w:val="000000"/>
                <w:sz w:val="16"/>
              </w:rPr>
              <w:t>-28 Points</w:t>
            </w:r>
          </w:p>
        </w:tc>
        <w:tc>
          <w:tcPr>
            <w:tcW w:w="928" w:type="dxa"/>
            <w:gridSpan w:val="2"/>
            <w:tcBorders/>
            <w:shd w:fill="EDEDEE"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47 </w:t>
            </w:r>
          </w:p>
        </w:tc>
        <w:tc>
          <w:tcPr>
            <w:tcW w:w="466"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1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FY23 Tranche 2</w:t>
            </w:r>
          </w:p>
        </w:tc>
        <w:tc>
          <w:tcPr>
            <w:tcW w:w="310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rPr>
                <w:color w:val="000000"/>
              </w:rPr>
            </w:pPr>
            <w:r>
              <w:rPr>
                <w:color w:val="000000"/>
              </w:rPr>
              <w:t>  </w:t>
            </w:r>
            <w:r>
              <w:rPr>
                <w:rFonts w:ascii="Arial;sans-serif" w:hAnsi="Arial;sans-serif"/>
                <w:b w:val="false"/>
                <w:color w:val="000000"/>
                <w:sz w:val="16"/>
              </w:rPr>
              <w:t>+33 Points</w:t>
            </w:r>
          </w:p>
        </w:tc>
        <w:tc>
          <w:tcPr>
            <w:tcW w:w="92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139 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19" w:type="dxa"/>
            <w:gridSpan w:val="3"/>
            <w:tcBorders>
              <w:bottom w:val="single" w:sz="12" w:space="0" w:color="74A333"/>
            </w:tcBorders>
            <w:shd w:fill="EDEDEE" w:val="clear"/>
            <w:tcMar>
              <w:top w:w="0" w:type="dxa"/>
              <w:left w:w="0" w:type="dxa"/>
              <w:bottom w:w="30" w:type="dxa"/>
              <w:right w:w="0" w:type="dxa"/>
            </w:tcMar>
            <w:vAlign w:val="center"/>
          </w:tcPr>
          <w:p>
            <w:pPr>
              <w:pStyle w:val="TableContents"/>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FY22 Tranche 3</w:t>
            </w:r>
          </w:p>
        </w:tc>
        <w:tc>
          <w:tcPr>
            <w:tcW w:w="3105" w:type="dxa"/>
            <w:gridSpan w:val="3"/>
            <w:tcBorders>
              <w:bottom w:val="single" w:sz="12" w:space="0" w:color="74A333"/>
            </w:tcBorders>
            <w:shd w:fill="EDEDEE" w:val="clear"/>
            <w:tcMar>
              <w:top w:w="0" w:type="dxa"/>
              <w:left w:w="0" w:type="dxa"/>
              <w:bottom w:w="30" w:type="dxa"/>
              <w:right w:w="0" w:type="dxa"/>
            </w:tcMar>
            <w:vAlign w:val="center"/>
          </w:tcPr>
          <w:p>
            <w:pPr>
              <w:pStyle w:val="TableContents"/>
              <w:bidi w:val="0"/>
              <w:spacing w:lineRule="auto" w:line="288" w:before="0" w:after="0"/>
              <w:jc w:val="right"/>
              <w:rPr>
                <w:color w:val="000000"/>
              </w:rPr>
            </w:pPr>
            <w:r>
              <w:rPr>
                <w:color w:val="000000"/>
              </w:rPr>
              <w:t>  </w:t>
            </w:r>
            <w:r>
              <w:rPr>
                <w:rFonts w:ascii="Arial;sans-serif" w:hAnsi="Arial;sans-serif"/>
                <w:b w:val="false"/>
                <w:color w:val="000000"/>
                <w:sz w:val="16"/>
              </w:rPr>
              <w:t>+33 Points</w:t>
            </w:r>
          </w:p>
        </w:tc>
        <w:tc>
          <w:tcPr>
            <w:tcW w:w="928" w:type="dxa"/>
            <w:gridSpan w:val="2"/>
            <w:tcBorders>
              <w:bottom w:val="single" w:sz="12" w:space="0" w:color="74A333"/>
            </w:tcBorders>
            <w:shd w:fill="EDEDEE" w:val="clear"/>
            <w:tcMar>
              <w:top w:w="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146 </w:t>
            </w:r>
          </w:p>
        </w:tc>
        <w:tc>
          <w:tcPr>
            <w:tcW w:w="466" w:type="dxa"/>
            <w:tcBorders>
              <w:bottom w:val="single" w:sz="12" w:space="0" w:color="74A333"/>
            </w:tcBorders>
            <w:shd w:fill="EDEDEE"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bottom w:val="single" w:sz="12" w:space="0" w:color="74A333"/>
            </w:tcBorders>
            <w:shd w:fill="EDEDEE"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739140"/>
                <wp:effectExtent l="0" t="0" r="0" b="0"/>
                <wp:wrapNone/>
                <wp:docPr id="61" name="Frame40"/>
                <a:graphic xmlns:a="http://schemas.openxmlformats.org/drawingml/2006/main">
                  <a:graphicData uri="http://schemas.microsoft.com/office/word/2010/wordprocessingShape">
                    <wps:wsp>
                      <wps:cNvSpPr txBox="1"/>
                      <wps:spPr>
                        <a:xfrm>
                          <a:off x="0" y="0"/>
                          <a:ext cx="6480175" cy="739140"/>
                        </a:xfrm>
                        <a:prstGeom prst="rect"/>
                        <a:solidFill>
                          <a:srgbClr val="FFFFFF"/>
                        </a:solidFill>
                      </wps:spPr>
                      <wps:txbx>
                        <w:txbxContent>
                          <w:tbl>
                            <w:tblPr>
                              <w:tblW w:w="3266" w:type="dxa"/>
                              <w:jc w:val="center"/>
                              <w:tblInd w:w="0" w:type="dxa"/>
                              <w:tblLayout w:type="fixed"/>
                              <w:tblCellMar>
                                <w:top w:w="28" w:type="dxa"/>
                                <w:left w:w="28" w:type="dxa"/>
                                <w:bottom w:w="28" w:type="dxa"/>
                                <w:right w:w="28" w:type="dxa"/>
                              </w:tblCellMar>
                            </w:tblPr>
                            <w:tblGrid>
                              <w:gridCol w:w="424"/>
                              <w:gridCol w:w="372"/>
                              <w:gridCol w:w="374"/>
                              <w:gridCol w:w="109"/>
                              <w:gridCol w:w="109"/>
                              <w:gridCol w:w="109"/>
                              <w:gridCol w:w="517"/>
                              <w:gridCol w:w="517"/>
                              <w:gridCol w:w="735"/>
                            </w:tblGrid>
                            <w:tr>
                              <w:trPr/>
                              <w:tc>
                                <w:tcPr>
                                  <w:tcW w:w="424"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r>
                            <w:tr>
                              <w:trPr/>
                              <w:tc>
                                <w:tcPr>
                                  <w:tcW w:w="1170"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6"/>
                                    </w:rPr>
                                  </w:pPr>
                                  <w:r>
                                    <w:rPr>
                                      <w:rFonts w:ascii="Arial;sans-serif" w:hAnsi="Arial;sans-serif"/>
                                      <w:b/>
                                      <w:color w:val="000000"/>
                                      <w:sz w:val="16"/>
                                    </w:rPr>
                                    <w:t>SI-BONE, Inc.</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000000"/>
                                      <w:sz w:val="16"/>
                                    </w:rPr>
                                  </w:pPr>
                                  <w:r>
                                    <w:rPr>
                                      <w:rFonts w:ascii="Arial;sans-serif" w:hAnsi="Arial;sans-serif"/>
                                      <w:b/>
                                      <w:color w:val="000000"/>
                                      <w:sz w:val="16"/>
                                    </w:rPr>
                                    <w:t>35</w:t>
                                  </w:r>
                                </w:p>
                              </w:tc>
                              <w:tc>
                                <w:tcPr>
                                  <w:tcW w:w="176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2025 Proxy Statement</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2pt;mso-wrap-distance-left:0pt;mso-wrap-distance-right:0pt;mso-wrap-distance-top:0pt;mso-wrap-distance-bottom:0pt;margin-top:0pt;mso-position-vertical:top;mso-position-vertical-relative:text;margin-left:0pt;mso-position-horizontal:left;mso-position-horizontal-relative:text">
                <v:textbox>
                  <w:txbxContent>
                    <w:tbl>
                      <w:tblPr>
                        <w:tblW w:w="3266" w:type="dxa"/>
                        <w:jc w:val="center"/>
                        <w:tblInd w:w="0" w:type="dxa"/>
                        <w:tblLayout w:type="fixed"/>
                        <w:tblCellMar>
                          <w:top w:w="28" w:type="dxa"/>
                          <w:left w:w="28" w:type="dxa"/>
                          <w:bottom w:w="28" w:type="dxa"/>
                          <w:right w:w="28" w:type="dxa"/>
                        </w:tblCellMar>
                      </w:tblPr>
                      <w:tblGrid>
                        <w:gridCol w:w="424"/>
                        <w:gridCol w:w="372"/>
                        <w:gridCol w:w="374"/>
                        <w:gridCol w:w="109"/>
                        <w:gridCol w:w="109"/>
                        <w:gridCol w:w="109"/>
                        <w:gridCol w:w="517"/>
                        <w:gridCol w:w="517"/>
                        <w:gridCol w:w="735"/>
                      </w:tblGrid>
                      <w:tr>
                        <w:trPr/>
                        <w:tc>
                          <w:tcPr>
                            <w:tcW w:w="424"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r>
                      <w:tr>
                        <w:trPr/>
                        <w:tc>
                          <w:tcPr>
                            <w:tcW w:w="1170"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6"/>
                              </w:rPr>
                            </w:pPr>
                            <w:r>
                              <w:rPr>
                                <w:rFonts w:ascii="Arial;sans-serif" w:hAnsi="Arial;sans-serif"/>
                                <w:b/>
                                <w:color w:val="000000"/>
                                <w:sz w:val="16"/>
                              </w:rPr>
                              <w:t>SI-BONE, Inc.</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000000"/>
                                <w:sz w:val="16"/>
                              </w:rPr>
                            </w:pPr>
                            <w:r>
                              <w:rPr>
                                <w:rFonts w:ascii="Arial;sans-serif" w:hAnsi="Arial;sans-serif"/>
                                <w:b/>
                                <w:color w:val="000000"/>
                                <w:sz w:val="16"/>
                              </w:rPr>
                              <w:t>35</w:t>
                            </w:r>
                          </w:p>
                        </w:tc>
                        <w:tc>
                          <w:tcPr>
                            <w:tcW w:w="176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2025 Proxy Statement</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right"/>
        <w:rPr>
          <w:rFonts w:ascii="Arial;sans-serif" w:hAnsi="Arial;sans-serif"/>
          <w:b w:val="false"/>
          <w:color w:val="000000"/>
          <w:sz w:val="16"/>
        </w:rPr>
      </w:pPr>
      <w:r>
        <w:rPr>
          <w:rFonts w:ascii="Arial;sans-serif" w:hAnsi="Arial;sans-serif"/>
          <w:b w:val="false"/>
          <w:color w:val="000000"/>
          <w:sz w:val="16"/>
        </w:rPr>
        <w:t>Table of Contents</w:t>
      </w:r>
    </w:p>
    <w:p>
      <w:pPr>
        <w:pStyle w:val="TextBody"/>
        <w:bidi w:val="0"/>
        <w:spacing w:lineRule="auto" w:line="312" w:before="0" w:after="120"/>
        <w:jc w:val="left"/>
        <w:rPr>
          <w:rFonts w:ascii="Arial;sans-serif" w:hAnsi="Arial;sans-serif"/>
          <w:b/>
          <w:color w:val="74A333"/>
          <w:sz w:val="18"/>
        </w:rPr>
      </w:pPr>
      <w:r>
        <w:rPr>
          <w:rFonts w:ascii="Arial;sans-serif" w:hAnsi="Arial;sans-serif"/>
          <w:b/>
          <w:color w:val="74A333"/>
          <w:sz w:val="18"/>
        </w:rPr>
        <w:t xml:space="preserve">Welfare and Health Benefits </w:t>
      </w:r>
    </w:p>
    <w:p>
      <w:pPr>
        <w:pStyle w:val="TextBody"/>
        <w:bidi w:val="0"/>
        <w:spacing w:lineRule="auto" w:line="312" w:before="0" w:after="180"/>
        <w:jc w:val="left"/>
        <w:rPr>
          <w:rFonts w:ascii="Arial;sans-serif" w:hAnsi="Arial;sans-serif"/>
          <w:b w:val="false"/>
          <w:color w:val="000000"/>
          <w:sz w:val="18"/>
        </w:rPr>
      </w:pPr>
      <w:r>
        <w:rPr>
          <w:rFonts w:ascii="Arial;sans-serif" w:hAnsi="Arial;sans-serif"/>
          <w:b w:val="false"/>
          <w:color w:val="000000"/>
          <w:sz w:val="18"/>
        </w:rPr>
        <w:t>We provide medical and life insurance benefits to our Named Executive Officers, on the same basis as all of our full-time employees. These benefits include health, dental and vision benefits, health and dependent care flexible spending accounts, short-term and long-term disability insurance, accidental death and dismemberment insurance, and basic life insurance coverage. These benefits are provided on the same basis as all of our full-time employees, and therefore are excluded from the Summary Compensation table. We also provide vacation and other paid holidays to all employees, including our executive officers. We do not offer our employees a non-qualified deferred compensation plan or pension plan.</w:t>
      </w:r>
    </w:p>
    <w:p>
      <w:pPr>
        <w:pStyle w:val="TextBody"/>
        <w:bidi w:val="0"/>
        <w:spacing w:lineRule="auto" w:line="312" w:before="0" w:after="180"/>
        <w:jc w:val="left"/>
        <w:rPr>
          <w:rFonts w:ascii="Arial;sans-serif" w:hAnsi="Arial;sans-serif"/>
          <w:b w:val="false"/>
          <w:color w:val="000000"/>
          <w:sz w:val="18"/>
        </w:rPr>
      </w:pPr>
      <w:r>
        <w:rPr>
          <w:rFonts w:ascii="Arial;sans-serif" w:hAnsi="Arial;sans-serif"/>
          <w:b w:val="false"/>
          <w:color w:val="000000"/>
          <w:sz w:val="18"/>
        </w:rPr>
        <w:t>We design our employee benefits programs to be affordable and competitive in relation to the market, as well as compliant with applicable laws and practices. We adjust our employee benefits programs as needed based upon regular monitoring of applicable laws and practices, the competitive market and our employees’ needs.</w:t>
      </w:r>
    </w:p>
    <w:p>
      <w:pPr>
        <w:pStyle w:val="TextBody"/>
        <w:bidi w:val="0"/>
        <w:spacing w:lineRule="auto" w:line="312" w:before="0" w:after="120"/>
        <w:jc w:val="left"/>
        <w:rPr>
          <w:rFonts w:ascii="Arial;sans-serif" w:hAnsi="Arial;sans-serif"/>
          <w:b/>
          <w:color w:val="74A333"/>
          <w:sz w:val="18"/>
        </w:rPr>
      </w:pPr>
      <w:r>
        <w:rPr>
          <w:rFonts w:ascii="Arial;sans-serif" w:hAnsi="Arial;sans-serif"/>
          <w:b/>
          <w:color w:val="74A333"/>
          <w:sz w:val="18"/>
        </w:rPr>
        <w:t>Perquisites and Other Personal Benefits</w:t>
      </w:r>
    </w:p>
    <w:p>
      <w:pPr>
        <w:pStyle w:val="TextBody"/>
        <w:bidi w:val="0"/>
        <w:spacing w:lineRule="auto" w:line="312" w:before="0" w:after="180"/>
        <w:jc w:val="left"/>
        <w:rPr>
          <w:rFonts w:ascii="Arial;sans-serif" w:hAnsi="Arial;sans-serif"/>
          <w:b w:val="false"/>
          <w:color w:val="000000"/>
          <w:sz w:val="18"/>
        </w:rPr>
      </w:pPr>
      <w:r>
        <w:rPr>
          <w:rFonts w:ascii="Arial;sans-serif" w:hAnsi="Arial;sans-serif"/>
          <w:b w:val="false"/>
          <w:color w:val="000000"/>
          <w:sz w:val="18"/>
        </w:rPr>
        <w:t>Currently, we do not view perquisites or other personal benefits as a significant component of our executive compensation program. Accordingly, we do not provide perquisites to our executive officers, except in situations where we believe it is appropriate to assist an individual in the performance of his or her duties, to make our executive officers more efficient and effective, and for recruitment and retention purposes. During 2024, none of the Named Executive Officers received perquisites or other personal benefits that were, in the aggregate, $10,000 or more for such Named Executive Officer.</w:t>
      </w:r>
    </w:p>
    <w:p>
      <w:pPr>
        <w:pStyle w:val="TextBody"/>
        <w:bidi w:val="0"/>
        <w:spacing w:lineRule="auto" w:line="312" w:before="0" w:after="120"/>
        <w:jc w:val="left"/>
        <w:rPr>
          <w:rFonts w:ascii="Arial;sans-serif" w:hAnsi="Arial;sans-serif"/>
          <w:b/>
          <w:color w:val="74A333"/>
          <w:sz w:val="18"/>
        </w:rPr>
      </w:pPr>
      <w:r>
        <w:rPr>
          <w:rFonts w:ascii="Arial;sans-serif" w:hAnsi="Arial;sans-serif"/>
          <w:b/>
          <w:color w:val="74A333"/>
          <w:sz w:val="18"/>
        </w:rPr>
        <w:t>Severance and Change in Control Benefits</w:t>
      </w:r>
    </w:p>
    <w:p>
      <w:pPr>
        <w:pStyle w:val="TextBody"/>
        <w:bidi w:val="0"/>
        <w:spacing w:lineRule="auto" w:line="312" w:before="0" w:after="180"/>
        <w:jc w:val="left"/>
        <w:rPr>
          <w:rFonts w:ascii="Arial;sans-serif" w:hAnsi="Arial;sans-serif"/>
          <w:b w:val="false"/>
          <w:color w:val="000000"/>
          <w:sz w:val="18"/>
        </w:rPr>
      </w:pPr>
      <w:r>
        <w:rPr>
          <w:rFonts w:ascii="Arial;sans-serif" w:hAnsi="Arial;sans-serif"/>
          <w:b w:val="false"/>
          <w:color w:val="000000"/>
          <w:sz w:val="18"/>
        </w:rPr>
        <w:t>Regardless of the manner in which a Named Executive Officer’s service terminates, the Named Executive Officer is entitled to receive amounts earned during his or her term of service, including salary and unused vacation pay.</w:t>
      </w:r>
    </w:p>
    <w:p>
      <w:pPr>
        <w:pStyle w:val="TextBody"/>
        <w:bidi w:val="0"/>
        <w:spacing w:lineRule="auto" w:line="312" w:before="0" w:after="180"/>
        <w:jc w:val="left"/>
        <w:rPr>
          <w:rFonts w:ascii="Arial;sans-serif" w:hAnsi="Arial;sans-serif"/>
          <w:b w:val="false"/>
          <w:color w:val="000000"/>
          <w:sz w:val="18"/>
        </w:rPr>
      </w:pPr>
      <w:r>
        <w:rPr>
          <w:rFonts w:ascii="Arial;sans-serif" w:hAnsi="Arial;sans-serif"/>
          <w:b w:val="false"/>
          <w:color w:val="000000"/>
          <w:sz w:val="18"/>
        </w:rPr>
        <w:t>We maintain the SI-BONE, Inc. Severance Benefit Plan (the “Severance Plan”) that provides severance protection to certain Company employees, including each of our Named Executive Officers. The Severance Plan provides for “double trigger” benefits upon involuntary terminations that occur in connection with a change in control and outside of the change-in-control context. Our Compensation Committee periodically reviews the severance and change in control benefits that we provide, including by reference to market data, to ensure that the benefits remain appropriately structured and at reasonable levels.</w:t>
      </w:r>
    </w:p>
    <w:p>
      <w:pPr>
        <w:pStyle w:val="TextBody"/>
        <w:bidi w:val="0"/>
        <w:spacing w:lineRule="auto" w:line="312" w:before="0" w:after="180"/>
        <w:jc w:val="left"/>
        <w:rPr>
          <w:rFonts w:ascii="Arial;sans-serif" w:hAnsi="Arial;sans-serif"/>
          <w:b w:val="false"/>
          <w:color w:val="000000"/>
          <w:sz w:val="18"/>
        </w:rPr>
      </w:pPr>
      <w:r>
        <w:rPr>
          <w:rFonts w:ascii="Arial;sans-serif" w:hAnsi="Arial;sans-serif"/>
          <w:b w:val="false"/>
          <w:color w:val="000000"/>
          <w:sz w:val="18"/>
        </w:rPr>
        <w:t>The Compensation Committee believes severance benefits are necessary to provide stability among our executive officers, serve to focus our executive officers on our business operations, and avoid distractions in connection with a potential change in control transaction or period of uncertainty. A more detailed description of the Severance Plan and each of our Named Executive Officer’s potential payments and benefits upon a termination or change in control is provided below under “Potential Payments upon Termination or Change in Control.”</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80"/>
        <w:jc w:val="left"/>
        <w:rPr>
          <w:rFonts w:ascii="Arial;sans-serif" w:hAnsi="Arial;sans-serif"/>
          <w:b w:val="false"/>
          <w:color w:val="000000"/>
          <w:sz w:val="24"/>
        </w:rPr>
      </w:pPr>
      <w:r>
        <w:rPr>
          <w:rFonts w:ascii="Arial;sans-serif" w:hAnsi="Arial;sans-serif"/>
          <w:b w:val="false"/>
          <w:color w:val="000000"/>
          <w:sz w:val="24"/>
        </w:rPr>
        <w:t>EMPLOYMENT ARRANGEMENTS</w:t>
      </w:r>
    </w:p>
    <w:p>
      <w:pPr>
        <w:pStyle w:val="TextBody"/>
        <w:bidi w:val="0"/>
        <w:spacing w:lineRule="auto" w:line="312" w:before="0" w:after="180"/>
        <w:jc w:val="left"/>
        <w:rPr>
          <w:rFonts w:ascii="Arial;sans-serif" w:hAnsi="Arial;sans-serif"/>
          <w:b w:val="false"/>
          <w:color w:val="000000"/>
          <w:sz w:val="18"/>
        </w:rPr>
      </w:pPr>
      <w:r>
        <w:rPr>
          <w:rFonts w:ascii="Arial;sans-serif" w:hAnsi="Arial;sans-serif"/>
          <w:b w:val="false"/>
          <w:color w:val="000000"/>
          <w:sz w:val="18"/>
        </w:rPr>
        <w:t>We have offer letters with each of our Named Executive Officers. The offer letters generally provide for at-will employment and set forth the executive officer’s initial base salary, eligibility for employee benefits and confirmation of the terms of previously issued equity grants, including in some cases severance benefits on a qualifying termination of employment. In addition, each of our executive officers has executed our standard proprietary information and inventions agreement. Any severance provisions of the Named Executive Officers’ offer letters were superseded by the Severance Plan.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739140"/>
                <wp:effectExtent l="0" t="0" r="0" b="0"/>
                <wp:wrapNone/>
                <wp:docPr id="62" name="Frame41"/>
                <a:graphic xmlns:a="http://schemas.openxmlformats.org/drawingml/2006/main">
                  <a:graphicData uri="http://schemas.microsoft.com/office/word/2010/wordprocessingShape">
                    <wps:wsp>
                      <wps:cNvSpPr txBox="1"/>
                      <wps:spPr>
                        <a:xfrm>
                          <a:off x="0" y="0"/>
                          <a:ext cx="6480175" cy="739140"/>
                        </a:xfrm>
                        <a:prstGeom prst="rect"/>
                        <a:solidFill>
                          <a:srgbClr val="FFFFFF"/>
                        </a:solidFill>
                      </wps:spPr>
                      <wps:txbx>
                        <w:txbxContent>
                          <w:tbl>
                            <w:tblPr>
                              <w:tblW w:w="3266" w:type="dxa"/>
                              <w:jc w:val="center"/>
                              <w:tblInd w:w="0" w:type="dxa"/>
                              <w:tblLayout w:type="fixed"/>
                              <w:tblCellMar>
                                <w:top w:w="28" w:type="dxa"/>
                                <w:left w:w="28" w:type="dxa"/>
                                <w:bottom w:w="28" w:type="dxa"/>
                                <w:right w:w="28" w:type="dxa"/>
                              </w:tblCellMar>
                            </w:tblPr>
                            <w:tblGrid>
                              <w:gridCol w:w="424"/>
                              <w:gridCol w:w="372"/>
                              <w:gridCol w:w="374"/>
                              <w:gridCol w:w="109"/>
                              <w:gridCol w:w="109"/>
                              <w:gridCol w:w="109"/>
                              <w:gridCol w:w="517"/>
                              <w:gridCol w:w="517"/>
                              <w:gridCol w:w="735"/>
                            </w:tblGrid>
                            <w:tr>
                              <w:trPr/>
                              <w:tc>
                                <w:tcPr>
                                  <w:tcW w:w="424"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r>
                            <w:tr>
                              <w:trPr/>
                              <w:tc>
                                <w:tcPr>
                                  <w:tcW w:w="1170"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6"/>
                                    </w:rPr>
                                  </w:pPr>
                                  <w:r>
                                    <w:rPr>
                                      <w:rFonts w:ascii="Arial;sans-serif" w:hAnsi="Arial;sans-serif"/>
                                      <w:b/>
                                      <w:color w:val="000000"/>
                                      <w:sz w:val="16"/>
                                    </w:rPr>
                                    <w:t>SI-BONE, Inc.</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000000"/>
                                      <w:sz w:val="16"/>
                                    </w:rPr>
                                  </w:pPr>
                                  <w:r>
                                    <w:rPr>
                                      <w:rFonts w:ascii="Arial;sans-serif" w:hAnsi="Arial;sans-serif"/>
                                      <w:b/>
                                      <w:color w:val="000000"/>
                                      <w:sz w:val="16"/>
                                    </w:rPr>
                                    <w:t>36</w:t>
                                  </w:r>
                                </w:p>
                              </w:tc>
                              <w:tc>
                                <w:tcPr>
                                  <w:tcW w:w="176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2025 Proxy Statement</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2pt;mso-wrap-distance-left:0pt;mso-wrap-distance-right:0pt;mso-wrap-distance-top:0pt;mso-wrap-distance-bottom:0pt;margin-top:0pt;mso-position-vertical:top;mso-position-vertical-relative:text;margin-left:0pt;mso-position-horizontal:left;mso-position-horizontal-relative:text">
                <v:textbox>
                  <w:txbxContent>
                    <w:tbl>
                      <w:tblPr>
                        <w:tblW w:w="3266" w:type="dxa"/>
                        <w:jc w:val="center"/>
                        <w:tblInd w:w="0" w:type="dxa"/>
                        <w:tblLayout w:type="fixed"/>
                        <w:tblCellMar>
                          <w:top w:w="28" w:type="dxa"/>
                          <w:left w:w="28" w:type="dxa"/>
                          <w:bottom w:w="28" w:type="dxa"/>
                          <w:right w:w="28" w:type="dxa"/>
                        </w:tblCellMar>
                      </w:tblPr>
                      <w:tblGrid>
                        <w:gridCol w:w="424"/>
                        <w:gridCol w:w="372"/>
                        <w:gridCol w:w="374"/>
                        <w:gridCol w:w="109"/>
                        <w:gridCol w:w="109"/>
                        <w:gridCol w:w="109"/>
                        <w:gridCol w:w="517"/>
                        <w:gridCol w:w="517"/>
                        <w:gridCol w:w="735"/>
                      </w:tblGrid>
                      <w:tr>
                        <w:trPr/>
                        <w:tc>
                          <w:tcPr>
                            <w:tcW w:w="424"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r>
                      <w:tr>
                        <w:trPr/>
                        <w:tc>
                          <w:tcPr>
                            <w:tcW w:w="1170"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6"/>
                              </w:rPr>
                            </w:pPr>
                            <w:r>
                              <w:rPr>
                                <w:rFonts w:ascii="Arial;sans-serif" w:hAnsi="Arial;sans-serif"/>
                                <w:b/>
                                <w:color w:val="000000"/>
                                <w:sz w:val="16"/>
                              </w:rPr>
                              <w:t>SI-BONE, Inc.</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000000"/>
                                <w:sz w:val="16"/>
                              </w:rPr>
                            </w:pPr>
                            <w:r>
                              <w:rPr>
                                <w:rFonts w:ascii="Arial;sans-serif" w:hAnsi="Arial;sans-serif"/>
                                <w:b/>
                                <w:color w:val="000000"/>
                                <w:sz w:val="16"/>
                              </w:rPr>
                              <w:t>36</w:t>
                            </w:r>
                          </w:p>
                        </w:tc>
                        <w:tc>
                          <w:tcPr>
                            <w:tcW w:w="176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2025 Proxy Statement</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right"/>
        <w:rPr>
          <w:rFonts w:ascii="Arial;sans-serif" w:hAnsi="Arial;sans-serif"/>
          <w:b w:val="false"/>
          <w:color w:val="000000"/>
          <w:sz w:val="16"/>
        </w:rPr>
      </w:pPr>
      <w:r>
        <w:rPr>
          <w:rFonts w:ascii="Arial;sans-serif" w:hAnsi="Arial;sans-serif"/>
          <w:b w:val="false"/>
          <w:color w:val="000000"/>
          <w:sz w:val="16"/>
        </w:rPr>
        <w:t>Table of Contents</w:t>
      </w:r>
    </w:p>
    <w:p>
      <w:pPr>
        <w:pStyle w:val="TextBody"/>
        <w:bidi w:val="0"/>
        <w:spacing w:lineRule="auto" w:line="288" w:before="240" w:after="180"/>
        <w:jc w:val="left"/>
        <w:rPr>
          <w:rFonts w:ascii="Arial;sans-serif" w:hAnsi="Arial;sans-serif"/>
          <w:b w:val="false"/>
          <w:color w:val="000000"/>
          <w:sz w:val="24"/>
        </w:rPr>
      </w:pPr>
      <w:r>
        <w:rPr>
          <w:rFonts w:ascii="Arial;sans-serif" w:hAnsi="Arial;sans-serif"/>
          <w:b w:val="false"/>
          <w:color w:val="000000"/>
          <w:sz w:val="24"/>
        </w:rPr>
        <w:t>OTHER COMPENSATION POLICIES</w:t>
      </w:r>
    </w:p>
    <w:p>
      <w:pPr>
        <w:pStyle w:val="TextBody"/>
        <w:bidi w:val="0"/>
        <w:spacing w:lineRule="auto" w:line="312" w:before="0" w:after="120"/>
        <w:jc w:val="left"/>
        <w:rPr>
          <w:rFonts w:ascii="Arial;sans-serif" w:hAnsi="Arial;sans-serif"/>
          <w:b/>
          <w:color w:val="74A333"/>
          <w:sz w:val="18"/>
        </w:rPr>
      </w:pPr>
      <w:r>
        <w:rPr>
          <w:rFonts w:ascii="Arial;sans-serif" w:hAnsi="Arial;sans-serif"/>
          <w:b/>
          <w:color w:val="74A333"/>
          <w:sz w:val="18"/>
        </w:rPr>
        <w:t>Stock Ownership Policy</w:t>
      </w:r>
    </w:p>
    <w:p>
      <w:pPr>
        <w:pStyle w:val="TextBody"/>
        <w:bidi w:val="0"/>
        <w:spacing w:lineRule="auto" w:line="312" w:before="0" w:after="180"/>
        <w:jc w:val="left"/>
        <w:rPr>
          <w:rFonts w:ascii="Arial;sans-serif" w:hAnsi="Arial;sans-serif"/>
          <w:b w:val="false"/>
          <w:color w:val="000000"/>
          <w:sz w:val="18"/>
        </w:rPr>
      </w:pPr>
      <w:r>
        <w:rPr>
          <w:rFonts w:ascii="Arial;sans-serif" w:hAnsi="Arial;sans-serif"/>
          <w:b w:val="false"/>
          <w:color w:val="000000"/>
          <w:sz w:val="18"/>
        </w:rPr>
        <w:t>We believe that stock ownership by our non-employee directors and executive officers, including our Named Executive Officers, is important to link the risks and rewards inherent in stock ownership of these individuals and our stockholders. The Compensation Committee has adopted a stock ownership policy that requires our non-employee directors and executive officers to own a minimum number of shares of our common stock. These mandatory ownership levels are intended to create a clear standard that ties a portion of these individuals’ net worth to the performance of our stock price. The current ownership requirements are as follows:</w:t>
      </w:r>
    </w:p>
    <w:tbl>
      <w:tblPr>
        <w:tblW w:w="6315" w:type="dxa"/>
        <w:jc w:val="left"/>
        <w:tblInd w:w="0" w:type="dxa"/>
        <w:tblLayout w:type="fixed"/>
        <w:tblCellMar>
          <w:top w:w="28" w:type="dxa"/>
          <w:left w:w="28" w:type="dxa"/>
          <w:bottom w:w="28" w:type="dxa"/>
          <w:right w:w="28" w:type="dxa"/>
        </w:tblCellMar>
      </w:tblPr>
      <w:tblGrid>
        <w:gridCol w:w="697"/>
        <w:gridCol w:w="614"/>
        <w:gridCol w:w="624"/>
        <w:gridCol w:w="1283"/>
        <w:gridCol w:w="1283"/>
        <w:gridCol w:w="1814"/>
      </w:tblGrid>
      <w:tr>
        <w:trPr/>
        <w:tc>
          <w:tcPr>
            <w:tcW w:w="697"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1283" w:type="dxa"/>
            <w:tcBorders/>
            <w:vAlign w:val="center"/>
          </w:tcPr>
          <w:p>
            <w:pPr>
              <w:pStyle w:val="TableContents"/>
              <w:bidi w:val="0"/>
              <w:spacing w:before="0" w:after="283"/>
              <w:jc w:val="left"/>
              <w:rPr>
                <w:sz w:val="4"/>
                <w:szCs w:val="4"/>
              </w:rPr>
            </w:pPr>
            <w:r>
              <w:rPr>
                <w:sz w:val="4"/>
                <w:szCs w:val="4"/>
              </w:rPr>
            </w:r>
          </w:p>
        </w:tc>
        <w:tc>
          <w:tcPr>
            <w:tcW w:w="1283" w:type="dxa"/>
            <w:tcBorders/>
            <w:vAlign w:val="center"/>
          </w:tcPr>
          <w:p>
            <w:pPr>
              <w:pStyle w:val="TableContents"/>
              <w:bidi w:val="0"/>
              <w:spacing w:before="0" w:after="283"/>
              <w:jc w:val="left"/>
              <w:rPr>
                <w:sz w:val="4"/>
                <w:szCs w:val="4"/>
              </w:rPr>
            </w:pPr>
            <w:r>
              <w:rPr>
                <w:sz w:val="4"/>
                <w:szCs w:val="4"/>
              </w:rPr>
            </w:r>
          </w:p>
        </w:tc>
        <w:tc>
          <w:tcPr>
            <w:tcW w:w="1814" w:type="dxa"/>
            <w:tcBorders/>
            <w:vAlign w:val="center"/>
          </w:tcPr>
          <w:p>
            <w:pPr>
              <w:pStyle w:val="TableContents"/>
              <w:bidi w:val="0"/>
              <w:spacing w:before="0" w:after="283"/>
              <w:jc w:val="left"/>
              <w:rPr>
                <w:sz w:val="4"/>
                <w:szCs w:val="4"/>
              </w:rPr>
            </w:pPr>
            <w:r>
              <w:rPr>
                <w:sz w:val="4"/>
                <w:szCs w:val="4"/>
              </w:rPr>
            </w:r>
          </w:p>
        </w:tc>
      </w:tr>
      <w:tr>
        <w:trPr/>
        <w:tc>
          <w:tcPr>
            <w:tcW w:w="193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6"/>
              </w:rPr>
            </w:pPr>
            <w:r>
              <w:rPr>
                <w:rFonts w:ascii="Arial;sans-serif" w:hAnsi="Arial;sans-serif"/>
                <w:b/>
                <w:color w:val="000000"/>
                <w:sz w:val="16"/>
              </w:rPr>
              <w:t>Title</w:t>
            </w:r>
          </w:p>
        </w:tc>
        <w:tc>
          <w:tcPr>
            <w:tcW w:w="438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6"/>
              </w:rPr>
            </w:pPr>
            <w:r>
              <w:rPr>
                <w:rFonts w:ascii="Arial;sans-serif" w:hAnsi="Arial;sans-serif"/>
                <w:b/>
                <w:color w:val="000000"/>
                <w:sz w:val="16"/>
              </w:rPr>
              <w:t>Minimum Required Level of Stock Ownership</w:t>
            </w:r>
          </w:p>
        </w:tc>
      </w:tr>
      <w:tr>
        <w:trPr/>
        <w:tc>
          <w:tcPr>
            <w:tcW w:w="19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35" w:type="dxa"/>
            <w:gridSpan w:val="3"/>
            <w:tcBorders/>
            <w:shd w:fill="EDEDEE"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Chief Executive Officer</w:t>
            </w:r>
          </w:p>
        </w:tc>
        <w:tc>
          <w:tcPr>
            <w:tcW w:w="4380" w:type="dxa"/>
            <w:gridSpan w:val="3"/>
            <w:tcBorders/>
            <w:shd w:fill="EDEDEE"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Value equivalent to three times annual salary</w:t>
            </w:r>
          </w:p>
        </w:tc>
      </w:tr>
      <w:tr>
        <w:trPr/>
        <w:tc>
          <w:tcPr>
            <w:tcW w:w="193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Other Executive Officers</w:t>
            </w:r>
          </w:p>
        </w:tc>
        <w:tc>
          <w:tcPr>
            <w:tcW w:w="43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Value equivalent to annual salary</w:t>
            </w:r>
          </w:p>
        </w:tc>
      </w:tr>
      <w:tr>
        <w:trPr/>
        <w:tc>
          <w:tcPr>
            <w:tcW w:w="1935" w:type="dxa"/>
            <w:gridSpan w:val="3"/>
            <w:tcBorders>
              <w:bottom w:val="single" w:sz="12" w:space="0" w:color="74A333"/>
            </w:tcBorders>
            <w:shd w:fill="EDEDEE" w:val="clear"/>
            <w:tcMar>
              <w:top w:w="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Non-Employee Directors</w:t>
            </w:r>
          </w:p>
        </w:tc>
        <w:tc>
          <w:tcPr>
            <w:tcW w:w="4380" w:type="dxa"/>
            <w:gridSpan w:val="3"/>
            <w:tcBorders>
              <w:bottom w:val="single" w:sz="12" w:space="0" w:color="74A333"/>
            </w:tcBorders>
            <w:shd w:fill="EDEDEE" w:val="clear"/>
            <w:tcMar>
              <w:top w:w="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Value equivalent to three times annual Board cash retainer</w:t>
            </w:r>
          </w:p>
        </w:tc>
      </w:tr>
    </w:tbl>
    <w:p>
      <w:pPr>
        <w:pStyle w:val="TextBody"/>
        <w:bidi w:val="0"/>
        <w:spacing w:lineRule="auto" w:line="312" w:before="0" w:after="180"/>
        <w:jc w:val="left"/>
        <w:rPr>
          <w:rFonts w:ascii="Arial;sans-serif" w:hAnsi="Arial;sans-serif"/>
          <w:b w:val="false"/>
          <w:color w:val="000000"/>
          <w:sz w:val="18"/>
        </w:rPr>
      </w:pPr>
      <w:r>
        <w:rPr>
          <w:rFonts w:ascii="Arial;sans-serif" w:hAnsi="Arial;sans-serif"/>
          <w:b w:val="false"/>
          <w:color w:val="000000"/>
          <w:sz w:val="18"/>
        </w:rPr>
        <w:t>The non-employee Director guideline is based on the annual Board cash retainer and excludes additional cash retainers paid for Board committee service or for service as Chairperson or Lead Independent Director. Shares that count toward satisfaction of these ownership requirements include shares owned by the executive, including shares purchased on the open market. Unexercised options and unvested RSUs and PSUs do not count toward these ownership requirements. Executives have five years to comply with the applicable stock ownership requirement.</w:t>
      </w:r>
    </w:p>
    <w:p>
      <w:pPr>
        <w:pStyle w:val="TextBody"/>
        <w:bidi w:val="0"/>
        <w:spacing w:lineRule="auto" w:line="312" w:before="0" w:after="180"/>
        <w:jc w:val="left"/>
        <w:rPr>
          <w:rFonts w:ascii="Arial;sans-serif" w:hAnsi="Arial;sans-serif"/>
          <w:b w:val="false"/>
          <w:color w:val="000000"/>
          <w:sz w:val="18"/>
        </w:rPr>
      </w:pPr>
      <w:r>
        <w:rPr>
          <w:rFonts w:ascii="Arial;sans-serif" w:hAnsi="Arial;sans-serif"/>
          <w:b w:val="false"/>
          <w:color w:val="000000"/>
          <w:sz w:val="18"/>
        </w:rPr>
        <w:t>As of the end of fiscal year 2024, our CEO, each of our other Named Executive Officers, and each of our non-employee Directors had satisfied his or her required stock ownership level or was on track to do so.</w:t>
      </w:r>
    </w:p>
    <w:p>
      <w:pPr>
        <w:pStyle w:val="TextBody"/>
        <w:bidi w:val="0"/>
        <w:spacing w:lineRule="auto" w:line="312" w:before="0" w:after="120"/>
        <w:jc w:val="left"/>
        <w:rPr>
          <w:rFonts w:ascii="Arial;sans-serif" w:hAnsi="Arial;sans-serif"/>
          <w:b/>
          <w:color w:val="74A333"/>
          <w:sz w:val="18"/>
        </w:rPr>
      </w:pPr>
      <w:r>
        <w:rPr>
          <w:rFonts w:ascii="Arial;sans-serif" w:hAnsi="Arial;sans-serif"/>
          <w:b/>
          <w:color w:val="74A333"/>
          <w:sz w:val="18"/>
        </w:rPr>
        <w:t xml:space="preserve">Compensation Recoupment Policy </w:t>
      </w:r>
    </w:p>
    <w:p>
      <w:pPr>
        <w:pStyle w:val="TextBody"/>
        <w:bidi w:val="0"/>
        <w:spacing w:lineRule="auto" w:line="312" w:before="0" w:after="180"/>
        <w:jc w:val="left"/>
        <w:rPr>
          <w:rFonts w:ascii="Arial;sans-serif" w:hAnsi="Arial;sans-serif"/>
          <w:b w:val="false"/>
          <w:color w:val="000000"/>
          <w:sz w:val="18"/>
        </w:rPr>
      </w:pPr>
      <w:r>
        <w:rPr>
          <w:rFonts w:ascii="Arial;sans-serif" w:hAnsi="Arial;sans-serif"/>
          <w:b w:val="false"/>
          <w:color w:val="000000"/>
          <w:sz w:val="18"/>
        </w:rPr>
        <w:t>In 2023, our Board of Directors adopted a new Compensation Recoupment Policy (“Clawback Policy”) applicable to our CEO and all of our current and former executive officers. Under this policy, our Compensation Committee is obligated to recover excess incentive compensation received by any executive officer covered by our Clawback Policy on or after October 2, 2023, if any, in the event SI-BONE is required to prepare an accounting restatement due to material noncompliance with any financial reporting requirement under the securities laws. For purposes of this policy, excess incentive compensation means the amount of certain incentive-based compensation actually received by the covered executive officer, minus the amount of such incentive-based compensation that otherwise would have been received had the incentive compensation been determined based on the applicable restated amounts. The Compensation Committee will not consider the executive officer’s responsibility or fault in enforcing our Clawback Policy to recoup the amount described above.</w:t>
      </w:r>
    </w:p>
    <w:p>
      <w:pPr>
        <w:pStyle w:val="TextBody"/>
        <w:bidi w:val="0"/>
        <w:spacing w:lineRule="auto" w:line="312" w:before="0" w:after="180"/>
        <w:jc w:val="left"/>
        <w:rPr>
          <w:rFonts w:ascii="Arial;sans-serif" w:hAnsi="Arial;sans-serif"/>
          <w:b w:val="false"/>
          <w:color w:val="000000"/>
          <w:sz w:val="18"/>
        </w:rPr>
      </w:pPr>
      <w:r>
        <w:rPr>
          <w:rFonts w:ascii="Arial;sans-serif" w:hAnsi="Arial;sans-serif"/>
          <w:b w:val="false"/>
          <w:color w:val="000000"/>
          <w:sz w:val="18"/>
        </w:rPr>
        <w:t>This Policy is intended to comply with, and will be interpreted in a manner consistent with, Section 10D of the Securities Exchange Act of 1934 (the “Exchange Act”), with Exchange Act Rule 10D-1 and with the Nasdaq listing standards.</w:t>
      </w:r>
    </w:p>
    <w:p>
      <w:pPr>
        <w:pStyle w:val="TextBody"/>
        <w:bidi w:val="0"/>
        <w:spacing w:lineRule="auto" w:line="312" w:before="0" w:after="120"/>
        <w:jc w:val="left"/>
        <w:rPr>
          <w:rFonts w:ascii="Arial;sans-serif" w:hAnsi="Arial;sans-serif"/>
          <w:b/>
          <w:color w:val="74A333"/>
          <w:sz w:val="18"/>
        </w:rPr>
      </w:pPr>
      <w:r>
        <w:rPr>
          <w:rFonts w:ascii="Arial;sans-serif" w:hAnsi="Arial;sans-serif"/>
          <w:b/>
          <w:color w:val="74A333"/>
          <w:sz w:val="18"/>
        </w:rPr>
        <w:t>Hedging and Pledging Policies</w:t>
      </w:r>
    </w:p>
    <w:p>
      <w:pPr>
        <w:pStyle w:val="TextBody"/>
        <w:bidi w:val="0"/>
        <w:spacing w:lineRule="auto" w:line="312" w:before="0" w:after="180"/>
        <w:jc w:val="left"/>
        <w:rPr>
          <w:rFonts w:ascii="Arial;sans-serif" w:hAnsi="Arial;sans-serif"/>
          <w:b w:val="false"/>
          <w:color w:val="000000"/>
          <w:sz w:val="18"/>
        </w:rPr>
      </w:pPr>
      <w:r>
        <w:rPr>
          <w:rFonts w:ascii="Arial;sans-serif" w:hAnsi="Arial;sans-serif"/>
          <w:b w:val="false"/>
          <w:color w:val="000000"/>
          <w:sz w:val="18"/>
        </w:rPr>
        <w:t>Under our Insider Trading Policy, no director, employee or consultant to SI-BONE may engage in short sales, transactions in put or call options, hedging transactions, margin accounts, pledges, or other inherently speculative transactions with respect to our stock at any time.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739140"/>
                <wp:effectExtent l="0" t="0" r="0" b="0"/>
                <wp:wrapNone/>
                <wp:docPr id="63" name="Frame42"/>
                <a:graphic xmlns:a="http://schemas.openxmlformats.org/drawingml/2006/main">
                  <a:graphicData uri="http://schemas.microsoft.com/office/word/2010/wordprocessingShape">
                    <wps:wsp>
                      <wps:cNvSpPr txBox="1"/>
                      <wps:spPr>
                        <a:xfrm>
                          <a:off x="0" y="0"/>
                          <a:ext cx="6480175" cy="739140"/>
                        </a:xfrm>
                        <a:prstGeom prst="rect"/>
                        <a:solidFill>
                          <a:srgbClr val="FFFFFF"/>
                        </a:solidFill>
                      </wps:spPr>
                      <wps:txbx>
                        <w:txbxContent>
                          <w:tbl>
                            <w:tblPr>
                              <w:tblW w:w="3266" w:type="dxa"/>
                              <w:jc w:val="center"/>
                              <w:tblInd w:w="0" w:type="dxa"/>
                              <w:tblLayout w:type="fixed"/>
                              <w:tblCellMar>
                                <w:top w:w="28" w:type="dxa"/>
                                <w:left w:w="28" w:type="dxa"/>
                                <w:bottom w:w="28" w:type="dxa"/>
                                <w:right w:w="28" w:type="dxa"/>
                              </w:tblCellMar>
                            </w:tblPr>
                            <w:tblGrid>
                              <w:gridCol w:w="424"/>
                              <w:gridCol w:w="372"/>
                              <w:gridCol w:w="374"/>
                              <w:gridCol w:w="109"/>
                              <w:gridCol w:w="109"/>
                              <w:gridCol w:w="109"/>
                              <w:gridCol w:w="517"/>
                              <w:gridCol w:w="517"/>
                              <w:gridCol w:w="735"/>
                            </w:tblGrid>
                            <w:tr>
                              <w:trPr/>
                              <w:tc>
                                <w:tcPr>
                                  <w:tcW w:w="424"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r>
                            <w:tr>
                              <w:trPr/>
                              <w:tc>
                                <w:tcPr>
                                  <w:tcW w:w="1170"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6"/>
                                    </w:rPr>
                                  </w:pPr>
                                  <w:r>
                                    <w:rPr>
                                      <w:rFonts w:ascii="Arial;sans-serif" w:hAnsi="Arial;sans-serif"/>
                                      <w:b/>
                                      <w:color w:val="000000"/>
                                      <w:sz w:val="16"/>
                                    </w:rPr>
                                    <w:t>SI-BONE, Inc.</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000000"/>
                                      <w:sz w:val="16"/>
                                    </w:rPr>
                                  </w:pPr>
                                  <w:r>
                                    <w:rPr>
                                      <w:rFonts w:ascii="Arial;sans-serif" w:hAnsi="Arial;sans-serif"/>
                                      <w:b/>
                                      <w:color w:val="000000"/>
                                      <w:sz w:val="16"/>
                                    </w:rPr>
                                    <w:t>37</w:t>
                                  </w:r>
                                </w:p>
                              </w:tc>
                              <w:tc>
                                <w:tcPr>
                                  <w:tcW w:w="176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2025 Proxy Statement</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2pt;mso-wrap-distance-left:0pt;mso-wrap-distance-right:0pt;mso-wrap-distance-top:0pt;mso-wrap-distance-bottom:0pt;margin-top:0pt;mso-position-vertical:top;mso-position-vertical-relative:text;margin-left:0pt;mso-position-horizontal:left;mso-position-horizontal-relative:text">
                <v:textbox>
                  <w:txbxContent>
                    <w:tbl>
                      <w:tblPr>
                        <w:tblW w:w="3266" w:type="dxa"/>
                        <w:jc w:val="center"/>
                        <w:tblInd w:w="0" w:type="dxa"/>
                        <w:tblLayout w:type="fixed"/>
                        <w:tblCellMar>
                          <w:top w:w="28" w:type="dxa"/>
                          <w:left w:w="28" w:type="dxa"/>
                          <w:bottom w:w="28" w:type="dxa"/>
                          <w:right w:w="28" w:type="dxa"/>
                        </w:tblCellMar>
                      </w:tblPr>
                      <w:tblGrid>
                        <w:gridCol w:w="424"/>
                        <w:gridCol w:w="372"/>
                        <w:gridCol w:w="374"/>
                        <w:gridCol w:w="109"/>
                        <w:gridCol w:w="109"/>
                        <w:gridCol w:w="109"/>
                        <w:gridCol w:w="517"/>
                        <w:gridCol w:w="517"/>
                        <w:gridCol w:w="735"/>
                      </w:tblGrid>
                      <w:tr>
                        <w:trPr/>
                        <w:tc>
                          <w:tcPr>
                            <w:tcW w:w="424"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r>
                      <w:tr>
                        <w:trPr/>
                        <w:tc>
                          <w:tcPr>
                            <w:tcW w:w="1170"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6"/>
                              </w:rPr>
                            </w:pPr>
                            <w:r>
                              <w:rPr>
                                <w:rFonts w:ascii="Arial;sans-serif" w:hAnsi="Arial;sans-serif"/>
                                <w:b/>
                                <w:color w:val="000000"/>
                                <w:sz w:val="16"/>
                              </w:rPr>
                              <w:t>SI-BONE, Inc.</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000000"/>
                                <w:sz w:val="16"/>
                              </w:rPr>
                            </w:pPr>
                            <w:r>
                              <w:rPr>
                                <w:rFonts w:ascii="Arial;sans-serif" w:hAnsi="Arial;sans-serif"/>
                                <w:b/>
                                <w:color w:val="000000"/>
                                <w:sz w:val="16"/>
                              </w:rPr>
                              <w:t>37</w:t>
                            </w:r>
                          </w:p>
                        </w:tc>
                        <w:tc>
                          <w:tcPr>
                            <w:tcW w:w="176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2025 Proxy Statement</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right"/>
        <w:rPr>
          <w:rFonts w:ascii="Arial;sans-serif" w:hAnsi="Arial;sans-serif"/>
          <w:b w:val="false"/>
          <w:color w:val="000000"/>
          <w:sz w:val="16"/>
        </w:rPr>
      </w:pPr>
      <w:r>
        <w:rPr>
          <w:rFonts w:ascii="Arial;sans-serif" w:hAnsi="Arial;sans-serif"/>
          <w:b w:val="false"/>
          <w:color w:val="000000"/>
          <w:sz w:val="16"/>
        </w:rPr>
        <w:t>Table of Contents</w:t>
      </w:r>
    </w:p>
    <w:p>
      <w:pPr>
        <w:pStyle w:val="TextBody"/>
        <w:bidi w:val="0"/>
        <w:spacing w:lineRule="auto" w:line="288" w:before="240" w:after="180"/>
        <w:jc w:val="left"/>
        <w:rPr>
          <w:rFonts w:ascii="Arial;sans-serif" w:hAnsi="Arial;sans-serif"/>
          <w:b w:val="false"/>
          <w:color w:val="000000"/>
          <w:sz w:val="24"/>
        </w:rPr>
      </w:pPr>
      <w:r>
        <w:rPr>
          <w:rFonts w:ascii="Arial;sans-serif" w:hAnsi="Arial;sans-serif"/>
          <w:b w:val="false"/>
          <w:color w:val="000000"/>
          <w:sz w:val="24"/>
        </w:rPr>
        <w:t xml:space="preserve">TAX AND ACCOUNTING CONSIDERATIONS </w:t>
      </w:r>
    </w:p>
    <w:p>
      <w:pPr>
        <w:pStyle w:val="TextBody"/>
        <w:bidi w:val="0"/>
        <w:spacing w:lineRule="auto" w:line="312" w:before="0" w:after="180"/>
        <w:jc w:val="left"/>
        <w:rPr>
          <w:rFonts w:ascii="Arial;sans-serif" w:hAnsi="Arial;sans-serif"/>
          <w:b w:val="false"/>
          <w:color w:val="000000"/>
          <w:sz w:val="18"/>
        </w:rPr>
      </w:pPr>
      <w:r>
        <w:rPr>
          <w:rFonts w:ascii="Arial;sans-serif" w:hAnsi="Arial;sans-serif"/>
          <w:b w:val="false"/>
          <w:color w:val="000000"/>
          <w:sz w:val="18"/>
        </w:rPr>
        <w:t>The Compensation Committee takes the applicable tax and accounting requirements into consideration in designing and overseeing our executive compensation program.</w:t>
      </w:r>
    </w:p>
    <w:p>
      <w:pPr>
        <w:pStyle w:val="TextBody"/>
        <w:bidi w:val="0"/>
        <w:spacing w:lineRule="auto" w:line="312" w:before="0" w:after="120"/>
        <w:jc w:val="left"/>
        <w:rPr>
          <w:rFonts w:ascii="Arial;sans-serif" w:hAnsi="Arial;sans-serif"/>
          <w:b/>
          <w:color w:val="74A333"/>
          <w:sz w:val="18"/>
        </w:rPr>
      </w:pPr>
      <w:r>
        <w:rPr>
          <w:rFonts w:ascii="Arial;sans-serif" w:hAnsi="Arial;sans-serif"/>
          <w:b/>
          <w:color w:val="74A333"/>
          <w:sz w:val="18"/>
        </w:rPr>
        <w:t>Deductibility of Executive Compensation</w:t>
      </w:r>
    </w:p>
    <w:p>
      <w:pPr>
        <w:pStyle w:val="TextBody"/>
        <w:bidi w:val="0"/>
        <w:spacing w:lineRule="auto" w:line="312" w:before="0" w:after="180"/>
        <w:jc w:val="left"/>
        <w:rPr>
          <w:rFonts w:ascii="Arial;sans-serif" w:hAnsi="Arial;sans-serif"/>
          <w:b w:val="false"/>
          <w:color w:val="000000"/>
          <w:sz w:val="18"/>
        </w:rPr>
      </w:pPr>
      <w:r>
        <w:rPr>
          <w:rFonts w:ascii="Arial;sans-serif" w:hAnsi="Arial;sans-serif"/>
          <w:b w:val="false"/>
          <w:color w:val="000000"/>
          <w:sz w:val="18"/>
        </w:rPr>
        <w:t>For federal income tax purposes, publicly traded companies may be prohibited from deducting employee remuneration in excess of $1 million paid to certain “covered employees,” which may include certain Named Executive Officers, including, but not limited to, our Chief Executive Officer and Chief Financial Officer, under Section 162(m) of the Internal Revenue Code (the “Code”). Even if Section 162(m) may limit the compensation deduction, our Board of Directors and the Compensation Committee believe our compensation policies and practices should be designed to help us meet our established goals and objectives. While the Compensation Committee will consider the impact of the Section 162(m) deduction limitation, it intends to continue to compensate our executive officers, including our Named Executive Officers, in a manner that is in the best interest of our stockholders and reserves the right to make compensation decisions that may not be deductible under Section 162(m) where the Compensation Committee determines the compensation to be appropriate and in the best interests of the company and our stockholders.</w:t>
      </w:r>
    </w:p>
    <w:p>
      <w:pPr>
        <w:pStyle w:val="TextBody"/>
        <w:bidi w:val="0"/>
        <w:spacing w:lineRule="auto" w:line="312" w:before="0" w:after="120"/>
        <w:jc w:val="left"/>
        <w:rPr>
          <w:rFonts w:ascii="Arial;sans-serif" w:hAnsi="Arial;sans-serif"/>
          <w:b/>
          <w:color w:val="74A333"/>
          <w:sz w:val="18"/>
        </w:rPr>
      </w:pPr>
      <w:r>
        <w:rPr>
          <w:rFonts w:ascii="Arial;sans-serif" w:hAnsi="Arial;sans-serif"/>
          <w:b/>
          <w:color w:val="74A333"/>
          <w:sz w:val="18"/>
        </w:rPr>
        <w:t>Section 409A Considerations</w:t>
      </w:r>
    </w:p>
    <w:p>
      <w:pPr>
        <w:pStyle w:val="TextBody"/>
        <w:bidi w:val="0"/>
        <w:spacing w:lineRule="auto" w:line="312" w:before="0" w:after="180"/>
        <w:jc w:val="left"/>
        <w:rPr>
          <w:rFonts w:ascii="Arial;sans-serif" w:hAnsi="Arial;sans-serif"/>
          <w:b w:val="false"/>
          <w:color w:val="000000"/>
          <w:sz w:val="18"/>
        </w:rPr>
      </w:pPr>
      <w:r>
        <w:rPr>
          <w:rFonts w:ascii="Arial;sans-serif" w:hAnsi="Arial;sans-serif"/>
          <w:b w:val="false"/>
          <w:color w:val="000000"/>
          <w:sz w:val="18"/>
        </w:rPr>
        <w:t xml:space="preserve">Section 409A of the Code affects the manner by which deferred compensation opportunities are offered to our employees because Section 409A requires, among other things, that “non-qualified deferred compensation” be structured in a manner that limits employees’ ability to accelerate or further defer certain kinds of deferred compensation. We intend to operate our existing compensation arrangements that are covered by Section 409A in accordance with the applicable rules thereunder, and we will continue to review and amend our compensation arrangements where necessary to comply with Section 409A. </w:t>
      </w:r>
    </w:p>
    <w:p>
      <w:pPr>
        <w:pStyle w:val="TextBody"/>
        <w:bidi w:val="0"/>
        <w:spacing w:lineRule="auto" w:line="312" w:before="0" w:after="120"/>
        <w:jc w:val="left"/>
        <w:rPr>
          <w:rFonts w:ascii="Arial;sans-serif" w:hAnsi="Arial;sans-serif"/>
          <w:b/>
          <w:color w:val="74A333"/>
          <w:sz w:val="18"/>
        </w:rPr>
      </w:pPr>
      <w:r>
        <w:rPr>
          <w:rFonts w:ascii="Arial;sans-serif" w:hAnsi="Arial;sans-serif"/>
          <w:b/>
          <w:color w:val="74A333"/>
          <w:sz w:val="18"/>
        </w:rPr>
        <w:t>Accounting for Stock-Based Compensation</w:t>
      </w:r>
    </w:p>
    <w:p>
      <w:pPr>
        <w:pStyle w:val="TextBody"/>
        <w:bidi w:val="0"/>
        <w:spacing w:lineRule="auto" w:line="312" w:before="0" w:after="180"/>
        <w:jc w:val="left"/>
        <w:rPr>
          <w:rFonts w:ascii="Arial;sans-serif" w:hAnsi="Arial;sans-serif"/>
          <w:b w:val="false"/>
          <w:color w:val="000000"/>
          <w:sz w:val="18"/>
        </w:rPr>
      </w:pPr>
      <w:r>
        <w:rPr>
          <w:rFonts w:ascii="Arial;sans-serif" w:hAnsi="Arial;sans-serif"/>
          <w:b w:val="false"/>
          <w:color w:val="000000"/>
          <w:sz w:val="18"/>
        </w:rPr>
        <w:t>The Compensation Committee takes accounting considerations into account in designing compensation plans and arrangements for our executive officers and other employees. Chief among these is ASC Topic 718, the standard which governs the accounting treatment of certain stock-based compensation. Among other things, ASC Topic 718 requires us to record a compensation expense in our income statement for all equity awards granted to our executive officers and other employees. This compensation expense is based on the grant date “fair value” of the equity award and, in most cases, will be recognized ratably over the award’s requisite service period (which, generally, will correspond to the award’s vesting schedule). This compensation expense is also reported in the compensation tables below, even though recipients may never realize any value from their equity awards.</w:t>
      </w:r>
    </w:p>
    <w:p>
      <w:pPr>
        <w:pStyle w:val="TextBody"/>
        <w:bidi w:val="0"/>
        <w:spacing w:lineRule="auto" w:line="312" w:before="0" w:after="120"/>
        <w:jc w:val="left"/>
        <w:rPr>
          <w:rFonts w:ascii="Arial;sans-serif" w:hAnsi="Arial;sans-serif"/>
          <w:b/>
          <w:color w:val="74A333"/>
          <w:sz w:val="18"/>
        </w:rPr>
      </w:pPr>
      <w:r>
        <w:rPr>
          <w:rFonts w:ascii="Arial;sans-serif" w:hAnsi="Arial;sans-serif"/>
          <w:b/>
          <w:color w:val="74A333"/>
          <w:sz w:val="18"/>
        </w:rPr>
        <w:t>Compensation Risk Assessment</w:t>
      </w:r>
    </w:p>
    <w:p>
      <w:pPr>
        <w:pStyle w:val="TextBody"/>
        <w:bidi w:val="0"/>
        <w:spacing w:lineRule="auto" w:line="312" w:before="0" w:after="180"/>
        <w:jc w:val="left"/>
        <w:rPr>
          <w:rFonts w:ascii="Arial;sans-serif" w:hAnsi="Arial;sans-serif"/>
          <w:b w:val="false"/>
          <w:color w:val="000000"/>
          <w:sz w:val="18"/>
        </w:rPr>
      </w:pPr>
      <w:r>
        <w:rPr>
          <w:rFonts w:ascii="Arial;sans-serif" w:hAnsi="Arial;sans-serif"/>
          <w:b w:val="false"/>
          <w:color w:val="000000"/>
          <w:sz w:val="18"/>
        </w:rPr>
        <w:t>In consultation with management and Compensia, our Compensation Committee’s independent compensation consultant, in September 2024 our Compensation Committee assessed our compensation plans, policies and practices for our Named Executive Officers and other employees and concluded that they do not create risks that are reasonably likely to have a material adverse effect on our company. This risk assessment included, among other things, a review of our cash and equity incentive-based compensation plans to ensure that they are aligned with our company performance goals and overall target total direct compensation to ensure an appropriate balance between fixed and variable pay components. Our Compensation Committee conducts this assessment annually.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80"/>
        <w:jc w:val="left"/>
        <w:rPr>
          <w:rFonts w:ascii="Arial;sans-serif" w:hAnsi="Arial;sans-serif"/>
          <w:b w:val="false"/>
          <w:color w:val="000000"/>
          <w:sz w:val="24"/>
        </w:rPr>
      </w:pPr>
      <w:r>
        <w:rPr>
          <w:rFonts w:ascii="Arial;sans-serif" w:hAnsi="Arial;sans-serif"/>
          <w:b w:val="false"/>
          <w:color w:val="000000"/>
          <w:sz w:val="24"/>
        </w:rPr>
        <w:t>REPORT OF THE COMPENSATION COMMITTEE OF THE BOARD OF DIRECTORS</w:t>
      </w:r>
    </w:p>
    <w:p>
      <w:pPr>
        <w:pStyle w:val="TextBody"/>
        <w:bidi w:val="0"/>
        <w:spacing w:lineRule="auto" w:line="312" w:before="0" w:after="180"/>
        <w:jc w:val="left"/>
        <w:rPr>
          <w:rFonts w:ascii="Arial;sans-serif" w:hAnsi="Arial;sans-serif"/>
          <w:b w:val="false"/>
          <w:color w:val="000000"/>
          <w:sz w:val="18"/>
        </w:rPr>
      </w:pPr>
      <w:r>
        <w:rPr>
          <w:rFonts w:ascii="Arial;sans-serif" w:hAnsi="Arial;sans-serif"/>
          <w:b w:val="false"/>
          <w:color w:val="000000"/>
          <w:sz w:val="18"/>
        </w:rPr>
        <w:t>Our Compensation Committee has reviewed and discussed with management this Compensation Discussion and Analysis ("CD&amp;A"). Based on that review and discussion, we recommended to our Board that the CD&amp;A be included in this Proxy Statement and incorporated into our Annual Report on Form 10-K for the fiscal year ended December 31, 2024.</w:t>
      </w:r>
    </w:p>
    <w:p>
      <w:pPr>
        <w:pStyle w:val="TextBody"/>
        <w:bidi w:val="0"/>
        <w:spacing w:lineRule="auto" w:line="312" w:before="0" w:after="0"/>
        <w:jc w:val="left"/>
        <w:rPr>
          <w:rFonts w:ascii="Arial;sans-serif" w:hAnsi="Arial;sans-serif"/>
          <w:b/>
          <w:color w:val="000000"/>
          <w:sz w:val="18"/>
        </w:rPr>
      </w:pPr>
      <w:r>
        <w:rPr>
          <w:rFonts w:ascii="Arial;sans-serif" w:hAnsi="Arial;sans-serif"/>
          <w:b/>
          <w:color w:val="000000"/>
          <w:sz w:val="18"/>
        </w:rPr>
        <w:t>Timothy E. Davis, Jr. (Chairperson)</w:t>
      </w:r>
    </w:p>
    <w:p>
      <w:pPr>
        <w:pStyle w:val="TextBody"/>
        <w:bidi w:val="0"/>
        <w:spacing w:lineRule="auto" w:line="312" w:before="0" w:after="0"/>
        <w:jc w:val="left"/>
        <w:rPr>
          <w:rFonts w:ascii="Arial;sans-serif" w:hAnsi="Arial;sans-serif"/>
          <w:b/>
          <w:color w:val="000000"/>
          <w:sz w:val="18"/>
        </w:rPr>
      </w:pPr>
      <w:r>
        <w:rPr>
          <w:rFonts w:ascii="Arial;sans-serif" w:hAnsi="Arial;sans-serif"/>
          <w:b/>
          <w:color w:val="000000"/>
          <w:sz w:val="18"/>
        </w:rPr>
        <w:t>Gregory K. Hinckley</w:t>
      </w:r>
    </w:p>
    <w:p>
      <w:pPr>
        <w:pStyle w:val="TextBody"/>
        <w:bidi w:val="0"/>
        <w:spacing w:lineRule="auto" w:line="312" w:before="0" w:after="0"/>
        <w:jc w:val="left"/>
        <w:rPr>
          <w:rFonts w:ascii="Arial;sans-serif" w:hAnsi="Arial;sans-serif"/>
          <w:b/>
          <w:color w:val="000000"/>
          <w:sz w:val="18"/>
        </w:rPr>
      </w:pPr>
      <w:r>
        <w:rPr>
          <w:rFonts w:ascii="Arial;sans-serif" w:hAnsi="Arial;sans-serif"/>
          <w:b/>
          <w:color w:val="000000"/>
          <w:sz w:val="18"/>
        </w:rPr>
        <w:t>Thomas A. West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739140"/>
                <wp:effectExtent l="0" t="0" r="0" b="0"/>
                <wp:wrapNone/>
                <wp:docPr id="64" name="Frame43"/>
                <a:graphic xmlns:a="http://schemas.openxmlformats.org/drawingml/2006/main">
                  <a:graphicData uri="http://schemas.microsoft.com/office/word/2010/wordprocessingShape">
                    <wps:wsp>
                      <wps:cNvSpPr txBox="1"/>
                      <wps:spPr>
                        <a:xfrm>
                          <a:off x="0" y="0"/>
                          <a:ext cx="6480175" cy="739140"/>
                        </a:xfrm>
                        <a:prstGeom prst="rect"/>
                        <a:solidFill>
                          <a:srgbClr val="FFFFFF"/>
                        </a:solidFill>
                      </wps:spPr>
                      <wps:txbx>
                        <w:txbxContent>
                          <w:tbl>
                            <w:tblPr>
                              <w:tblW w:w="3266" w:type="dxa"/>
                              <w:jc w:val="center"/>
                              <w:tblInd w:w="0" w:type="dxa"/>
                              <w:tblLayout w:type="fixed"/>
                              <w:tblCellMar>
                                <w:top w:w="28" w:type="dxa"/>
                                <w:left w:w="28" w:type="dxa"/>
                                <w:bottom w:w="28" w:type="dxa"/>
                                <w:right w:w="28" w:type="dxa"/>
                              </w:tblCellMar>
                            </w:tblPr>
                            <w:tblGrid>
                              <w:gridCol w:w="424"/>
                              <w:gridCol w:w="372"/>
                              <w:gridCol w:w="374"/>
                              <w:gridCol w:w="109"/>
                              <w:gridCol w:w="109"/>
                              <w:gridCol w:w="109"/>
                              <w:gridCol w:w="517"/>
                              <w:gridCol w:w="517"/>
                              <w:gridCol w:w="735"/>
                            </w:tblGrid>
                            <w:tr>
                              <w:trPr/>
                              <w:tc>
                                <w:tcPr>
                                  <w:tcW w:w="424"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r>
                            <w:tr>
                              <w:trPr/>
                              <w:tc>
                                <w:tcPr>
                                  <w:tcW w:w="1170"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6"/>
                                    </w:rPr>
                                  </w:pPr>
                                  <w:r>
                                    <w:rPr>
                                      <w:rFonts w:ascii="Arial;sans-serif" w:hAnsi="Arial;sans-serif"/>
                                      <w:b/>
                                      <w:color w:val="000000"/>
                                      <w:sz w:val="16"/>
                                    </w:rPr>
                                    <w:t>SI-BONE, Inc.</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000000"/>
                                      <w:sz w:val="16"/>
                                    </w:rPr>
                                  </w:pPr>
                                  <w:r>
                                    <w:rPr>
                                      <w:rFonts w:ascii="Arial;sans-serif" w:hAnsi="Arial;sans-serif"/>
                                      <w:b/>
                                      <w:color w:val="000000"/>
                                      <w:sz w:val="16"/>
                                    </w:rPr>
                                    <w:t>38</w:t>
                                  </w:r>
                                </w:p>
                              </w:tc>
                              <w:tc>
                                <w:tcPr>
                                  <w:tcW w:w="176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2025 Proxy Statement</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2pt;mso-wrap-distance-left:0pt;mso-wrap-distance-right:0pt;mso-wrap-distance-top:0pt;mso-wrap-distance-bottom:0pt;margin-top:0pt;mso-position-vertical:top;mso-position-vertical-relative:text;margin-left:0pt;mso-position-horizontal:left;mso-position-horizontal-relative:text">
                <v:textbox>
                  <w:txbxContent>
                    <w:tbl>
                      <w:tblPr>
                        <w:tblW w:w="3266" w:type="dxa"/>
                        <w:jc w:val="center"/>
                        <w:tblInd w:w="0" w:type="dxa"/>
                        <w:tblLayout w:type="fixed"/>
                        <w:tblCellMar>
                          <w:top w:w="28" w:type="dxa"/>
                          <w:left w:w="28" w:type="dxa"/>
                          <w:bottom w:w="28" w:type="dxa"/>
                          <w:right w:w="28" w:type="dxa"/>
                        </w:tblCellMar>
                      </w:tblPr>
                      <w:tblGrid>
                        <w:gridCol w:w="424"/>
                        <w:gridCol w:w="372"/>
                        <w:gridCol w:w="374"/>
                        <w:gridCol w:w="109"/>
                        <w:gridCol w:w="109"/>
                        <w:gridCol w:w="109"/>
                        <w:gridCol w:w="517"/>
                        <w:gridCol w:w="517"/>
                        <w:gridCol w:w="735"/>
                      </w:tblGrid>
                      <w:tr>
                        <w:trPr/>
                        <w:tc>
                          <w:tcPr>
                            <w:tcW w:w="424"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r>
                      <w:tr>
                        <w:trPr/>
                        <w:tc>
                          <w:tcPr>
                            <w:tcW w:w="1170"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6"/>
                              </w:rPr>
                            </w:pPr>
                            <w:r>
                              <w:rPr>
                                <w:rFonts w:ascii="Arial;sans-serif" w:hAnsi="Arial;sans-serif"/>
                                <w:b/>
                                <w:color w:val="000000"/>
                                <w:sz w:val="16"/>
                              </w:rPr>
                              <w:t>SI-BONE, Inc.</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000000"/>
                                <w:sz w:val="16"/>
                              </w:rPr>
                            </w:pPr>
                            <w:r>
                              <w:rPr>
                                <w:rFonts w:ascii="Arial;sans-serif" w:hAnsi="Arial;sans-serif"/>
                                <w:b/>
                                <w:color w:val="000000"/>
                                <w:sz w:val="16"/>
                              </w:rPr>
                              <w:t>38</w:t>
                            </w:r>
                          </w:p>
                        </w:tc>
                        <w:tc>
                          <w:tcPr>
                            <w:tcW w:w="176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2025 Proxy Statement</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right"/>
        <w:rPr>
          <w:rFonts w:ascii="Arial;sans-serif" w:hAnsi="Arial;sans-serif"/>
          <w:b w:val="false"/>
          <w:color w:val="000000"/>
          <w:sz w:val="16"/>
        </w:rPr>
      </w:pPr>
      <w:r>
        <w:rPr>
          <w:rFonts w:ascii="Arial;sans-serif" w:hAnsi="Arial;sans-serif"/>
          <w:b w:val="false"/>
          <w:color w:val="000000"/>
          <w:sz w:val="16"/>
        </w:rPr>
        <w:t>Table of Contents</w:t>
      </w:r>
    </w:p>
    <w:p>
      <w:pPr>
        <w:pStyle w:val="TextBody"/>
        <w:bidi w:val="0"/>
        <w:spacing w:lineRule="auto" w:line="288" w:before="240" w:after="180"/>
        <w:jc w:val="left"/>
        <w:rPr>
          <w:rFonts w:ascii="Arial;sans-serif" w:hAnsi="Arial;sans-serif"/>
          <w:b w:val="false"/>
          <w:color w:val="000000"/>
          <w:sz w:val="24"/>
        </w:rPr>
      </w:pPr>
      <w:r>
        <w:rPr>
          <w:rFonts w:ascii="Arial;sans-serif" w:hAnsi="Arial;sans-serif"/>
          <w:b w:val="false"/>
          <w:color w:val="000000"/>
          <w:sz w:val="24"/>
        </w:rPr>
        <w:t>SUMMARY COMPENSATION TABLE</w:t>
      </w:r>
    </w:p>
    <w:p>
      <w:pPr>
        <w:pStyle w:val="TextBody"/>
        <w:bidi w:val="0"/>
        <w:spacing w:lineRule="auto" w:line="312" w:before="0" w:after="180"/>
        <w:jc w:val="left"/>
        <w:rPr>
          <w:rFonts w:ascii="Arial;sans-serif" w:hAnsi="Arial;sans-serif"/>
          <w:b w:val="false"/>
          <w:color w:val="000000"/>
          <w:sz w:val="18"/>
        </w:rPr>
      </w:pPr>
      <w:r>
        <w:rPr>
          <w:rFonts w:ascii="Arial;sans-serif" w:hAnsi="Arial;sans-serif"/>
          <w:b w:val="false"/>
          <w:color w:val="000000"/>
          <w:sz w:val="18"/>
        </w:rPr>
        <w:t>The following table shows for the fiscal years ended 2024, 2023 and 2022 compensation awarded to or paid to, or earned by, our Named Executive Officers.</w:t>
      </w:r>
    </w:p>
    <w:tbl>
      <w:tblPr>
        <w:tblW w:w="10079" w:type="dxa"/>
        <w:jc w:val="left"/>
        <w:tblInd w:w="0" w:type="dxa"/>
        <w:tblLayout w:type="fixed"/>
        <w:tblCellMar>
          <w:top w:w="28" w:type="dxa"/>
          <w:left w:w="28" w:type="dxa"/>
          <w:bottom w:w="28" w:type="dxa"/>
          <w:right w:w="28" w:type="dxa"/>
        </w:tblCellMar>
      </w:tblPr>
      <w:tblGrid>
        <w:gridCol w:w="952"/>
        <w:gridCol w:w="835"/>
        <w:gridCol w:w="838"/>
        <w:gridCol w:w="154"/>
        <w:gridCol w:w="154"/>
        <w:gridCol w:w="158"/>
        <w:gridCol w:w="368"/>
        <w:gridCol w:w="368"/>
        <w:gridCol w:w="196"/>
        <w:gridCol w:w="435"/>
        <w:gridCol w:w="436"/>
        <w:gridCol w:w="276"/>
        <w:gridCol w:w="1164"/>
        <w:gridCol w:w="1164"/>
        <w:gridCol w:w="1167"/>
        <w:gridCol w:w="435"/>
        <w:gridCol w:w="436"/>
        <w:gridCol w:w="171"/>
        <w:gridCol w:w="109"/>
        <w:gridCol w:w="109"/>
        <w:gridCol w:w="154"/>
      </w:tblGrid>
      <w:tr>
        <w:trPr/>
        <w:tc>
          <w:tcPr>
            <w:tcW w:w="952"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c>
          <w:tcPr>
            <w:tcW w:w="838"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164" w:type="dxa"/>
            <w:tcBorders/>
            <w:vAlign w:val="center"/>
          </w:tcPr>
          <w:p>
            <w:pPr>
              <w:pStyle w:val="TableContents"/>
              <w:bidi w:val="0"/>
              <w:spacing w:before="0" w:after="283"/>
              <w:jc w:val="left"/>
              <w:rPr>
                <w:sz w:val="4"/>
                <w:szCs w:val="4"/>
              </w:rPr>
            </w:pPr>
            <w:r>
              <w:rPr>
                <w:sz w:val="4"/>
                <w:szCs w:val="4"/>
              </w:rPr>
            </w:r>
          </w:p>
        </w:tc>
        <w:tc>
          <w:tcPr>
            <w:tcW w:w="1164" w:type="dxa"/>
            <w:tcBorders/>
            <w:vAlign w:val="center"/>
          </w:tcPr>
          <w:p>
            <w:pPr>
              <w:pStyle w:val="TableContents"/>
              <w:bidi w:val="0"/>
              <w:spacing w:before="0" w:after="283"/>
              <w:jc w:val="left"/>
              <w:rPr>
                <w:sz w:val="4"/>
                <w:szCs w:val="4"/>
              </w:rPr>
            </w:pPr>
            <w:r>
              <w:rPr>
                <w:sz w:val="4"/>
                <w:szCs w:val="4"/>
              </w:rPr>
            </w:r>
          </w:p>
        </w:tc>
        <w:tc>
          <w:tcPr>
            <w:tcW w:w="1167"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2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6"/>
              </w:rPr>
            </w:pPr>
            <w:r>
              <w:rPr>
                <w:rFonts w:ascii="Arial;sans-serif" w:hAnsi="Arial;sans-serif"/>
                <w:b/>
                <w:color w:val="000000"/>
                <w:sz w:val="16"/>
              </w:rPr>
              <w:t>Name and Principal Position</w:t>
            </w:r>
          </w:p>
        </w:tc>
        <w:tc>
          <w:tcPr>
            <w:tcW w:w="46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Year</w:t>
            </w:r>
          </w:p>
        </w:tc>
        <w:tc>
          <w:tcPr>
            <w:tcW w:w="932"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6"/>
              </w:rPr>
            </w:pPr>
            <w:r>
              <w:rPr>
                <w:rFonts w:ascii="Arial;sans-serif" w:hAnsi="Arial;sans-serif"/>
                <w:b/>
                <w:color w:val="000000"/>
                <w:sz w:val="16"/>
              </w:rPr>
              <w:t>Salary</w:t>
              <w:br/>
              <w:t>($)</w:t>
            </w:r>
          </w:p>
        </w:tc>
        <w:tc>
          <w:tcPr>
            <w:tcW w:w="1147"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Arial;sans-serif" w:hAnsi="Arial;sans-serif"/>
                <w:b/>
                <w:color w:val="000000"/>
                <w:sz w:val="16"/>
              </w:rPr>
            </w:pPr>
            <w:r>
              <w:rPr>
                <w:rFonts w:ascii="Arial;sans-serif" w:hAnsi="Arial;sans-serif"/>
                <w:b/>
                <w:color w:val="000000"/>
                <w:sz w:val="16"/>
              </w:rPr>
              <w:t>Stock</w:t>
            </w:r>
          </w:p>
          <w:p>
            <w:pPr>
              <w:pStyle w:val="TableContents"/>
              <w:bidi w:val="0"/>
              <w:spacing w:lineRule="auto" w:line="288" w:before="0" w:after="0"/>
              <w:jc w:val="right"/>
              <w:rPr/>
            </w:pPr>
            <w:r>
              <w:rPr>
                <w:rFonts w:ascii="Arial;sans-serif" w:hAnsi="Arial;sans-serif"/>
                <w:b/>
                <w:color w:val="000000"/>
                <w:sz w:val="16"/>
              </w:rPr>
              <w:t>Awards</w:t>
            </w:r>
            <w:r>
              <w:rPr>
                <w:rFonts w:ascii="Arial;sans-serif" w:hAnsi="Arial;sans-serif"/>
                <w:b/>
                <w:color w:val="000000"/>
                <w:sz w:val="10"/>
              </w:rPr>
              <w:t>(1)</w:t>
            </w:r>
          </w:p>
          <w:p>
            <w:pPr>
              <w:pStyle w:val="TableContents"/>
              <w:bidi w:val="0"/>
              <w:spacing w:lineRule="auto" w:line="288" w:before="0" w:after="0"/>
              <w:jc w:val="right"/>
              <w:rPr>
                <w:rFonts w:ascii="Arial;sans-serif" w:hAnsi="Arial;sans-serif"/>
                <w:b/>
                <w:color w:val="000000"/>
                <w:sz w:val="16"/>
              </w:rPr>
            </w:pPr>
            <w:r>
              <w:rPr>
                <w:rFonts w:ascii="Arial;sans-serif" w:hAnsi="Arial;sans-serif"/>
                <w:b/>
                <w:color w:val="000000"/>
                <w:sz w:val="16"/>
              </w:rPr>
              <w:t>($)</w:t>
            </w:r>
          </w:p>
        </w:tc>
        <w:tc>
          <w:tcPr>
            <w:tcW w:w="3495" w:type="dxa"/>
            <w:gridSpan w:val="3"/>
            <w:tcBorders/>
            <w:tcMar>
              <w:top w:w="0" w:type="dxa"/>
              <w:left w:w="0" w:type="dxa"/>
              <w:bottom w:w="0" w:type="dxa"/>
              <w:right w:w="0" w:type="dxa"/>
            </w:tcMar>
            <w:vAlign w:val="center"/>
          </w:tcPr>
          <w:p>
            <w:pPr>
              <w:pStyle w:val="TableContents"/>
              <w:bidi w:val="0"/>
              <w:spacing w:lineRule="auto" w:line="288" w:before="0" w:after="0"/>
              <w:jc w:val="right"/>
              <w:rPr/>
            </w:pPr>
            <w:r>
              <w:rPr>
                <w:rFonts w:ascii="Arial;sans-serif" w:hAnsi="Arial;sans-serif"/>
                <w:b/>
                <w:color w:val="000000"/>
                <w:sz w:val="16"/>
              </w:rPr>
              <w:t>Non-Equity Incentive Plan Compensation</w:t>
            </w:r>
            <w:r>
              <w:rPr>
                <w:rFonts w:ascii="Arial;sans-serif" w:hAnsi="Arial;sans-serif"/>
                <w:b/>
                <w:color w:val="000000"/>
                <w:sz w:val="10"/>
              </w:rPr>
              <w:t>(2)</w:t>
            </w:r>
          </w:p>
          <w:p>
            <w:pPr>
              <w:pStyle w:val="TableContents"/>
              <w:bidi w:val="0"/>
              <w:spacing w:lineRule="auto" w:line="288" w:before="0" w:after="0"/>
              <w:jc w:val="right"/>
              <w:rPr>
                <w:rFonts w:ascii="Arial;sans-serif" w:hAnsi="Arial;sans-serif"/>
                <w:b/>
                <w:color w:val="000000"/>
                <w:sz w:val="16"/>
              </w:rPr>
            </w:pPr>
            <w:r>
              <w:rPr>
                <w:rFonts w:ascii="Arial;sans-serif" w:hAnsi="Arial;sans-serif"/>
                <w:b/>
                <w:color w:val="000000"/>
                <w:sz w:val="16"/>
              </w:rPr>
              <w:t>($)</w:t>
            </w:r>
          </w:p>
        </w:tc>
        <w:tc>
          <w:tcPr>
            <w:tcW w:w="1042"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6"/>
              </w:rPr>
            </w:pPr>
            <w:r>
              <w:rPr>
                <w:rFonts w:ascii="Arial;sans-serif" w:hAnsi="Arial;sans-serif"/>
                <w:b/>
                <w:color w:val="000000"/>
                <w:sz w:val="16"/>
              </w:rPr>
              <w:t>Total</w:t>
              <w:br/>
              <w:t>($)</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5" w:type="dxa"/>
            <w:gridSpan w:val="3"/>
            <w:vMerge w:val="restart"/>
            <w:tcBorders/>
            <w:shd w:fill="ECECEE"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color w:val="74A333"/>
                <w:sz w:val="16"/>
              </w:rPr>
            </w:pPr>
            <w:r>
              <w:rPr>
                <w:rFonts w:ascii="Arial;sans-serif" w:hAnsi="Arial;sans-serif"/>
                <w:b/>
                <w:color w:val="74A333"/>
                <w:sz w:val="16"/>
              </w:rPr>
              <w:t>Laura A. Francis</w:t>
            </w:r>
          </w:p>
          <w:p>
            <w:pPr>
              <w:pStyle w:val="TableContents"/>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Chief Executive Officer</w:t>
            </w:r>
          </w:p>
        </w:tc>
        <w:tc>
          <w:tcPr>
            <w:tcW w:w="466" w:type="dxa"/>
            <w:gridSpan w:val="3"/>
            <w:tcBorders/>
            <w:shd w:fill="ECECEE"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2024</w:t>
            </w:r>
          </w:p>
        </w:tc>
        <w:tc>
          <w:tcPr>
            <w:tcW w:w="736" w:type="dxa"/>
            <w:gridSpan w:val="2"/>
            <w:tcBorders/>
            <w:shd w:fill="ECECEE"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652,000 </w:t>
            </w:r>
          </w:p>
        </w:tc>
        <w:tc>
          <w:tcPr>
            <w:tcW w:w="196" w:type="dxa"/>
            <w:tcBorders/>
            <w:shd w:fill="ECEC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ECECEE"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5,793,445 </w:t>
            </w:r>
          </w:p>
        </w:tc>
        <w:tc>
          <w:tcPr>
            <w:tcW w:w="276" w:type="dxa"/>
            <w:tcBorders/>
            <w:shd w:fill="ECEC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8" w:type="dxa"/>
            <w:gridSpan w:val="2"/>
            <w:tcBorders/>
            <w:shd w:fill="ECECEE"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641,959 </w:t>
            </w:r>
          </w:p>
        </w:tc>
        <w:tc>
          <w:tcPr>
            <w:tcW w:w="1167" w:type="dxa"/>
            <w:tcBorders/>
            <w:shd w:fill="ECEC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ECECEE"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7,087,404 </w:t>
            </w:r>
          </w:p>
        </w:tc>
        <w:tc>
          <w:tcPr>
            <w:tcW w:w="171" w:type="dxa"/>
            <w:tcBorders/>
            <w:shd w:fill="ECEC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ECEC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5" w:type="dxa"/>
            <w:gridSpan w:val="3"/>
            <w:vMerge w:val="continue"/>
            <w:tcBorders/>
            <w:shd w:fill="ECECEE" w:val="clear"/>
            <w:tcMar>
              <w:top w:w="0" w:type="dxa"/>
              <w:left w:w="0" w:type="dxa"/>
              <w:bottom w:w="0" w:type="dxa"/>
              <w:right w:w="0" w:type="dxa"/>
            </w:tcMar>
            <w:vAlign w:val="center"/>
          </w:tcPr>
          <w:p>
            <w:pPr>
              <w:pStyle w:val="Normal"/>
              <w:bidi w:val="0"/>
              <w:jc w:val="left"/>
              <w:rPr/>
            </w:pPr>
            <w:r>
              <w:rPr/>
            </w:r>
          </w:p>
        </w:tc>
        <w:tc>
          <w:tcPr>
            <w:tcW w:w="466" w:type="dxa"/>
            <w:gridSpan w:val="3"/>
            <w:tcBorders/>
            <w:shd w:fill="ECECEE"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2023</w:t>
            </w:r>
          </w:p>
        </w:tc>
        <w:tc>
          <w:tcPr>
            <w:tcW w:w="736" w:type="dxa"/>
            <w:gridSpan w:val="2"/>
            <w:tcBorders/>
            <w:shd w:fill="ECECEE"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622,120 </w:t>
            </w:r>
          </w:p>
        </w:tc>
        <w:tc>
          <w:tcPr>
            <w:tcW w:w="196" w:type="dxa"/>
            <w:tcBorders/>
            <w:shd w:fill="ECEC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ECECEE"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2,449,257 </w:t>
            </w:r>
          </w:p>
        </w:tc>
        <w:tc>
          <w:tcPr>
            <w:tcW w:w="276" w:type="dxa"/>
            <w:tcBorders/>
            <w:shd w:fill="ECEC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8" w:type="dxa"/>
            <w:gridSpan w:val="2"/>
            <w:tcBorders/>
            <w:shd w:fill="ECECEE"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642,494 </w:t>
            </w:r>
          </w:p>
        </w:tc>
        <w:tc>
          <w:tcPr>
            <w:tcW w:w="1167" w:type="dxa"/>
            <w:tcBorders/>
            <w:shd w:fill="ECEC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ECECEE"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3,713,871 </w:t>
            </w:r>
          </w:p>
        </w:tc>
        <w:tc>
          <w:tcPr>
            <w:tcW w:w="171" w:type="dxa"/>
            <w:tcBorders/>
            <w:shd w:fill="ECEC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ECEC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5" w:type="dxa"/>
            <w:gridSpan w:val="3"/>
            <w:vMerge w:val="continue"/>
            <w:tcBorders/>
            <w:shd w:fill="ECECEE" w:val="clear"/>
            <w:tcMar>
              <w:top w:w="0" w:type="dxa"/>
              <w:left w:w="0" w:type="dxa"/>
              <w:bottom w:w="0" w:type="dxa"/>
              <w:right w:w="0" w:type="dxa"/>
            </w:tcMar>
            <w:vAlign w:val="center"/>
          </w:tcPr>
          <w:p>
            <w:pPr>
              <w:pStyle w:val="Normal"/>
              <w:bidi w:val="0"/>
              <w:jc w:val="left"/>
              <w:rPr/>
            </w:pPr>
            <w:r>
              <w:rPr/>
            </w:r>
          </w:p>
        </w:tc>
        <w:tc>
          <w:tcPr>
            <w:tcW w:w="466" w:type="dxa"/>
            <w:gridSpan w:val="3"/>
            <w:tcBorders/>
            <w:shd w:fill="ECECEE"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2022</w:t>
            </w:r>
          </w:p>
        </w:tc>
        <w:tc>
          <w:tcPr>
            <w:tcW w:w="736" w:type="dxa"/>
            <w:gridSpan w:val="2"/>
            <w:tcBorders/>
            <w:shd w:fill="ECECEE"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604,000 </w:t>
            </w:r>
          </w:p>
        </w:tc>
        <w:tc>
          <w:tcPr>
            <w:tcW w:w="196" w:type="dxa"/>
            <w:tcBorders/>
            <w:shd w:fill="ECEC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ECECEE"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3,785,800 </w:t>
            </w:r>
          </w:p>
        </w:tc>
        <w:tc>
          <w:tcPr>
            <w:tcW w:w="276" w:type="dxa"/>
            <w:tcBorders/>
            <w:shd w:fill="ECEC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8" w:type="dxa"/>
            <w:gridSpan w:val="2"/>
            <w:tcBorders/>
            <w:shd w:fill="ECECEE"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504,159 </w:t>
            </w:r>
          </w:p>
        </w:tc>
        <w:tc>
          <w:tcPr>
            <w:tcW w:w="1167" w:type="dxa"/>
            <w:tcBorders/>
            <w:shd w:fill="ECEC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ECECEE"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4,893,959 </w:t>
            </w:r>
          </w:p>
        </w:tc>
        <w:tc>
          <w:tcPr>
            <w:tcW w:w="171" w:type="dxa"/>
            <w:tcBorders/>
            <w:shd w:fill="ECEC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ECEC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5" w:type="dxa"/>
            <w:gridSpan w:val="3"/>
            <w:vMerge w:val="restart"/>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color w:val="74A333"/>
                <w:sz w:val="16"/>
              </w:rPr>
            </w:pPr>
            <w:r>
              <w:rPr>
                <w:rFonts w:ascii="Arial;sans-serif" w:hAnsi="Arial;sans-serif"/>
                <w:b/>
                <w:color w:val="74A333"/>
                <w:sz w:val="16"/>
              </w:rPr>
              <w:t>Anshul Maheshwari</w:t>
            </w:r>
          </w:p>
          <w:p>
            <w:pPr>
              <w:pStyle w:val="TableContents"/>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Chief Financial Officer</w:t>
            </w:r>
          </w:p>
        </w:tc>
        <w:tc>
          <w:tcPr>
            <w:tcW w:w="46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2024</w:t>
            </w:r>
          </w:p>
        </w:tc>
        <w:tc>
          <w:tcPr>
            <w:tcW w:w="73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464,167 </w:t>
            </w:r>
          </w:p>
        </w:tc>
        <w:tc>
          <w:tcPr>
            <w:tcW w:w="19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1,726,897 </w:t>
            </w:r>
          </w:p>
        </w:tc>
        <w:tc>
          <w:tcPr>
            <w:tcW w:w="2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8"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279,289 </w:t>
            </w:r>
          </w:p>
        </w:tc>
        <w:tc>
          <w:tcPr>
            <w:tcW w:w="116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2,470,353 </w:t>
            </w:r>
          </w:p>
        </w:tc>
        <w:tc>
          <w:tcPr>
            <w:tcW w:w="1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5" w:type="dxa"/>
            <w:gridSpan w:val="3"/>
            <w:vMerge w:val="continue"/>
            <w:tcBorders/>
            <w:tcMar>
              <w:top w:w="0" w:type="dxa"/>
              <w:left w:w="0" w:type="dxa"/>
              <w:bottom w:w="0" w:type="dxa"/>
              <w:right w:w="0" w:type="dxa"/>
            </w:tcMar>
            <w:vAlign w:val="center"/>
          </w:tcPr>
          <w:p>
            <w:pPr>
              <w:pStyle w:val="Normal"/>
              <w:bidi w:val="0"/>
              <w:jc w:val="left"/>
              <w:rPr/>
            </w:pPr>
            <w:r>
              <w:rPr/>
            </w:r>
          </w:p>
        </w:tc>
        <w:tc>
          <w:tcPr>
            <w:tcW w:w="46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2023</w:t>
            </w:r>
          </w:p>
        </w:tc>
        <w:tc>
          <w:tcPr>
            <w:tcW w:w="932"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439,000</w:t>
            </w:r>
          </w:p>
        </w:tc>
        <w:tc>
          <w:tcPr>
            <w:tcW w:w="1147"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1,154,988</w:t>
            </w:r>
          </w:p>
        </w:tc>
        <w:tc>
          <w:tcPr>
            <w:tcW w:w="3495"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266,693</w:t>
            </w:r>
          </w:p>
        </w:tc>
        <w:tc>
          <w:tcPr>
            <w:tcW w:w="1042"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1,860,681</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5" w:type="dxa"/>
            <w:gridSpan w:val="3"/>
            <w:vMerge w:val="continue"/>
            <w:tcBorders/>
            <w:tcMar>
              <w:top w:w="0" w:type="dxa"/>
              <w:left w:w="0" w:type="dxa"/>
              <w:bottom w:w="0" w:type="dxa"/>
              <w:right w:w="0" w:type="dxa"/>
            </w:tcMar>
            <w:vAlign w:val="center"/>
          </w:tcPr>
          <w:p>
            <w:pPr>
              <w:pStyle w:val="Normal"/>
              <w:bidi w:val="0"/>
              <w:jc w:val="left"/>
              <w:rPr/>
            </w:pPr>
            <w:r>
              <w:rPr/>
            </w:r>
          </w:p>
        </w:tc>
        <w:tc>
          <w:tcPr>
            <w:tcW w:w="46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2022</w:t>
            </w:r>
          </w:p>
        </w:tc>
        <w:tc>
          <w:tcPr>
            <w:tcW w:w="932"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426,000</w:t>
            </w:r>
          </w:p>
        </w:tc>
        <w:tc>
          <w:tcPr>
            <w:tcW w:w="1147"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1,516,636</w:t>
            </w:r>
          </w:p>
        </w:tc>
        <w:tc>
          <w:tcPr>
            <w:tcW w:w="3495"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188,249</w:t>
            </w:r>
          </w:p>
        </w:tc>
        <w:tc>
          <w:tcPr>
            <w:tcW w:w="1042"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2,130,885</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5" w:type="dxa"/>
            <w:gridSpan w:val="3"/>
            <w:vMerge w:val="restart"/>
            <w:tcBorders>
              <w:bottom w:val="single" w:sz="12" w:space="0" w:color="74A333"/>
            </w:tcBorders>
            <w:shd w:fill="ECECEE" w:val="clear"/>
            <w:tcMar>
              <w:top w:w="0" w:type="dxa"/>
              <w:left w:w="0" w:type="dxa"/>
              <w:bottom w:w="30" w:type="dxa"/>
              <w:right w:w="0" w:type="dxa"/>
            </w:tcMar>
            <w:vAlign w:val="center"/>
          </w:tcPr>
          <w:p>
            <w:pPr>
              <w:pStyle w:val="TableContents"/>
              <w:bidi w:val="0"/>
              <w:spacing w:lineRule="auto" w:line="288" w:before="0" w:after="0"/>
              <w:jc w:val="left"/>
              <w:rPr>
                <w:rFonts w:ascii="Arial;sans-serif" w:hAnsi="Arial;sans-serif"/>
                <w:b/>
                <w:color w:val="74A333"/>
                <w:sz w:val="16"/>
              </w:rPr>
            </w:pPr>
            <w:r>
              <w:rPr>
                <w:rFonts w:ascii="Arial;sans-serif" w:hAnsi="Arial;sans-serif"/>
                <w:b/>
                <w:color w:val="74A333"/>
                <w:sz w:val="16"/>
              </w:rPr>
              <w:t>Anthony J. Recupero</w:t>
            </w:r>
          </w:p>
          <w:p>
            <w:pPr>
              <w:pStyle w:val="TableContents"/>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President, Commercial Operations</w:t>
            </w:r>
          </w:p>
        </w:tc>
        <w:tc>
          <w:tcPr>
            <w:tcW w:w="466" w:type="dxa"/>
            <w:gridSpan w:val="3"/>
            <w:tcBorders/>
            <w:shd w:fill="ECECEE"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2024</w:t>
            </w:r>
          </w:p>
        </w:tc>
        <w:tc>
          <w:tcPr>
            <w:tcW w:w="736" w:type="dxa"/>
            <w:gridSpan w:val="2"/>
            <w:tcBorders/>
            <w:shd w:fill="ECECEE"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486,000 </w:t>
            </w:r>
          </w:p>
        </w:tc>
        <w:tc>
          <w:tcPr>
            <w:tcW w:w="196" w:type="dxa"/>
            <w:tcBorders/>
            <w:shd w:fill="ECEC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ECECEE"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1,678,774 </w:t>
            </w:r>
          </w:p>
        </w:tc>
        <w:tc>
          <w:tcPr>
            <w:tcW w:w="276" w:type="dxa"/>
            <w:tcBorders/>
            <w:shd w:fill="ECEC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8" w:type="dxa"/>
            <w:gridSpan w:val="2"/>
            <w:tcBorders/>
            <w:shd w:fill="ECECEE"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398,763 </w:t>
            </w:r>
          </w:p>
        </w:tc>
        <w:tc>
          <w:tcPr>
            <w:tcW w:w="1167" w:type="dxa"/>
            <w:tcBorders/>
            <w:shd w:fill="ECEC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ECECEE"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2,563,537 </w:t>
            </w:r>
          </w:p>
        </w:tc>
        <w:tc>
          <w:tcPr>
            <w:tcW w:w="171" w:type="dxa"/>
            <w:tcBorders/>
            <w:shd w:fill="ECEC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ECEC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5" w:type="dxa"/>
            <w:gridSpan w:val="3"/>
            <w:vMerge w:val="continue"/>
            <w:tcBorders>
              <w:bottom w:val="single" w:sz="12" w:space="0" w:color="74A333"/>
            </w:tcBorders>
            <w:shd w:fill="ECECEE" w:val="clear"/>
            <w:tcMar>
              <w:top w:w="0" w:type="dxa"/>
              <w:left w:w="0" w:type="dxa"/>
              <w:bottom w:w="30" w:type="dxa"/>
              <w:right w:w="0" w:type="dxa"/>
            </w:tcMar>
            <w:vAlign w:val="center"/>
          </w:tcPr>
          <w:p>
            <w:pPr>
              <w:pStyle w:val="Normal"/>
              <w:bidi w:val="0"/>
              <w:jc w:val="left"/>
              <w:rPr/>
            </w:pPr>
            <w:r>
              <w:rPr/>
            </w:r>
          </w:p>
        </w:tc>
        <w:tc>
          <w:tcPr>
            <w:tcW w:w="466" w:type="dxa"/>
            <w:gridSpan w:val="3"/>
            <w:tcBorders/>
            <w:shd w:fill="ECECEE"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2023</w:t>
            </w:r>
          </w:p>
        </w:tc>
        <w:tc>
          <w:tcPr>
            <w:tcW w:w="932" w:type="dxa"/>
            <w:gridSpan w:val="3"/>
            <w:tcBorders/>
            <w:shd w:fill="ECECEE"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472,000</w:t>
            </w:r>
          </w:p>
        </w:tc>
        <w:tc>
          <w:tcPr>
            <w:tcW w:w="1147" w:type="dxa"/>
            <w:gridSpan w:val="3"/>
            <w:tcBorders/>
            <w:shd w:fill="ECECEE"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1,154,988</w:t>
            </w:r>
          </w:p>
        </w:tc>
        <w:tc>
          <w:tcPr>
            <w:tcW w:w="3495" w:type="dxa"/>
            <w:gridSpan w:val="3"/>
            <w:tcBorders/>
            <w:shd w:fill="ECECEE"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430,110</w:t>
            </w:r>
          </w:p>
        </w:tc>
        <w:tc>
          <w:tcPr>
            <w:tcW w:w="1042" w:type="dxa"/>
            <w:gridSpan w:val="3"/>
            <w:tcBorders/>
            <w:shd w:fill="ECECEE"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2,057,098</w:t>
            </w:r>
          </w:p>
        </w:tc>
        <w:tc>
          <w:tcPr>
            <w:tcW w:w="372" w:type="dxa"/>
            <w:gridSpan w:val="3"/>
            <w:tcBorders/>
            <w:shd w:fill="ECEC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5" w:type="dxa"/>
            <w:gridSpan w:val="3"/>
            <w:vMerge w:val="continue"/>
            <w:tcBorders>
              <w:bottom w:val="single" w:sz="12" w:space="0" w:color="74A333"/>
            </w:tcBorders>
            <w:shd w:fill="ECECEE" w:val="clear"/>
            <w:tcMar>
              <w:top w:w="0" w:type="dxa"/>
              <w:left w:w="0" w:type="dxa"/>
              <w:bottom w:w="30" w:type="dxa"/>
              <w:right w:w="0" w:type="dxa"/>
            </w:tcMar>
            <w:vAlign w:val="center"/>
          </w:tcPr>
          <w:p>
            <w:pPr>
              <w:pStyle w:val="Normal"/>
              <w:bidi w:val="0"/>
              <w:jc w:val="left"/>
              <w:rPr/>
            </w:pPr>
            <w:r>
              <w:rPr/>
            </w:r>
          </w:p>
        </w:tc>
        <w:tc>
          <w:tcPr>
            <w:tcW w:w="466" w:type="dxa"/>
            <w:gridSpan w:val="3"/>
            <w:tcBorders>
              <w:bottom w:val="single" w:sz="12" w:space="0" w:color="74A333"/>
            </w:tcBorders>
            <w:shd w:fill="ECECEE" w:val="clear"/>
            <w:tcMar>
              <w:top w:w="0" w:type="dxa"/>
              <w:left w:w="0" w:type="dxa"/>
              <w:bottom w:w="3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2022</w:t>
            </w:r>
          </w:p>
        </w:tc>
        <w:tc>
          <w:tcPr>
            <w:tcW w:w="932" w:type="dxa"/>
            <w:gridSpan w:val="3"/>
            <w:tcBorders>
              <w:bottom w:val="single" w:sz="12" w:space="0" w:color="74A333"/>
            </w:tcBorders>
            <w:shd w:fill="ECECEE" w:val="clear"/>
            <w:tcMar>
              <w:top w:w="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458,000</w:t>
            </w:r>
          </w:p>
        </w:tc>
        <w:tc>
          <w:tcPr>
            <w:tcW w:w="1147" w:type="dxa"/>
            <w:gridSpan w:val="3"/>
            <w:tcBorders>
              <w:bottom w:val="single" w:sz="12" w:space="0" w:color="74A333"/>
            </w:tcBorders>
            <w:shd w:fill="ECECEE" w:val="clear"/>
            <w:tcMar>
              <w:top w:w="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1,561,228</w:t>
            </w:r>
          </w:p>
        </w:tc>
        <w:tc>
          <w:tcPr>
            <w:tcW w:w="3495" w:type="dxa"/>
            <w:gridSpan w:val="3"/>
            <w:tcBorders>
              <w:bottom w:val="single" w:sz="12" w:space="0" w:color="74A333"/>
            </w:tcBorders>
            <w:shd w:fill="ECECEE" w:val="clear"/>
            <w:tcMar>
              <w:top w:w="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337,317</w:t>
            </w:r>
          </w:p>
        </w:tc>
        <w:tc>
          <w:tcPr>
            <w:tcW w:w="1042" w:type="dxa"/>
            <w:gridSpan w:val="3"/>
            <w:tcBorders>
              <w:bottom w:val="single" w:sz="12" w:space="0" w:color="74A333"/>
            </w:tcBorders>
            <w:shd w:fill="ECECEE" w:val="clear"/>
            <w:tcMar>
              <w:top w:w="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2,356,545</w:t>
            </w:r>
          </w:p>
        </w:tc>
        <w:tc>
          <w:tcPr>
            <w:tcW w:w="372" w:type="dxa"/>
            <w:gridSpan w:val="3"/>
            <w:tcBorders>
              <w:bottom w:val="single" w:sz="12" w:space="0" w:color="74A333"/>
            </w:tcBorders>
            <w:shd w:fill="ECECEE"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ind w:left="0" w:right="0" w:hanging="360"/>
        <w:jc w:val="left"/>
        <w:rPr>
          <w:rFonts w:ascii="Arial;sans-serif" w:hAnsi="Arial;sans-serif"/>
          <w:b w:val="false"/>
          <w:color w:val="52575F"/>
          <w:sz w:val="16"/>
        </w:rPr>
      </w:pPr>
      <w:r>
        <w:rPr>
          <w:rFonts w:ascii="Arial;sans-serif" w:hAnsi="Arial;sans-serif"/>
          <w:b w:val="false"/>
          <w:color w:val="52575F"/>
          <w:sz w:val="16"/>
        </w:rPr>
        <w:t>1.Represents the aggregate grant date fair value of restricted stock units ('RSU') and performance based restricted stock units ('PSU') granted to the officer, computed in accordance with FASB ASC Topic 718. See "Note 10 to the Consolidated Financial Statements" included in our Annual Report on Form 10-K filed with the SEC on February 25, 2025 for the assumptions used in calculating the grant date fair value. These amounts do not reflect the actual economic value that may be realized from such awards.</w:t>
      </w:r>
    </w:p>
    <w:p>
      <w:pPr>
        <w:pStyle w:val="TextBody"/>
        <w:bidi w:val="0"/>
        <w:spacing w:lineRule="auto" w:line="288" w:before="0" w:after="120"/>
        <w:jc w:val="left"/>
        <w:rPr>
          <w:rFonts w:ascii="Arial;sans-serif" w:hAnsi="Arial;sans-serif"/>
          <w:b w:val="false"/>
          <w:color w:val="52575F"/>
          <w:sz w:val="16"/>
        </w:rPr>
      </w:pPr>
      <w:r>
        <w:rPr>
          <w:rFonts w:ascii="Arial;sans-serif" w:hAnsi="Arial;sans-serif"/>
          <w:b w:val="false"/>
          <w:color w:val="52575F"/>
          <w:sz w:val="16"/>
        </w:rPr>
        <w:t xml:space="preserve">Ms. Francis received an RSU award including 100,653 shares and a PSU award with a target number of shares of 100,653 shares and share potential ranging from zero to a maximum of 201,306 shares. Mr. Maheshwari received RSU awards including 54,026 shares and a PSU award with a target number of shares of 17,002 shares and share potential ranging from zero to a maximum of 34,004 shares. Mr. Recupero received an RSU award including 51,007 shares and a PSU award with a target number of shares of 17,002 shares and share potential ranging from zero to a maximum of 34,004 shares. </w:t>
      </w:r>
    </w:p>
    <w:p>
      <w:pPr>
        <w:pStyle w:val="TextBody"/>
        <w:bidi w:val="0"/>
        <w:spacing w:lineRule="auto" w:line="288" w:before="0" w:after="120"/>
        <w:jc w:val="left"/>
        <w:rPr>
          <w:rFonts w:ascii="Arial;sans-serif" w:hAnsi="Arial;sans-serif"/>
          <w:b w:val="false"/>
          <w:color w:val="52575F"/>
          <w:sz w:val="16"/>
        </w:rPr>
      </w:pPr>
      <w:r>
        <w:rPr>
          <w:rFonts w:ascii="Arial;sans-serif" w:hAnsi="Arial;sans-serif"/>
          <w:b w:val="false"/>
          <w:color w:val="52575F"/>
          <w:sz w:val="16"/>
        </w:rPr>
        <w:t>For the PSUs granted in 2024, the grant date fair value in the table above is calculated in accordance with ASC Topic 718 and measured using a Monte Carlo simulation model since the PSUs are subject to a market condition. Based on Monte Carlo valuation model, the grant date fair values of PSUs made to Ms. Francis, Mr. Maheshwari, and Mr. Recupero in 2024 are $3,721,000, $628,540, and $628,540 respectively In the event that maximum performance is achieved, the value of the performance-based awards made to Ms. Francis, Mr. Maheshwari and Mr. Recupero in 2024 at the date of grant would have been $4,144,891, $700,142 and $700,142, respectively. For additional information on the PSUs granted to our named executive officers in 2024, see “Compensation Discussion and Analysis—Long-Term Incentive Compensation” above and footnote 2 to the table entitled “Grants of Plan-Based Awards."</w:t>
      </w:r>
    </w:p>
    <w:p>
      <w:pPr>
        <w:pStyle w:val="TextBody"/>
        <w:bidi w:val="0"/>
        <w:spacing w:lineRule="auto" w:line="288" w:before="0" w:after="300"/>
        <w:ind w:left="0" w:right="0" w:hanging="360"/>
        <w:jc w:val="left"/>
        <w:rPr>
          <w:rFonts w:ascii="Arial;sans-serif" w:hAnsi="Arial;sans-serif"/>
          <w:b w:val="false"/>
          <w:color w:val="52575F"/>
          <w:sz w:val="16"/>
        </w:rPr>
      </w:pPr>
      <w:r>
        <w:rPr>
          <w:rFonts w:ascii="Arial;sans-serif" w:hAnsi="Arial;sans-serif"/>
          <w:b w:val="false"/>
          <w:color w:val="52575F"/>
          <w:sz w:val="16"/>
        </w:rPr>
        <w:t xml:space="preserve">2.Represents payments upon the achievement of 2024, 2023 and 2022 corporate goals, as applicable, as well as individual objectives, which were paid in the first quarter of 2025, 2024 and 2023, respectively.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739140"/>
                <wp:effectExtent l="0" t="0" r="0" b="0"/>
                <wp:wrapNone/>
                <wp:docPr id="65" name="Frame44"/>
                <a:graphic xmlns:a="http://schemas.openxmlformats.org/drawingml/2006/main">
                  <a:graphicData uri="http://schemas.microsoft.com/office/word/2010/wordprocessingShape">
                    <wps:wsp>
                      <wps:cNvSpPr txBox="1"/>
                      <wps:spPr>
                        <a:xfrm>
                          <a:off x="0" y="0"/>
                          <a:ext cx="6480175" cy="739140"/>
                        </a:xfrm>
                        <a:prstGeom prst="rect"/>
                        <a:solidFill>
                          <a:srgbClr val="FFFFFF"/>
                        </a:solidFill>
                      </wps:spPr>
                      <wps:txbx>
                        <w:txbxContent>
                          <w:tbl>
                            <w:tblPr>
                              <w:tblW w:w="3266" w:type="dxa"/>
                              <w:jc w:val="center"/>
                              <w:tblInd w:w="0" w:type="dxa"/>
                              <w:tblLayout w:type="fixed"/>
                              <w:tblCellMar>
                                <w:top w:w="28" w:type="dxa"/>
                                <w:left w:w="28" w:type="dxa"/>
                                <w:bottom w:w="28" w:type="dxa"/>
                                <w:right w:w="28" w:type="dxa"/>
                              </w:tblCellMar>
                            </w:tblPr>
                            <w:tblGrid>
                              <w:gridCol w:w="424"/>
                              <w:gridCol w:w="372"/>
                              <w:gridCol w:w="374"/>
                              <w:gridCol w:w="109"/>
                              <w:gridCol w:w="109"/>
                              <w:gridCol w:w="109"/>
                              <w:gridCol w:w="517"/>
                              <w:gridCol w:w="517"/>
                              <w:gridCol w:w="735"/>
                            </w:tblGrid>
                            <w:tr>
                              <w:trPr/>
                              <w:tc>
                                <w:tcPr>
                                  <w:tcW w:w="424"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r>
                            <w:tr>
                              <w:trPr/>
                              <w:tc>
                                <w:tcPr>
                                  <w:tcW w:w="1170"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6"/>
                                    </w:rPr>
                                  </w:pPr>
                                  <w:r>
                                    <w:rPr>
                                      <w:rFonts w:ascii="Arial;sans-serif" w:hAnsi="Arial;sans-serif"/>
                                      <w:b/>
                                      <w:color w:val="000000"/>
                                      <w:sz w:val="16"/>
                                    </w:rPr>
                                    <w:t>SI-BONE, Inc.</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000000"/>
                                      <w:sz w:val="16"/>
                                    </w:rPr>
                                  </w:pPr>
                                  <w:r>
                                    <w:rPr>
                                      <w:rFonts w:ascii="Arial;sans-serif" w:hAnsi="Arial;sans-serif"/>
                                      <w:b/>
                                      <w:color w:val="000000"/>
                                      <w:sz w:val="16"/>
                                    </w:rPr>
                                    <w:t>39</w:t>
                                  </w:r>
                                </w:p>
                              </w:tc>
                              <w:tc>
                                <w:tcPr>
                                  <w:tcW w:w="176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2025 Proxy Statement</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2pt;mso-wrap-distance-left:0pt;mso-wrap-distance-right:0pt;mso-wrap-distance-top:0pt;mso-wrap-distance-bottom:0pt;margin-top:0pt;mso-position-vertical:top;mso-position-vertical-relative:text;margin-left:0pt;mso-position-horizontal:left;mso-position-horizontal-relative:text">
                <v:textbox>
                  <w:txbxContent>
                    <w:tbl>
                      <w:tblPr>
                        <w:tblW w:w="3266" w:type="dxa"/>
                        <w:jc w:val="center"/>
                        <w:tblInd w:w="0" w:type="dxa"/>
                        <w:tblLayout w:type="fixed"/>
                        <w:tblCellMar>
                          <w:top w:w="28" w:type="dxa"/>
                          <w:left w:w="28" w:type="dxa"/>
                          <w:bottom w:w="28" w:type="dxa"/>
                          <w:right w:w="28" w:type="dxa"/>
                        </w:tblCellMar>
                      </w:tblPr>
                      <w:tblGrid>
                        <w:gridCol w:w="424"/>
                        <w:gridCol w:w="372"/>
                        <w:gridCol w:w="374"/>
                        <w:gridCol w:w="109"/>
                        <w:gridCol w:w="109"/>
                        <w:gridCol w:w="109"/>
                        <w:gridCol w:w="517"/>
                        <w:gridCol w:w="517"/>
                        <w:gridCol w:w="735"/>
                      </w:tblGrid>
                      <w:tr>
                        <w:trPr/>
                        <w:tc>
                          <w:tcPr>
                            <w:tcW w:w="424"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r>
                      <w:tr>
                        <w:trPr/>
                        <w:tc>
                          <w:tcPr>
                            <w:tcW w:w="1170"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6"/>
                              </w:rPr>
                            </w:pPr>
                            <w:r>
                              <w:rPr>
                                <w:rFonts w:ascii="Arial;sans-serif" w:hAnsi="Arial;sans-serif"/>
                                <w:b/>
                                <w:color w:val="000000"/>
                                <w:sz w:val="16"/>
                              </w:rPr>
                              <w:t>SI-BONE, Inc.</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000000"/>
                                <w:sz w:val="16"/>
                              </w:rPr>
                            </w:pPr>
                            <w:r>
                              <w:rPr>
                                <w:rFonts w:ascii="Arial;sans-serif" w:hAnsi="Arial;sans-serif"/>
                                <w:b/>
                                <w:color w:val="000000"/>
                                <w:sz w:val="16"/>
                              </w:rPr>
                              <w:t>39</w:t>
                            </w:r>
                          </w:p>
                        </w:tc>
                        <w:tc>
                          <w:tcPr>
                            <w:tcW w:w="176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2025 Proxy Statement</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right"/>
        <w:rPr>
          <w:rFonts w:ascii="Arial;sans-serif" w:hAnsi="Arial;sans-serif"/>
          <w:b w:val="false"/>
          <w:color w:val="000000"/>
          <w:sz w:val="16"/>
        </w:rPr>
      </w:pPr>
      <w:r>
        <w:rPr>
          <w:rFonts w:ascii="Arial;sans-serif" w:hAnsi="Arial;sans-serif"/>
          <w:b w:val="false"/>
          <w:color w:val="000000"/>
          <w:sz w:val="16"/>
        </w:rPr>
        <w:t>Table of Contents</w:t>
      </w:r>
    </w:p>
    <w:p>
      <w:pPr>
        <w:pStyle w:val="TextBody"/>
        <w:bidi w:val="0"/>
        <w:spacing w:lineRule="auto" w:line="288" w:before="240" w:after="180"/>
        <w:jc w:val="left"/>
        <w:rPr>
          <w:rFonts w:ascii="Arial;sans-serif" w:hAnsi="Arial;sans-serif"/>
          <w:b w:val="false"/>
          <w:color w:val="000000"/>
          <w:sz w:val="24"/>
        </w:rPr>
      </w:pPr>
      <w:r>
        <w:rPr>
          <w:rFonts w:ascii="Arial;sans-serif" w:hAnsi="Arial;sans-serif"/>
          <w:b w:val="false"/>
          <w:color w:val="000000"/>
          <w:sz w:val="24"/>
        </w:rPr>
        <w:t>GRANTS OF PLAN-BASED AWARDS</w:t>
      </w:r>
    </w:p>
    <w:p>
      <w:pPr>
        <w:pStyle w:val="TextBody"/>
        <w:bidi w:val="0"/>
        <w:spacing w:lineRule="auto" w:line="312" w:before="0" w:after="180"/>
        <w:jc w:val="left"/>
        <w:rPr>
          <w:rFonts w:ascii="Arial;sans-serif" w:hAnsi="Arial;sans-serif"/>
          <w:b w:val="false"/>
          <w:color w:val="000000"/>
          <w:sz w:val="18"/>
        </w:rPr>
      </w:pPr>
      <w:r>
        <w:rPr>
          <w:rFonts w:ascii="Arial;sans-serif" w:hAnsi="Arial;sans-serif"/>
          <w:b w:val="false"/>
          <w:color w:val="000000"/>
          <w:sz w:val="18"/>
        </w:rPr>
        <w:t>The following table shows for the fiscal year ended December 31, 2024, certain information regarding grants of plan-based awards to the Named Executive Officers.</w:t>
      </w:r>
    </w:p>
    <w:tbl>
      <w:tblPr>
        <w:tblW w:w="10274" w:type="dxa"/>
        <w:jc w:val="left"/>
        <w:tblInd w:w="0" w:type="dxa"/>
        <w:tblLayout w:type="fixed"/>
        <w:tblCellMar>
          <w:top w:w="28" w:type="dxa"/>
          <w:left w:w="28" w:type="dxa"/>
          <w:bottom w:w="28" w:type="dxa"/>
          <w:right w:w="28" w:type="dxa"/>
        </w:tblCellMar>
      </w:tblPr>
      <w:tblGrid>
        <w:gridCol w:w="553"/>
        <w:gridCol w:w="356"/>
        <w:gridCol w:w="247"/>
        <w:gridCol w:w="205"/>
        <w:gridCol w:w="205"/>
        <w:gridCol w:w="206"/>
        <w:gridCol w:w="185"/>
        <w:gridCol w:w="185"/>
        <w:gridCol w:w="186"/>
        <w:gridCol w:w="617"/>
        <w:gridCol w:w="188"/>
        <w:gridCol w:w="111"/>
        <w:gridCol w:w="617"/>
        <w:gridCol w:w="119"/>
        <w:gridCol w:w="111"/>
        <w:gridCol w:w="617"/>
        <w:gridCol w:w="136"/>
        <w:gridCol w:w="118"/>
        <w:gridCol w:w="109"/>
        <w:gridCol w:w="109"/>
        <w:gridCol w:w="109"/>
        <w:gridCol w:w="578"/>
        <w:gridCol w:w="229"/>
        <w:gridCol w:w="109"/>
        <w:gridCol w:w="473"/>
        <w:gridCol w:w="109"/>
        <w:gridCol w:w="109"/>
        <w:gridCol w:w="578"/>
        <w:gridCol w:w="184"/>
        <w:gridCol w:w="109"/>
        <w:gridCol w:w="240"/>
        <w:gridCol w:w="225"/>
        <w:gridCol w:w="226"/>
        <w:gridCol w:w="109"/>
        <w:gridCol w:w="109"/>
        <w:gridCol w:w="109"/>
        <w:gridCol w:w="626"/>
        <w:gridCol w:w="245"/>
        <w:gridCol w:w="246"/>
        <w:gridCol w:w="109"/>
        <w:gridCol w:w="109"/>
        <w:gridCol w:w="154"/>
      </w:tblGrid>
      <w:tr>
        <w:trPr/>
        <w:tc>
          <w:tcPr>
            <w:tcW w:w="553"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617"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617"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617"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8"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8"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56" w:type="dxa"/>
            <w:gridSpan w:val="3"/>
            <w:vMerge w:val="restart"/>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6"/>
              </w:rPr>
            </w:pPr>
            <w:r>
              <w:rPr>
                <w:rFonts w:ascii="Arial;sans-serif" w:hAnsi="Arial;sans-serif"/>
                <w:b/>
                <w:color w:val="000000"/>
                <w:sz w:val="16"/>
              </w:rPr>
              <w:t>Name</w:t>
            </w:r>
          </w:p>
        </w:tc>
        <w:tc>
          <w:tcPr>
            <w:tcW w:w="616" w:type="dxa"/>
            <w:gridSpan w:val="3"/>
            <w:vMerge w:val="restart"/>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6"/>
              </w:rPr>
            </w:pPr>
            <w:r>
              <w:rPr>
                <w:rFonts w:ascii="Arial;sans-serif" w:hAnsi="Arial;sans-serif"/>
                <w:b/>
                <w:color w:val="000000"/>
                <w:sz w:val="16"/>
              </w:rPr>
              <w:t xml:space="preserve">Award </w:t>
              <w:br/>
              <w:t>Type</w:t>
            </w:r>
          </w:p>
        </w:tc>
        <w:tc>
          <w:tcPr>
            <w:tcW w:w="556"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Grant Date</w:t>
            </w:r>
          </w:p>
        </w:tc>
        <w:tc>
          <w:tcPr>
            <w:tcW w:w="2634" w:type="dxa"/>
            <w:gridSpan w:val="9"/>
            <w:tcBorders/>
            <w:tcMar>
              <w:top w:w="0" w:type="dxa"/>
              <w:left w:w="0" w:type="dxa"/>
              <w:bottom w:w="0" w:type="dxa"/>
              <w:right w:w="0" w:type="dxa"/>
            </w:tcMar>
            <w:vAlign w:val="center"/>
          </w:tcPr>
          <w:p>
            <w:pPr>
              <w:pStyle w:val="TableContents"/>
              <w:bidi w:val="0"/>
              <w:spacing w:lineRule="auto" w:line="288" w:before="0" w:after="0"/>
              <w:jc w:val="center"/>
              <w:rPr/>
            </w:pPr>
            <w:r>
              <w:rPr>
                <w:rFonts w:ascii="Arial;sans-serif" w:hAnsi="Arial;sans-serif"/>
                <w:b/>
                <w:color w:val="000000"/>
                <w:sz w:val="16"/>
              </w:rPr>
              <w:t xml:space="preserve">Estimated Future Payouts Under Non-Equity Incentive Plan Awards </w:t>
            </w:r>
            <w:r>
              <w:rPr>
                <w:rFonts w:ascii="Arial;sans-serif" w:hAnsi="Arial;sans-serif"/>
                <w:b/>
                <w:color w:val="000000"/>
                <w:sz w:val="10"/>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8" w:type="dxa"/>
            <w:gridSpan w:val="9"/>
            <w:tcBorders/>
            <w:tcMar>
              <w:top w:w="0" w:type="dxa"/>
              <w:left w:w="0" w:type="dxa"/>
              <w:bottom w:w="0" w:type="dxa"/>
              <w:right w:w="0" w:type="dxa"/>
            </w:tcMar>
            <w:vAlign w:val="center"/>
          </w:tcPr>
          <w:p>
            <w:pPr>
              <w:pStyle w:val="TableContents"/>
              <w:bidi w:val="0"/>
              <w:spacing w:lineRule="auto" w:line="288" w:before="0" w:after="0"/>
              <w:jc w:val="center"/>
              <w:rPr/>
            </w:pPr>
            <w:r>
              <w:rPr>
                <w:rFonts w:ascii="Arial;sans-serif" w:hAnsi="Arial;sans-serif"/>
                <w:b/>
                <w:color w:val="000000"/>
                <w:sz w:val="16"/>
              </w:rPr>
              <w:t xml:space="preserve">Estimated Future Payouts Under Equity Incentive Plan Awards </w:t>
            </w:r>
            <w:r>
              <w:rPr>
                <w:rFonts w:ascii="Arial;sans-serif" w:hAnsi="Arial;sans-serif"/>
                <w:b/>
                <w:color w:val="000000"/>
                <w:sz w:val="10"/>
              </w:rPr>
              <w:t>(2)</w:t>
            </w:r>
          </w:p>
        </w:tc>
        <w:tc>
          <w:tcPr>
            <w:tcW w:w="691" w:type="dxa"/>
            <w:gridSpan w:val="3"/>
            <w:vMerge w:val="restart"/>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6"/>
              </w:rPr>
            </w:pPr>
            <w:r>
              <w:rPr>
                <w:rFonts w:ascii="Arial;sans-serif" w:hAnsi="Arial;sans-serif"/>
                <w:b/>
                <w:color w:val="000000"/>
                <w:sz w:val="16"/>
              </w:rPr>
              <w:t>All Other Stock Award: Number of Shares of Stock or Units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3"/>
            <w:vMerge w:val="restart"/>
            <w:tcBorders/>
            <w:tcMar>
              <w:top w:w="0" w:type="dxa"/>
              <w:left w:w="0" w:type="dxa"/>
              <w:bottom w:w="0" w:type="dxa"/>
              <w:right w:w="0" w:type="dxa"/>
            </w:tcMar>
            <w:vAlign w:val="center"/>
          </w:tcPr>
          <w:p>
            <w:pPr>
              <w:pStyle w:val="TableContents"/>
              <w:bidi w:val="0"/>
              <w:spacing w:lineRule="auto" w:line="288" w:before="0" w:after="0"/>
              <w:jc w:val="right"/>
              <w:rPr/>
            </w:pPr>
            <w:r>
              <w:rPr>
                <w:rFonts w:ascii="Arial;sans-serif" w:hAnsi="Arial;sans-serif"/>
                <w:b/>
                <w:color w:val="000000"/>
                <w:sz w:val="16"/>
              </w:rPr>
              <w:t>Grant Date Fair Value of Stock Awards</w:t>
            </w:r>
            <w:r>
              <w:rPr>
                <w:rFonts w:ascii="Arial;sans-serif" w:hAnsi="Arial;sans-serif"/>
                <w:b/>
                <w:color w:val="000000"/>
                <w:sz w:val="10"/>
              </w:rPr>
              <w:t>(3)</w:t>
            </w:r>
          </w:p>
          <w:p>
            <w:pPr>
              <w:pStyle w:val="TableContents"/>
              <w:bidi w:val="0"/>
              <w:spacing w:lineRule="auto" w:line="288" w:before="0" w:after="0"/>
              <w:jc w:val="right"/>
              <w:rPr>
                <w:rFonts w:ascii="Arial;sans-serif" w:hAnsi="Arial;sans-serif"/>
                <w:b/>
                <w:color w:val="000000"/>
                <w:sz w:val="16"/>
              </w:rPr>
            </w:pPr>
            <w:r>
              <w:rPr>
                <w:rFonts w:ascii="Arial;sans-serif" w:hAnsi="Arial;sans-serif"/>
                <w:b/>
                <w:color w:val="000000"/>
                <w:sz w:val="16"/>
              </w:rPr>
              <w:t>($)</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vMerge w:val="continue"/>
            <w:tcBorders/>
            <w:tcMar>
              <w:top w:w="0" w:type="dxa"/>
              <w:left w:w="0" w:type="dxa"/>
              <w:bottom w:w="0" w:type="dxa"/>
              <w:right w:w="0" w:type="dxa"/>
            </w:tcMar>
            <w:vAlign w:val="center"/>
          </w:tcPr>
          <w:p>
            <w:pPr>
              <w:pStyle w:val="Normal"/>
              <w:bidi w:val="0"/>
              <w:jc w:val="left"/>
              <w:rPr/>
            </w:pPr>
            <w:r>
              <w:rPr/>
            </w:r>
          </w:p>
        </w:tc>
        <w:tc>
          <w:tcPr>
            <w:tcW w:w="616" w:type="dxa"/>
            <w:gridSpan w:val="3"/>
            <w:vMerge w:val="continue"/>
            <w:tcBorders/>
            <w:tcMar>
              <w:top w:w="0" w:type="dxa"/>
              <w:left w:w="0" w:type="dxa"/>
              <w:bottom w:w="0" w:type="dxa"/>
              <w:right w:w="0" w:type="dxa"/>
            </w:tcMar>
            <w:vAlign w:val="center"/>
          </w:tcPr>
          <w:p>
            <w:pPr>
              <w:pStyle w:val="Normal"/>
              <w:bidi w:val="0"/>
              <w:jc w:val="left"/>
              <w:rPr/>
            </w:pPr>
            <w:r>
              <w:rPr/>
            </w:r>
          </w:p>
        </w:tc>
        <w:tc>
          <w:tcPr>
            <w:tcW w:w="556" w:type="dxa"/>
            <w:gridSpan w:val="3"/>
            <w:vMerge w:val="continue"/>
            <w:tcBorders/>
            <w:tcMar>
              <w:top w:w="0" w:type="dxa"/>
              <w:left w:w="0" w:type="dxa"/>
              <w:bottom w:w="0" w:type="dxa"/>
              <w:right w:w="0" w:type="dxa"/>
            </w:tcMar>
            <w:vAlign w:val="center"/>
          </w:tcPr>
          <w:p>
            <w:pPr>
              <w:pStyle w:val="Normal"/>
              <w:bidi w:val="0"/>
              <w:jc w:val="left"/>
              <w:rPr/>
            </w:pPr>
            <w:r>
              <w:rPr/>
            </w:r>
          </w:p>
        </w:tc>
        <w:tc>
          <w:tcPr>
            <w:tcW w:w="916" w:type="dxa"/>
            <w:gridSpan w:val="3"/>
            <w:tcBorders>
              <w:top w:val="single" w:sz="8" w:space="0" w:color="74A333"/>
            </w:tcBorders>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6"/>
              </w:rPr>
            </w:pPr>
            <w:r>
              <w:rPr>
                <w:rFonts w:ascii="Arial;sans-serif" w:hAnsi="Arial;sans-serif"/>
                <w:b/>
                <w:color w:val="000000"/>
                <w:sz w:val="16"/>
              </w:rPr>
              <w:t>Threshold ($)</w:t>
            </w:r>
          </w:p>
        </w:tc>
        <w:tc>
          <w:tcPr>
            <w:tcW w:w="847" w:type="dxa"/>
            <w:gridSpan w:val="3"/>
            <w:tcBorders>
              <w:top w:val="single" w:sz="8" w:space="0" w:color="74A333"/>
            </w:tcBorders>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6"/>
              </w:rPr>
            </w:pPr>
            <w:r>
              <w:rPr>
                <w:rFonts w:ascii="Arial;sans-serif" w:hAnsi="Arial;sans-serif"/>
                <w:b/>
                <w:color w:val="000000"/>
                <w:sz w:val="16"/>
              </w:rPr>
              <w:t xml:space="preserve">Target </w:t>
              <w:br/>
              <w:t>($)</w:t>
            </w:r>
          </w:p>
        </w:tc>
        <w:tc>
          <w:tcPr>
            <w:tcW w:w="871" w:type="dxa"/>
            <w:gridSpan w:val="3"/>
            <w:tcBorders>
              <w:top w:val="single" w:sz="8" w:space="0" w:color="74A333"/>
            </w:tcBorders>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6"/>
              </w:rPr>
            </w:pPr>
            <w:r>
              <w:rPr>
                <w:rFonts w:ascii="Arial;sans-serif" w:hAnsi="Arial;sans-serif"/>
                <w:b/>
                <w:color w:val="000000"/>
                <w:sz w:val="16"/>
              </w:rPr>
              <w:t>Maximum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74A333"/>
            </w:tcBorders>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6"/>
              </w:rPr>
            </w:pPr>
            <w:r>
              <w:rPr>
                <w:rFonts w:ascii="Arial;sans-serif" w:hAnsi="Arial;sans-serif"/>
                <w:b/>
                <w:color w:val="000000"/>
                <w:sz w:val="16"/>
              </w:rPr>
              <w:t>Threshold (#)</w:t>
            </w:r>
          </w:p>
        </w:tc>
        <w:tc>
          <w:tcPr>
            <w:tcW w:w="691" w:type="dxa"/>
            <w:gridSpan w:val="3"/>
            <w:tcBorders>
              <w:top w:val="single" w:sz="8" w:space="0" w:color="74A333"/>
            </w:tcBorders>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6"/>
              </w:rPr>
            </w:pPr>
            <w:r>
              <w:rPr>
                <w:rFonts w:ascii="Arial;sans-serif" w:hAnsi="Arial;sans-serif"/>
                <w:b/>
                <w:color w:val="000000"/>
                <w:sz w:val="16"/>
              </w:rPr>
              <w:t xml:space="preserve">Target </w:t>
              <w:br/>
              <w:t>(#)</w:t>
            </w:r>
          </w:p>
        </w:tc>
        <w:tc>
          <w:tcPr>
            <w:tcW w:w="871" w:type="dxa"/>
            <w:gridSpan w:val="3"/>
            <w:tcBorders>
              <w:top w:val="single" w:sz="8" w:space="0" w:color="74A333"/>
            </w:tcBorders>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6"/>
              </w:rPr>
            </w:pPr>
            <w:r>
              <w:rPr>
                <w:rFonts w:ascii="Arial;sans-serif" w:hAnsi="Arial;sans-serif"/>
                <w:b/>
                <w:color w:val="000000"/>
                <w:sz w:val="16"/>
              </w:rPr>
              <w:t>Maximum (#)</w:t>
            </w:r>
          </w:p>
        </w:tc>
        <w:tc>
          <w:tcPr>
            <w:tcW w:w="69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3"/>
            <w:vMerge w:val="continue"/>
            <w:tcBorders/>
            <w:tcMar>
              <w:top w:w="0" w:type="dxa"/>
              <w:left w:w="0" w:type="dxa"/>
              <w:bottom w:w="0" w:type="dxa"/>
              <w:right w:w="0" w:type="dxa"/>
            </w:tcMar>
            <w:vAlign w:val="center"/>
          </w:tcPr>
          <w:p>
            <w:pPr>
              <w:pStyle w:val="Normal"/>
              <w:bidi w:val="0"/>
              <w:jc w:val="left"/>
              <w:rPr/>
            </w:pPr>
            <w:r>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vMerge w:val="restart"/>
            <w:tcBorders/>
            <w:shd w:fill="ECECEE"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74A333"/>
                <w:sz w:val="18"/>
              </w:rPr>
            </w:pPr>
            <w:r>
              <w:rPr>
                <w:rFonts w:ascii="Arial;sans-serif" w:hAnsi="Arial;sans-serif"/>
                <w:b/>
                <w:color w:val="74A333"/>
                <w:sz w:val="18"/>
              </w:rPr>
              <w:t>Laura A. Francis</w:t>
            </w:r>
          </w:p>
        </w:tc>
        <w:tc>
          <w:tcPr>
            <w:tcW w:w="616" w:type="dxa"/>
            <w:gridSpan w:val="3"/>
            <w:tcBorders/>
            <w:shd w:fill="ECECEE"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Annual Cash Bonus</w:t>
            </w:r>
          </w:p>
        </w:tc>
        <w:tc>
          <w:tcPr>
            <w:tcW w:w="556" w:type="dxa"/>
            <w:gridSpan w:val="3"/>
            <w:tcBorders/>
            <w:shd w:fill="ECECEE"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1/5/2024</w:t>
            </w:r>
          </w:p>
        </w:tc>
        <w:tc>
          <w:tcPr>
            <w:tcW w:w="805" w:type="dxa"/>
            <w:gridSpan w:val="2"/>
            <w:tcBorders/>
            <w:shd w:fill="ECECEE"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469,440 </w:t>
            </w:r>
          </w:p>
        </w:tc>
        <w:tc>
          <w:tcPr>
            <w:tcW w:w="111" w:type="dxa"/>
            <w:tcBorders/>
            <w:shd w:fill="ECEC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ECECEE"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586,800 </w:t>
            </w:r>
          </w:p>
        </w:tc>
        <w:tc>
          <w:tcPr>
            <w:tcW w:w="111" w:type="dxa"/>
            <w:tcBorders/>
            <w:shd w:fill="ECEC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 w:type="dxa"/>
            <w:gridSpan w:val="2"/>
            <w:tcBorders/>
            <w:shd w:fill="ECECEE"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792,180 </w:t>
            </w:r>
          </w:p>
        </w:tc>
        <w:tc>
          <w:tcPr>
            <w:tcW w:w="118" w:type="dxa"/>
            <w:tcBorders/>
            <w:shd w:fill="ECEC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CEC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ECEC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ECEC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ECEC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ECEC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CEC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ECECEE"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46" w:type="dxa"/>
            <w:tcBorders/>
            <w:shd w:fill="ECEC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ECEC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vMerge w:val="continue"/>
            <w:tcBorders/>
            <w:shd w:fill="ECECEE" w:val="clear"/>
            <w:tcMar>
              <w:top w:w="0" w:type="dxa"/>
              <w:left w:w="0" w:type="dxa"/>
              <w:bottom w:w="0" w:type="dxa"/>
              <w:right w:w="0" w:type="dxa"/>
            </w:tcMar>
            <w:vAlign w:val="center"/>
          </w:tcPr>
          <w:p>
            <w:pPr>
              <w:pStyle w:val="Normal"/>
              <w:bidi w:val="0"/>
              <w:jc w:val="left"/>
              <w:rPr/>
            </w:pPr>
            <w:r>
              <w:rPr/>
            </w:r>
          </w:p>
        </w:tc>
        <w:tc>
          <w:tcPr>
            <w:tcW w:w="616" w:type="dxa"/>
            <w:gridSpan w:val="3"/>
            <w:tcBorders/>
            <w:shd w:fill="ECECEE"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RSU Award</w:t>
            </w:r>
          </w:p>
        </w:tc>
        <w:tc>
          <w:tcPr>
            <w:tcW w:w="556" w:type="dxa"/>
            <w:gridSpan w:val="3"/>
            <w:tcBorders/>
            <w:shd w:fill="ECECEE"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1/4/2024</w:t>
            </w:r>
          </w:p>
        </w:tc>
        <w:tc>
          <w:tcPr>
            <w:tcW w:w="916" w:type="dxa"/>
            <w:gridSpan w:val="3"/>
            <w:tcBorders/>
            <w:shd w:fill="ECEC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3"/>
            <w:tcBorders/>
            <w:shd w:fill="ECEC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ECEC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CEC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ECEC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ECEC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ECEC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ECECEE"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100,653</w:t>
            </w:r>
          </w:p>
        </w:tc>
        <w:tc>
          <w:tcPr>
            <w:tcW w:w="327" w:type="dxa"/>
            <w:gridSpan w:val="3"/>
            <w:tcBorders/>
            <w:shd w:fill="ECECEE"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0"/>
              </w:rPr>
            </w:pPr>
            <w:r>
              <w:rPr>
                <w:rFonts w:ascii="Arial;sans-serif" w:hAnsi="Arial;sans-serif"/>
                <w:b w:val="false"/>
                <w:color w:val="000000"/>
                <w:sz w:val="10"/>
              </w:rPr>
              <w:t>(5)</w:t>
            </w:r>
          </w:p>
        </w:tc>
        <w:tc>
          <w:tcPr>
            <w:tcW w:w="871" w:type="dxa"/>
            <w:gridSpan w:val="2"/>
            <w:tcBorders/>
            <w:shd w:fill="ECECEE"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2,072,445 </w:t>
            </w:r>
          </w:p>
        </w:tc>
        <w:tc>
          <w:tcPr>
            <w:tcW w:w="246" w:type="dxa"/>
            <w:tcBorders/>
            <w:shd w:fill="ECEC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ECEC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vMerge w:val="continue"/>
            <w:tcBorders/>
            <w:shd w:fill="ECECEE" w:val="clear"/>
            <w:tcMar>
              <w:top w:w="0" w:type="dxa"/>
              <w:left w:w="0" w:type="dxa"/>
              <w:bottom w:w="0" w:type="dxa"/>
              <w:right w:w="0" w:type="dxa"/>
            </w:tcMar>
            <w:vAlign w:val="center"/>
          </w:tcPr>
          <w:p>
            <w:pPr>
              <w:pStyle w:val="Normal"/>
              <w:bidi w:val="0"/>
              <w:jc w:val="left"/>
              <w:rPr/>
            </w:pPr>
            <w:r>
              <w:rPr/>
            </w:r>
          </w:p>
        </w:tc>
        <w:tc>
          <w:tcPr>
            <w:tcW w:w="616" w:type="dxa"/>
            <w:gridSpan w:val="3"/>
            <w:tcBorders/>
            <w:shd w:fill="ECECEE"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PSU Award</w:t>
            </w:r>
          </w:p>
        </w:tc>
        <w:tc>
          <w:tcPr>
            <w:tcW w:w="556" w:type="dxa"/>
            <w:gridSpan w:val="3"/>
            <w:tcBorders/>
            <w:shd w:fill="ECECEE"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1/4/2024</w:t>
            </w:r>
          </w:p>
        </w:tc>
        <w:tc>
          <w:tcPr>
            <w:tcW w:w="916" w:type="dxa"/>
            <w:gridSpan w:val="3"/>
            <w:tcBorders/>
            <w:shd w:fill="ECEC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3"/>
            <w:tcBorders/>
            <w:shd w:fill="ECEC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ECEC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CEC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2"/>
            <w:tcBorders/>
            <w:shd w:fill="ECECEE"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ECEC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ECECEE"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100,653</w:t>
            </w:r>
          </w:p>
        </w:tc>
        <w:tc>
          <w:tcPr>
            <w:tcW w:w="871" w:type="dxa"/>
            <w:gridSpan w:val="3"/>
            <w:tcBorders/>
            <w:shd w:fill="ECECEE"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201,306</w:t>
            </w:r>
          </w:p>
        </w:tc>
        <w:tc>
          <w:tcPr>
            <w:tcW w:w="691" w:type="dxa"/>
            <w:gridSpan w:val="3"/>
            <w:tcBorders/>
            <w:shd w:fill="ECEC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CEC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ECECEE"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3,721,000 </w:t>
            </w:r>
          </w:p>
        </w:tc>
        <w:tc>
          <w:tcPr>
            <w:tcW w:w="246" w:type="dxa"/>
            <w:tcBorders/>
            <w:shd w:fill="ECEC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ECEC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vMerge w:val="restart"/>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74A333"/>
                <w:sz w:val="18"/>
              </w:rPr>
            </w:pPr>
            <w:r>
              <w:rPr>
                <w:rFonts w:ascii="Arial;sans-serif" w:hAnsi="Arial;sans-serif"/>
                <w:b/>
                <w:color w:val="74A333"/>
                <w:sz w:val="18"/>
              </w:rPr>
              <w:t>Anshul Maheshwari</w:t>
            </w:r>
          </w:p>
        </w:tc>
        <w:tc>
          <w:tcPr>
            <w:tcW w:w="616"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val="false"/>
                <w:color w:val="000000"/>
                <w:sz w:val="16"/>
              </w:rPr>
              <w:t xml:space="preserve">Annual Cash Bonus </w:t>
            </w:r>
            <w:r>
              <w:rPr>
                <w:rFonts w:ascii="Arial;sans-serif" w:hAnsi="Arial;sans-serif"/>
                <w:b w:val="false"/>
                <w:color w:val="000000"/>
                <w:sz w:val="10"/>
              </w:rPr>
              <w:t>(6)</w:t>
            </w:r>
          </w:p>
        </w:tc>
        <w:tc>
          <w:tcPr>
            <w:tcW w:w="55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1/5/2024</w:t>
            </w:r>
          </w:p>
        </w:tc>
        <w:tc>
          <w:tcPr>
            <w:tcW w:w="805"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204,233 </w:t>
            </w:r>
          </w:p>
        </w:tc>
        <w:tc>
          <w:tcPr>
            <w:tcW w:w="1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255,292 </w:t>
            </w:r>
          </w:p>
        </w:tc>
        <w:tc>
          <w:tcPr>
            <w:tcW w:w="1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344,644 </w:t>
            </w:r>
          </w:p>
        </w:tc>
        <w:tc>
          <w:tcPr>
            <w:tcW w:w="11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vMerge w:val="continue"/>
            <w:tcBorders/>
            <w:tcMar>
              <w:top w:w="0" w:type="dxa"/>
              <w:left w:w="0" w:type="dxa"/>
              <w:bottom w:w="0" w:type="dxa"/>
              <w:right w:w="0" w:type="dxa"/>
            </w:tcMar>
            <w:vAlign w:val="center"/>
          </w:tcPr>
          <w:p>
            <w:pPr>
              <w:pStyle w:val="Normal"/>
              <w:bidi w:val="0"/>
              <w:jc w:val="left"/>
              <w:rPr/>
            </w:pPr>
            <w:r>
              <w:rPr/>
            </w:r>
          </w:p>
        </w:tc>
        <w:tc>
          <w:tcPr>
            <w:tcW w:w="61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RSU Award</w:t>
            </w:r>
          </w:p>
        </w:tc>
        <w:tc>
          <w:tcPr>
            <w:tcW w:w="55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1/4/2024</w:t>
            </w:r>
          </w:p>
        </w:tc>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51,007</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0"/>
              </w:rPr>
            </w:pPr>
            <w:r>
              <w:rPr>
                <w:rFonts w:ascii="Arial;sans-serif" w:hAnsi="Arial;sans-serif"/>
                <w:b w:val="false"/>
                <w:color w:val="000000"/>
                <w:sz w:val="10"/>
              </w:rPr>
              <w:t>(5)</w:t>
            </w:r>
          </w:p>
        </w:tc>
        <w:tc>
          <w:tcPr>
            <w:tcW w:w="87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1,050,234 </w:t>
            </w:r>
          </w:p>
        </w:tc>
        <w:tc>
          <w:tcPr>
            <w:tcW w:w="2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vMerge w:val="continue"/>
            <w:tcBorders/>
            <w:tcMar>
              <w:top w:w="0" w:type="dxa"/>
              <w:left w:w="0" w:type="dxa"/>
              <w:bottom w:w="0" w:type="dxa"/>
              <w:right w:w="0" w:type="dxa"/>
            </w:tcMar>
            <w:vAlign w:val="center"/>
          </w:tcPr>
          <w:p>
            <w:pPr>
              <w:pStyle w:val="Normal"/>
              <w:bidi w:val="0"/>
              <w:jc w:val="left"/>
              <w:rPr/>
            </w:pPr>
            <w:r>
              <w:rPr/>
            </w:r>
          </w:p>
        </w:tc>
        <w:tc>
          <w:tcPr>
            <w:tcW w:w="61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RSU Award</w:t>
            </w:r>
          </w:p>
        </w:tc>
        <w:tc>
          <w:tcPr>
            <w:tcW w:w="55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9/3/2024</w:t>
            </w:r>
          </w:p>
        </w:tc>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3,019</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0"/>
              </w:rPr>
            </w:pPr>
            <w:r>
              <w:rPr>
                <w:rFonts w:ascii="Arial;sans-serif" w:hAnsi="Arial;sans-serif"/>
                <w:b w:val="false"/>
                <w:color w:val="000000"/>
                <w:sz w:val="10"/>
              </w:rPr>
              <w:t>(4)</w:t>
            </w:r>
          </w:p>
        </w:tc>
        <w:tc>
          <w:tcPr>
            <w:tcW w:w="87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48,123 </w:t>
            </w:r>
          </w:p>
        </w:tc>
        <w:tc>
          <w:tcPr>
            <w:tcW w:w="2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vMerge w:val="continue"/>
            <w:tcBorders/>
            <w:tcMar>
              <w:top w:w="0" w:type="dxa"/>
              <w:left w:w="0" w:type="dxa"/>
              <w:bottom w:w="0" w:type="dxa"/>
              <w:right w:w="0" w:type="dxa"/>
            </w:tcMar>
            <w:vAlign w:val="center"/>
          </w:tcPr>
          <w:p>
            <w:pPr>
              <w:pStyle w:val="Normal"/>
              <w:bidi w:val="0"/>
              <w:jc w:val="left"/>
              <w:rPr/>
            </w:pPr>
            <w:r>
              <w:rPr/>
            </w:r>
          </w:p>
        </w:tc>
        <w:tc>
          <w:tcPr>
            <w:tcW w:w="61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PSU Award</w:t>
            </w:r>
          </w:p>
        </w:tc>
        <w:tc>
          <w:tcPr>
            <w:tcW w:w="55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1/4/2024</w:t>
            </w:r>
          </w:p>
        </w:tc>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17,002</w:t>
            </w:r>
          </w:p>
        </w:tc>
        <w:tc>
          <w:tcPr>
            <w:tcW w:w="871"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34,004</w:t>
            </w:r>
          </w:p>
        </w:tc>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628,540 </w:t>
            </w:r>
          </w:p>
        </w:tc>
        <w:tc>
          <w:tcPr>
            <w:tcW w:w="2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vMerge w:val="restart"/>
            <w:tcBorders>
              <w:bottom w:val="single" w:sz="12" w:space="0" w:color="74A333"/>
            </w:tcBorders>
            <w:shd w:fill="ECECEE" w:val="clear"/>
            <w:tcMar>
              <w:top w:w="0" w:type="dxa"/>
              <w:left w:w="0" w:type="dxa"/>
              <w:bottom w:w="30" w:type="dxa"/>
              <w:right w:w="0" w:type="dxa"/>
            </w:tcMar>
            <w:vAlign w:val="center"/>
          </w:tcPr>
          <w:p>
            <w:pPr>
              <w:pStyle w:val="TableContents"/>
              <w:bidi w:val="0"/>
              <w:spacing w:lineRule="auto" w:line="288" w:before="0" w:after="283"/>
              <w:jc w:val="left"/>
              <w:rPr>
                <w:rFonts w:ascii="Arial;sans-serif" w:hAnsi="Arial;sans-serif"/>
                <w:b/>
                <w:color w:val="74A333"/>
                <w:sz w:val="18"/>
              </w:rPr>
            </w:pPr>
            <w:r>
              <w:rPr>
                <w:rFonts w:ascii="Arial;sans-serif" w:hAnsi="Arial;sans-serif"/>
                <w:b/>
                <w:color w:val="74A333"/>
                <w:sz w:val="18"/>
              </w:rPr>
              <w:t>Anthony J. Recupero</w:t>
            </w:r>
          </w:p>
        </w:tc>
        <w:tc>
          <w:tcPr>
            <w:tcW w:w="616" w:type="dxa"/>
            <w:gridSpan w:val="3"/>
            <w:tcBorders/>
            <w:shd w:fill="ECECEE"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Annual Cash Bonus</w:t>
            </w:r>
          </w:p>
        </w:tc>
        <w:tc>
          <w:tcPr>
            <w:tcW w:w="556" w:type="dxa"/>
            <w:gridSpan w:val="3"/>
            <w:tcBorders/>
            <w:shd w:fill="ECECEE"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1/5/2024</w:t>
            </w:r>
          </w:p>
        </w:tc>
        <w:tc>
          <w:tcPr>
            <w:tcW w:w="805" w:type="dxa"/>
            <w:gridSpan w:val="2"/>
            <w:tcBorders/>
            <w:shd w:fill="ECECEE"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291,600 </w:t>
            </w:r>
          </w:p>
        </w:tc>
        <w:tc>
          <w:tcPr>
            <w:tcW w:w="111" w:type="dxa"/>
            <w:tcBorders/>
            <w:shd w:fill="ECEC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ECECEE"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364,500 </w:t>
            </w:r>
          </w:p>
        </w:tc>
        <w:tc>
          <w:tcPr>
            <w:tcW w:w="111" w:type="dxa"/>
            <w:tcBorders/>
            <w:shd w:fill="ECEC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 w:type="dxa"/>
            <w:gridSpan w:val="2"/>
            <w:tcBorders/>
            <w:shd w:fill="ECECEE"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492,075 </w:t>
            </w:r>
          </w:p>
        </w:tc>
        <w:tc>
          <w:tcPr>
            <w:tcW w:w="118" w:type="dxa"/>
            <w:tcBorders/>
            <w:shd w:fill="ECEC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CEC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ECEC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ECEC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ECEC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ECEC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CEC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ECECEE"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46" w:type="dxa"/>
            <w:tcBorders/>
            <w:shd w:fill="ECEC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ECEC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vMerge w:val="continue"/>
            <w:tcBorders>
              <w:bottom w:val="single" w:sz="12" w:space="0" w:color="74A333"/>
            </w:tcBorders>
            <w:shd w:fill="ECECEE" w:val="clear"/>
            <w:tcMar>
              <w:top w:w="0" w:type="dxa"/>
              <w:left w:w="0" w:type="dxa"/>
              <w:bottom w:w="30" w:type="dxa"/>
              <w:right w:w="0" w:type="dxa"/>
            </w:tcMar>
            <w:vAlign w:val="center"/>
          </w:tcPr>
          <w:p>
            <w:pPr>
              <w:pStyle w:val="Normal"/>
              <w:bidi w:val="0"/>
              <w:jc w:val="left"/>
              <w:rPr/>
            </w:pPr>
            <w:r>
              <w:rPr/>
            </w:r>
          </w:p>
        </w:tc>
        <w:tc>
          <w:tcPr>
            <w:tcW w:w="616" w:type="dxa"/>
            <w:gridSpan w:val="3"/>
            <w:tcBorders/>
            <w:shd w:fill="ECECEE"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RSU Award</w:t>
            </w:r>
          </w:p>
        </w:tc>
        <w:tc>
          <w:tcPr>
            <w:tcW w:w="556" w:type="dxa"/>
            <w:gridSpan w:val="3"/>
            <w:tcBorders/>
            <w:shd w:fill="ECECEE"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1/4/2024</w:t>
            </w:r>
          </w:p>
        </w:tc>
        <w:tc>
          <w:tcPr>
            <w:tcW w:w="916" w:type="dxa"/>
            <w:gridSpan w:val="3"/>
            <w:tcBorders/>
            <w:shd w:fill="ECEC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3"/>
            <w:tcBorders/>
            <w:shd w:fill="ECEC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ECEC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CEC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ECEC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ECEC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ECEC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ECECEE"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51,007</w:t>
            </w:r>
          </w:p>
        </w:tc>
        <w:tc>
          <w:tcPr>
            <w:tcW w:w="327" w:type="dxa"/>
            <w:gridSpan w:val="3"/>
            <w:tcBorders/>
            <w:shd w:fill="ECECEE"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0"/>
              </w:rPr>
            </w:pPr>
            <w:r>
              <w:rPr>
                <w:rFonts w:ascii="Arial;sans-serif" w:hAnsi="Arial;sans-serif"/>
                <w:b w:val="false"/>
                <w:color w:val="000000"/>
                <w:sz w:val="10"/>
              </w:rPr>
              <w:t>(5)</w:t>
            </w:r>
          </w:p>
        </w:tc>
        <w:tc>
          <w:tcPr>
            <w:tcW w:w="871" w:type="dxa"/>
            <w:gridSpan w:val="2"/>
            <w:tcBorders/>
            <w:shd w:fill="ECECEE"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1,050,234 </w:t>
            </w:r>
          </w:p>
        </w:tc>
        <w:tc>
          <w:tcPr>
            <w:tcW w:w="246" w:type="dxa"/>
            <w:tcBorders/>
            <w:shd w:fill="ECEC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ECEC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vMerge w:val="continue"/>
            <w:tcBorders>
              <w:bottom w:val="single" w:sz="12" w:space="0" w:color="74A333"/>
            </w:tcBorders>
            <w:shd w:fill="ECECEE" w:val="clear"/>
            <w:tcMar>
              <w:top w:w="0" w:type="dxa"/>
              <w:left w:w="0" w:type="dxa"/>
              <w:bottom w:w="30" w:type="dxa"/>
              <w:right w:w="0" w:type="dxa"/>
            </w:tcMar>
            <w:vAlign w:val="center"/>
          </w:tcPr>
          <w:p>
            <w:pPr>
              <w:pStyle w:val="Normal"/>
              <w:bidi w:val="0"/>
              <w:jc w:val="left"/>
              <w:rPr/>
            </w:pPr>
            <w:r>
              <w:rPr/>
            </w:r>
          </w:p>
        </w:tc>
        <w:tc>
          <w:tcPr>
            <w:tcW w:w="616" w:type="dxa"/>
            <w:gridSpan w:val="3"/>
            <w:tcBorders>
              <w:bottom w:val="single" w:sz="12" w:space="0" w:color="74A333"/>
            </w:tcBorders>
            <w:shd w:fill="ECECEE" w:val="clear"/>
            <w:tcMar>
              <w:top w:w="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PSU Award</w:t>
            </w:r>
          </w:p>
        </w:tc>
        <w:tc>
          <w:tcPr>
            <w:tcW w:w="556" w:type="dxa"/>
            <w:gridSpan w:val="3"/>
            <w:tcBorders>
              <w:bottom w:val="single" w:sz="12" w:space="0" w:color="74A333"/>
            </w:tcBorders>
            <w:shd w:fill="ECECEE" w:val="clear"/>
            <w:tcMar>
              <w:top w:w="0" w:type="dxa"/>
              <w:left w:w="0" w:type="dxa"/>
              <w:bottom w:w="3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1/4/2024</w:t>
            </w:r>
          </w:p>
        </w:tc>
        <w:tc>
          <w:tcPr>
            <w:tcW w:w="916" w:type="dxa"/>
            <w:gridSpan w:val="3"/>
            <w:tcBorders>
              <w:bottom w:val="single" w:sz="12" w:space="0" w:color="74A333"/>
            </w:tcBorders>
            <w:shd w:fill="ECECEE"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47" w:type="dxa"/>
            <w:gridSpan w:val="3"/>
            <w:tcBorders>
              <w:bottom w:val="single" w:sz="12" w:space="0" w:color="74A333"/>
            </w:tcBorders>
            <w:shd w:fill="ECECEE"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bottom w:val="single" w:sz="12" w:space="0" w:color="74A333"/>
            </w:tcBorders>
            <w:shd w:fill="ECECEE"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12" w:space="0" w:color="74A333"/>
            </w:tcBorders>
            <w:shd w:fill="ECECEE"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07" w:type="dxa"/>
            <w:gridSpan w:val="2"/>
            <w:tcBorders>
              <w:bottom w:val="single" w:sz="12" w:space="0" w:color="74A333"/>
            </w:tcBorders>
            <w:shd w:fill="ECECEE" w:val="clear"/>
            <w:tcMar>
              <w:top w:w="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bottom w:val="single" w:sz="12" w:space="0" w:color="74A333"/>
            </w:tcBorders>
            <w:shd w:fill="ECECEE"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bottom w:val="single" w:sz="12" w:space="0" w:color="74A333"/>
            </w:tcBorders>
            <w:shd w:fill="ECECEE" w:val="clear"/>
            <w:tcMar>
              <w:top w:w="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17,002</w:t>
            </w:r>
          </w:p>
        </w:tc>
        <w:tc>
          <w:tcPr>
            <w:tcW w:w="871" w:type="dxa"/>
            <w:gridSpan w:val="3"/>
            <w:tcBorders>
              <w:bottom w:val="single" w:sz="12" w:space="0" w:color="74A333"/>
            </w:tcBorders>
            <w:shd w:fill="ECECEE" w:val="clear"/>
            <w:tcMar>
              <w:top w:w="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34,004</w:t>
            </w:r>
          </w:p>
        </w:tc>
        <w:tc>
          <w:tcPr>
            <w:tcW w:w="691" w:type="dxa"/>
            <w:gridSpan w:val="3"/>
            <w:tcBorders>
              <w:bottom w:val="single" w:sz="12" w:space="0" w:color="74A333"/>
            </w:tcBorders>
            <w:shd w:fill="ECECEE"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12" w:space="0" w:color="74A333"/>
            </w:tcBorders>
            <w:shd w:fill="ECECEE"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bottom w:val="single" w:sz="12" w:space="0" w:color="74A333"/>
            </w:tcBorders>
            <w:shd w:fill="ECECEE" w:val="clear"/>
            <w:tcMar>
              <w:top w:w="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628,540 </w:t>
            </w:r>
          </w:p>
        </w:tc>
        <w:tc>
          <w:tcPr>
            <w:tcW w:w="246" w:type="dxa"/>
            <w:tcBorders>
              <w:bottom w:val="single" w:sz="12" w:space="0" w:color="74A333"/>
            </w:tcBorders>
            <w:shd w:fill="ECECEE"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bottom w:val="single" w:sz="12" w:space="0" w:color="74A333"/>
            </w:tcBorders>
            <w:shd w:fill="ECECEE"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ind w:left="0" w:right="0" w:hanging="360"/>
        <w:jc w:val="left"/>
        <w:rPr>
          <w:rFonts w:ascii="Arial;sans-serif" w:hAnsi="Arial;sans-serif"/>
          <w:b w:val="false"/>
          <w:color w:val="52575F"/>
          <w:sz w:val="16"/>
        </w:rPr>
      </w:pPr>
      <w:r>
        <w:rPr>
          <w:rFonts w:ascii="Arial;sans-serif" w:hAnsi="Arial;sans-serif"/>
          <w:b w:val="false"/>
          <w:color w:val="52575F"/>
          <w:sz w:val="16"/>
        </w:rPr>
        <w:t>1.These amounts represent threshold, target, and maximum annual cash bonus amounts under the 2024 Bonus Plan for each named executive officer for fiscal year 2024, and do not represent actual compensation earned by our named executive officers for fiscal year 2024. Target bonuses were set as a percentage of each named executive officer’s base salary for fiscal year 2024 as follows: 90% for Ms. Francis, 55% for Mr. Maheshwari, and 75% for Mr. Recupero. The threshold amounts were set at 80% of Target bonuses. The maximum amounts were set at 135% of Target bonuses. Refer to section titled "Compensation Elements" for our fiscal year 2024 Corporate Performance Objectives and Bonus Decisions.</w:t>
      </w:r>
    </w:p>
    <w:p>
      <w:pPr>
        <w:pStyle w:val="TextBody"/>
        <w:bidi w:val="0"/>
        <w:spacing w:lineRule="auto" w:line="288" w:before="0" w:after="120"/>
        <w:ind w:left="0" w:right="0" w:hanging="360"/>
        <w:jc w:val="left"/>
        <w:rPr/>
      </w:pPr>
      <w:r>
        <w:rPr>
          <w:rFonts w:ascii="Arial;sans-serif" w:hAnsi="Arial;sans-serif"/>
          <w:b w:val="false"/>
          <w:color w:val="52575F"/>
          <w:sz w:val="16"/>
        </w:rPr>
        <w:t>2.The PSUs granted became eligible to vest based on relative total shareholder return as compared to a group of industry peers in equal tranches over one-, two-, and three-year performance periods. No shares will be earned if the Company's TSR is 50 basis point below the Peer Company Group during any Performance Period. Amounts reported in the “Maximum” column assume that 200% of the target PSUs will vest. The actual number of PSUs that became eligible to vest based on our performance is included in the “Stock Awards – Number of Shares or Units of Stock that Have Not Vested” column of the “Outstanding Equity Awards at December 31, 2024” table below. For additional information on the PSUs granted to our named executive officers in 2024, see "</w:t>
      </w:r>
      <w:r>
        <w:rPr>
          <w:rFonts w:ascii="Arial;sans-serif" w:hAnsi="Arial;sans-serif"/>
          <w:b w:val="false"/>
          <w:i/>
          <w:color w:val="52575F"/>
          <w:sz w:val="16"/>
        </w:rPr>
        <w:t>Compensation Discussion and Analysis—Long-term Incentive Compensation</w:t>
      </w:r>
      <w:r>
        <w:rPr>
          <w:rFonts w:ascii="Arial;sans-serif" w:hAnsi="Arial;sans-serif"/>
          <w:b w:val="false"/>
          <w:color w:val="52575F"/>
          <w:sz w:val="16"/>
        </w:rPr>
        <w:t>" above.</w:t>
      </w:r>
    </w:p>
    <w:p>
      <w:pPr>
        <w:pStyle w:val="TextBody"/>
        <w:bidi w:val="0"/>
        <w:spacing w:lineRule="auto" w:line="288" w:before="0" w:after="120"/>
        <w:ind w:left="0" w:right="0" w:hanging="360"/>
        <w:jc w:val="left"/>
        <w:rPr>
          <w:rFonts w:ascii="Arial;sans-serif" w:hAnsi="Arial;sans-serif"/>
          <w:b w:val="false"/>
          <w:color w:val="52575F"/>
          <w:sz w:val="16"/>
        </w:rPr>
      </w:pPr>
      <w:r>
        <w:rPr>
          <w:rFonts w:ascii="Arial;sans-serif" w:hAnsi="Arial;sans-serif"/>
          <w:b w:val="false"/>
          <w:color w:val="52575F"/>
          <w:sz w:val="16"/>
        </w:rPr>
        <w:t xml:space="preserve">3.The amounts reported in this column do not reflect dollar amounts actually received by our named executive officers. Instead, these amounts reflect the grant date fair value of each RSU award and PSU award, as applicable, granted during the fiscal year ended December 31, 2024, computed in accordance with the provisions of Topic 718. The assumptions used in calculating the grant date fair value of the equity awards reported in these columns are set forth in Note 10 to our audited consolidated financial statements included in our Annual Report on Form 10-K for the fiscal year ended December 31, 2024. </w:t>
      </w:r>
    </w:p>
    <w:p>
      <w:pPr>
        <w:pStyle w:val="TextBody"/>
        <w:bidi w:val="0"/>
        <w:spacing w:lineRule="auto" w:line="288" w:before="0" w:after="120"/>
        <w:ind w:left="0" w:right="0" w:hanging="360"/>
        <w:jc w:val="left"/>
        <w:rPr>
          <w:rFonts w:ascii="Arial;sans-serif" w:hAnsi="Arial;sans-serif"/>
          <w:b w:val="false"/>
          <w:color w:val="52575F"/>
          <w:sz w:val="16"/>
        </w:rPr>
      </w:pPr>
      <w:r>
        <w:rPr>
          <w:rFonts w:ascii="Arial;sans-serif" w:hAnsi="Arial;sans-serif"/>
          <w:b w:val="false"/>
          <w:color w:val="52575F"/>
          <w:sz w:val="16"/>
        </w:rPr>
        <w:t>4.100% of the shares underlying the RSU award vested on January 1, 2025.</w:t>
      </w:r>
    </w:p>
    <w:p>
      <w:pPr>
        <w:pStyle w:val="TextBody"/>
        <w:bidi w:val="0"/>
        <w:spacing w:lineRule="auto" w:line="288" w:before="0" w:after="120"/>
        <w:ind w:left="0" w:right="0" w:hanging="360"/>
        <w:jc w:val="left"/>
        <w:rPr>
          <w:rFonts w:ascii="Arial;sans-serif" w:hAnsi="Arial;sans-serif"/>
          <w:b w:val="false"/>
          <w:color w:val="52575F"/>
          <w:sz w:val="16"/>
        </w:rPr>
      </w:pPr>
      <w:r>
        <w:rPr>
          <w:rFonts w:ascii="Arial;sans-serif" w:hAnsi="Arial;sans-serif"/>
          <w:b w:val="false"/>
          <w:color w:val="52575F"/>
          <w:sz w:val="16"/>
        </w:rPr>
        <w:t>5.6.25% of the shares vest each quarter beginning January 1, 2024, subject to the named executive officer’s continuous service through each such vesting date.</w:t>
      </w:r>
    </w:p>
    <w:p>
      <w:pPr>
        <w:pStyle w:val="TextBody"/>
        <w:bidi w:val="0"/>
        <w:spacing w:lineRule="auto" w:line="288" w:before="0" w:after="300"/>
        <w:ind w:left="0" w:right="0" w:hanging="360"/>
        <w:jc w:val="left"/>
        <w:rPr>
          <w:rFonts w:ascii="Arial;sans-serif" w:hAnsi="Arial;sans-serif"/>
          <w:b w:val="false"/>
          <w:color w:val="52575F"/>
          <w:sz w:val="16"/>
        </w:rPr>
      </w:pPr>
      <w:r>
        <w:rPr>
          <w:rFonts w:ascii="Arial;sans-serif" w:hAnsi="Arial;sans-serif"/>
          <w:b w:val="false"/>
          <w:color w:val="52575F"/>
          <w:sz w:val="16"/>
        </w:rPr>
        <w:t>6.Annual cash bonus for Mr. Maheshwari does not reflect the 4.5% base salary increase in September 2024 for expanded responsibilities.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739140"/>
                <wp:effectExtent l="0" t="0" r="0" b="0"/>
                <wp:wrapNone/>
                <wp:docPr id="66" name="Frame45"/>
                <a:graphic xmlns:a="http://schemas.openxmlformats.org/drawingml/2006/main">
                  <a:graphicData uri="http://schemas.microsoft.com/office/word/2010/wordprocessingShape">
                    <wps:wsp>
                      <wps:cNvSpPr txBox="1"/>
                      <wps:spPr>
                        <a:xfrm>
                          <a:off x="0" y="0"/>
                          <a:ext cx="6480175" cy="739140"/>
                        </a:xfrm>
                        <a:prstGeom prst="rect"/>
                        <a:solidFill>
                          <a:srgbClr val="FFFFFF"/>
                        </a:solidFill>
                      </wps:spPr>
                      <wps:txbx>
                        <w:txbxContent>
                          <w:tbl>
                            <w:tblPr>
                              <w:tblW w:w="3266" w:type="dxa"/>
                              <w:jc w:val="center"/>
                              <w:tblInd w:w="0" w:type="dxa"/>
                              <w:tblLayout w:type="fixed"/>
                              <w:tblCellMar>
                                <w:top w:w="28" w:type="dxa"/>
                                <w:left w:w="28" w:type="dxa"/>
                                <w:bottom w:w="28" w:type="dxa"/>
                                <w:right w:w="28" w:type="dxa"/>
                              </w:tblCellMar>
                            </w:tblPr>
                            <w:tblGrid>
                              <w:gridCol w:w="424"/>
                              <w:gridCol w:w="372"/>
                              <w:gridCol w:w="374"/>
                              <w:gridCol w:w="109"/>
                              <w:gridCol w:w="109"/>
                              <w:gridCol w:w="109"/>
                              <w:gridCol w:w="517"/>
                              <w:gridCol w:w="517"/>
                              <w:gridCol w:w="735"/>
                            </w:tblGrid>
                            <w:tr>
                              <w:trPr/>
                              <w:tc>
                                <w:tcPr>
                                  <w:tcW w:w="424"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r>
                            <w:tr>
                              <w:trPr/>
                              <w:tc>
                                <w:tcPr>
                                  <w:tcW w:w="1170"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6"/>
                                    </w:rPr>
                                  </w:pPr>
                                  <w:r>
                                    <w:rPr>
                                      <w:rFonts w:ascii="Arial;sans-serif" w:hAnsi="Arial;sans-serif"/>
                                      <w:b/>
                                      <w:color w:val="000000"/>
                                      <w:sz w:val="16"/>
                                    </w:rPr>
                                    <w:t>SI-BONE, Inc.</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000000"/>
                                      <w:sz w:val="16"/>
                                    </w:rPr>
                                  </w:pPr>
                                  <w:r>
                                    <w:rPr>
                                      <w:rFonts w:ascii="Arial;sans-serif" w:hAnsi="Arial;sans-serif"/>
                                      <w:b/>
                                      <w:color w:val="000000"/>
                                      <w:sz w:val="16"/>
                                    </w:rPr>
                                    <w:t>40</w:t>
                                  </w:r>
                                </w:p>
                              </w:tc>
                              <w:tc>
                                <w:tcPr>
                                  <w:tcW w:w="176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2025 Proxy Statement</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2pt;mso-wrap-distance-left:0pt;mso-wrap-distance-right:0pt;mso-wrap-distance-top:0pt;mso-wrap-distance-bottom:0pt;margin-top:0pt;mso-position-vertical:top;mso-position-vertical-relative:text;margin-left:0pt;mso-position-horizontal:left;mso-position-horizontal-relative:text">
                <v:textbox>
                  <w:txbxContent>
                    <w:tbl>
                      <w:tblPr>
                        <w:tblW w:w="3266" w:type="dxa"/>
                        <w:jc w:val="center"/>
                        <w:tblInd w:w="0" w:type="dxa"/>
                        <w:tblLayout w:type="fixed"/>
                        <w:tblCellMar>
                          <w:top w:w="28" w:type="dxa"/>
                          <w:left w:w="28" w:type="dxa"/>
                          <w:bottom w:w="28" w:type="dxa"/>
                          <w:right w:w="28" w:type="dxa"/>
                        </w:tblCellMar>
                      </w:tblPr>
                      <w:tblGrid>
                        <w:gridCol w:w="424"/>
                        <w:gridCol w:w="372"/>
                        <w:gridCol w:w="374"/>
                        <w:gridCol w:w="109"/>
                        <w:gridCol w:w="109"/>
                        <w:gridCol w:w="109"/>
                        <w:gridCol w:w="517"/>
                        <w:gridCol w:w="517"/>
                        <w:gridCol w:w="735"/>
                      </w:tblGrid>
                      <w:tr>
                        <w:trPr/>
                        <w:tc>
                          <w:tcPr>
                            <w:tcW w:w="424"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r>
                      <w:tr>
                        <w:trPr/>
                        <w:tc>
                          <w:tcPr>
                            <w:tcW w:w="1170"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6"/>
                              </w:rPr>
                            </w:pPr>
                            <w:r>
                              <w:rPr>
                                <w:rFonts w:ascii="Arial;sans-serif" w:hAnsi="Arial;sans-serif"/>
                                <w:b/>
                                <w:color w:val="000000"/>
                                <w:sz w:val="16"/>
                              </w:rPr>
                              <w:t>SI-BONE, Inc.</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000000"/>
                                <w:sz w:val="16"/>
                              </w:rPr>
                            </w:pPr>
                            <w:r>
                              <w:rPr>
                                <w:rFonts w:ascii="Arial;sans-serif" w:hAnsi="Arial;sans-serif"/>
                                <w:b/>
                                <w:color w:val="000000"/>
                                <w:sz w:val="16"/>
                              </w:rPr>
                              <w:t>40</w:t>
                            </w:r>
                          </w:p>
                        </w:tc>
                        <w:tc>
                          <w:tcPr>
                            <w:tcW w:w="176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2025 Proxy Statement</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right"/>
        <w:rPr>
          <w:rFonts w:ascii="Arial;sans-serif" w:hAnsi="Arial;sans-serif"/>
          <w:b w:val="false"/>
          <w:color w:val="000000"/>
          <w:sz w:val="16"/>
        </w:rPr>
      </w:pPr>
      <w:r>
        <w:rPr>
          <w:rFonts w:ascii="Arial;sans-serif" w:hAnsi="Arial;sans-serif"/>
          <w:b w:val="false"/>
          <w:color w:val="000000"/>
          <w:sz w:val="16"/>
        </w:rPr>
        <w:t>Table of Contents</w:t>
      </w:r>
    </w:p>
    <w:p>
      <w:pPr>
        <w:pStyle w:val="TextBody"/>
        <w:bidi w:val="0"/>
        <w:spacing w:lineRule="auto" w:line="288" w:before="240" w:after="180"/>
        <w:jc w:val="left"/>
        <w:rPr>
          <w:rFonts w:ascii="Arial;sans-serif" w:hAnsi="Arial;sans-serif"/>
          <w:b w:val="false"/>
          <w:color w:val="000000"/>
          <w:sz w:val="24"/>
        </w:rPr>
      </w:pPr>
      <w:r>
        <w:rPr>
          <w:rFonts w:ascii="Arial;sans-serif" w:hAnsi="Arial;sans-serif"/>
          <w:b w:val="false"/>
          <w:color w:val="000000"/>
          <w:sz w:val="24"/>
        </w:rPr>
        <w:t>OUTSTANDING EQUITY AWARDS AT DECEMBER 31, 2024</w:t>
      </w:r>
    </w:p>
    <w:p>
      <w:pPr>
        <w:pStyle w:val="TextBody"/>
        <w:bidi w:val="0"/>
        <w:spacing w:lineRule="auto" w:line="312" w:before="0" w:after="180"/>
        <w:jc w:val="left"/>
        <w:rPr>
          <w:rFonts w:ascii="Arial;sans-serif" w:hAnsi="Arial;sans-serif"/>
          <w:b w:val="false"/>
          <w:color w:val="000000"/>
          <w:sz w:val="18"/>
        </w:rPr>
      </w:pPr>
      <w:r>
        <w:rPr>
          <w:rFonts w:ascii="Arial;sans-serif" w:hAnsi="Arial;sans-serif"/>
          <w:b w:val="false"/>
          <w:color w:val="000000"/>
          <w:sz w:val="18"/>
        </w:rPr>
        <w:t>The following table shows, certain information regarding outstanding equity awards at December 31, 2024, for our Named Executive Officers:</w:t>
      </w:r>
    </w:p>
    <w:tbl>
      <w:tblPr>
        <w:tblW w:w="10397" w:type="dxa"/>
        <w:jc w:val="left"/>
        <w:tblInd w:w="0" w:type="dxa"/>
        <w:tblLayout w:type="fixed"/>
        <w:tblCellMar>
          <w:top w:w="28" w:type="dxa"/>
          <w:left w:w="28" w:type="dxa"/>
          <w:bottom w:w="28" w:type="dxa"/>
          <w:right w:w="28" w:type="dxa"/>
        </w:tblCellMar>
      </w:tblPr>
      <w:tblGrid>
        <w:gridCol w:w="428"/>
        <w:gridCol w:w="265"/>
        <w:gridCol w:w="193"/>
        <w:gridCol w:w="155"/>
        <w:gridCol w:w="155"/>
        <w:gridCol w:w="156"/>
        <w:gridCol w:w="375"/>
        <w:gridCol w:w="375"/>
        <w:gridCol w:w="376"/>
        <w:gridCol w:w="300"/>
        <w:gridCol w:w="300"/>
        <w:gridCol w:w="301"/>
        <w:gridCol w:w="300"/>
        <w:gridCol w:w="300"/>
        <w:gridCol w:w="301"/>
        <w:gridCol w:w="271"/>
        <w:gridCol w:w="225"/>
        <w:gridCol w:w="226"/>
        <w:gridCol w:w="255"/>
        <w:gridCol w:w="255"/>
        <w:gridCol w:w="256"/>
        <w:gridCol w:w="109"/>
        <w:gridCol w:w="109"/>
        <w:gridCol w:w="109"/>
        <w:gridCol w:w="371"/>
        <w:gridCol w:w="200"/>
        <w:gridCol w:w="201"/>
        <w:gridCol w:w="576"/>
        <w:gridCol w:w="190"/>
        <w:gridCol w:w="191"/>
        <w:gridCol w:w="416"/>
        <w:gridCol w:w="230"/>
        <w:gridCol w:w="231"/>
        <w:gridCol w:w="536"/>
        <w:gridCol w:w="230"/>
        <w:gridCol w:w="231"/>
        <w:gridCol w:w="109"/>
        <w:gridCol w:w="109"/>
        <w:gridCol w:w="109"/>
        <w:gridCol w:w="109"/>
        <w:gridCol w:w="109"/>
        <w:gridCol w:w="154"/>
      </w:tblGrid>
      <w:tr>
        <w:trPr/>
        <w:tc>
          <w:tcPr>
            <w:tcW w:w="428"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90" w:type="dxa"/>
            <w:gridSpan w:val="12"/>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4"/>
              </w:rPr>
            </w:pPr>
            <w:r>
              <w:rPr>
                <w:rFonts w:ascii="Arial;sans-serif" w:hAnsi="Arial;sans-serif"/>
                <w:b/>
                <w:color w:val="000000"/>
                <w:sz w:val="14"/>
              </w:rPr>
              <w:t>Option Awards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3" w:type="dxa"/>
            <w:gridSpan w:val="12"/>
            <w:tcBorders/>
            <w:tcMar>
              <w:top w:w="0" w:type="dxa"/>
              <w:left w:w="0" w:type="dxa"/>
              <w:bottom w:w="0" w:type="dxa"/>
              <w:right w:w="0" w:type="dxa"/>
            </w:tcMar>
            <w:vAlign w:val="center"/>
          </w:tcPr>
          <w:p>
            <w:pPr>
              <w:pStyle w:val="TableContents"/>
              <w:bidi w:val="0"/>
              <w:spacing w:lineRule="auto" w:line="288" w:before="0" w:after="0"/>
              <w:jc w:val="center"/>
              <w:rPr/>
            </w:pPr>
            <w:r>
              <w:rPr>
                <w:rFonts w:ascii="Arial;sans-serif" w:hAnsi="Arial;sans-serif"/>
                <w:b/>
                <w:color w:val="000000"/>
                <w:sz w:val="14"/>
              </w:rPr>
              <w:t>Stock Awards</w:t>
            </w:r>
            <w:r>
              <w:rPr>
                <w:rFonts w:ascii="Arial;sans-serif" w:hAnsi="Arial;sans-serif"/>
                <w:b/>
                <w:color w:val="000000"/>
                <w:sz w:val="9"/>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88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4"/>
              </w:rPr>
            </w:pPr>
            <w:r>
              <w:rPr>
                <w:rFonts w:ascii="Arial;sans-serif" w:hAnsi="Arial;sans-serif"/>
                <w:b/>
                <w:color w:val="000000"/>
                <w:sz w:val="14"/>
              </w:rPr>
              <w:t>Name</w:t>
            </w:r>
          </w:p>
        </w:tc>
        <w:tc>
          <w:tcPr>
            <w:tcW w:w="4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Grant</w:t>
              <w:br/>
              <w:t>Date</w:t>
            </w:r>
          </w:p>
        </w:tc>
        <w:tc>
          <w:tcPr>
            <w:tcW w:w="112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4"/>
              </w:rPr>
            </w:pPr>
            <w:r>
              <w:rPr>
                <w:rFonts w:ascii="Arial;sans-serif" w:hAnsi="Arial;sans-serif"/>
                <w:b/>
                <w:color w:val="000000"/>
                <w:sz w:val="14"/>
              </w:rPr>
              <w:t>Vesting Commencement Date</w:t>
            </w:r>
          </w:p>
        </w:tc>
        <w:tc>
          <w:tcPr>
            <w:tcW w:w="901" w:type="dxa"/>
            <w:gridSpan w:val="3"/>
            <w:tcBorders>
              <w:top w:val="single" w:sz="8" w:space="0" w:color="74A333"/>
            </w:tcBorders>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4"/>
              </w:rPr>
            </w:pPr>
            <w:r>
              <w:rPr>
                <w:rFonts w:ascii="Arial;sans-serif" w:hAnsi="Arial;sans-serif"/>
                <w:b/>
                <w:color w:val="000000"/>
                <w:sz w:val="14"/>
              </w:rPr>
              <w:t xml:space="preserve">Number of Securities Underlying Unexercised Options Vested </w:t>
              <w:br/>
              <w:t>(#)</w:t>
            </w:r>
          </w:p>
        </w:tc>
        <w:tc>
          <w:tcPr>
            <w:tcW w:w="901" w:type="dxa"/>
            <w:gridSpan w:val="3"/>
            <w:tcBorders>
              <w:top w:val="single" w:sz="8" w:space="0" w:color="74A333"/>
            </w:tcBorders>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4"/>
              </w:rPr>
            </w:pPr>
            <w:r>
              <w:rPr>
                <w:rFonts w:ascii="Arial;sans-serif" w:hAnsi="Arial;sans-serif"/>
                <w:b/>
                <w:color w:val="000000"/>
                <w:sz w:val="14"/>
              </w:rPr>
              <w:t xml:space="preserve">Number of Securities Underlying Unexercised Options Unvested </w:t>
              <w:br/>
              <w:t>(#)</w:t>
            </w:r>
          </w:p>
        </w:tc>
        <w:tc>
          <w:tcPr>
            <w:tcW w:w="722" w:type="dxa"/>
            <w:gridSpan w:val="3"/>
            <w:tcBorders>
              <w:top w:val="single" w:sz="8" w:space="0" w:color="74A333"/>
            </w:tcBorders>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4"/>
              </w:rPr>
            </w:pPr>
            <w:r>
              <w:rPr>
                <w:rFonts w:ascii="Arial;sans-serif" w:hAnsi="Arial;sans-serif"/>
                <w:b/>
                <w:color w:val="000000"/>
                <w:sz w:val="14"/>
              </w:rPr>
              <w:t xml:space="preserve">Option Exercise Price </w:t>
              <w:br/>
              <w:t>($)</w:t>
            </w:r>
          </w:p>
        </w:tc>
        <w:tc>
          <w:tcPr>
            <w:tcW w:w="766" w:type="dxa"/>
            <w:gridSpan w:val="3"/>
            <w:tcBorders>
              <w:top w:val="single" w:sz="8" w:space="0" w:color="74A333"/>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4"/>
              </w:rPr>
            </w:pPr>
            <w:r>
              <w:rPr>
                <w:rFonts w:ascii="Arial;sans-serif" w:hAnsi="Arial;sans-serif"/>
                <w:b/>
                <w:color w:val="000000"/>
                <w:sz w:val="14"/>
              </w:rPr>
              <w:t>Option Expiration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3"/>
            <w:tcBorders>
              <w:top w:val="single" w:sz="8" w:space="0" w:color="74A333"/>
            </w:tcBorders>
            <w:tcMar>
              <w:top w:w="30" w:type="dxa"/>
              <w:left w:w="0" w:type="dxa"/>
              <w:bottom w:w="0" w:type="dxa"/>
              <w:right w:w="0" w:type="dxa"/>
            </w:tcMar>
            <w:vAlign w:val="center"/>
          </w:tcPr>
          <w:p>
            <w:pPr>
              <w:pStyle w:val="TableContents"/>
              <w:bidi w:val="0"/>
              <w:spacing w:lineRule="auto" w:line="288" w:before="0" w:after="0"/>
              <w:jc w:val="right"/>
              <w:rPr/>
            </w:pPr>
            <w:r>
              <w:rPr>
                <w:rFonts w:ascii="Arial;sans-serif" w:hAnsi="Arial;sans-serif"/>
                <w:b/>
                <w:color w:val="000000"/>
                <w:sz w:val="14"/>
              </w:rPr>
              <w:t>Number of Shares or Units of Stock That Have Not Vested</w:t>
            </w:r>
            <w:r>
              <w:rPr>
                <w:rFonts w:ascii="Arial;sans-serif" w:hAnsi="Arial;sans-serif"/>
                <w:b/>
                <w:color w:val="000000"/>
                <w:sz w:val="9"/>
              </w:rPr>
              <w:t>(1)</w:t>
            </w:r>
            <w:r>
              <w:rPr>
                <w:color w:val="000000"/>
              </w:rPr>
              <w:t xml:space="preserve"> </w:t>
            </w:r>
          </w:p>
          <w:p>
            <w:pPr>
              <w:pStyle w:val="TableContents"/>
              <w:bidi w:val="0"/>
              <w:spacing w:lineRule="auto" w:line="288" w:before="0" w:after="0"/>
              <w:jc w:val="right"/>
              <w:rPr>
                <w:rFonts w:ascii="Arial;sans-serif" w:hAnsi="Arial;sans-serif"/>
                <w:b/>
                <w:color w:val="000000"/>
                <w:sz w:val="14"/>
              </w:rPr>
            </w:pPr>
            <w:r>
              <w:rPr>
                <w:rFonts w:ascii="Arial;sans-serif" w:hAnsi="Arial;sans-serif"/>
                <w:b/>
                <w:color w:val="000000"/>
                <w:sz w:val="14"/>
              </w:rPr>
              <w:t>(#)</w:t>
            </w:r>
          </w:p>
        </w:tc>
        <w:tc>
          <w:tcPr>
            <w:tcW w:w="957" w:type="dxa"/>
            <w:gridSpan w:val="3"/>
            <w:tcBorders>
              <w:top w:val="single" w:sz="8" w:space="0" w:color="74A333"/>
            </w:tcBorders>
            <w:tcMar>
              <w:top w:w="30" w:type="dxa"/>
              <w:left w:w="0" w:type="dxa"/>
              <w:bottom w:w="0" w:type="dxa"/>
              <w:right w:w="0" w:type="dxa"/>
            </w:tcMar>
            <w:vAlign w:val="center"/>
          </w:tcPr>
          <w:p>
            <w:pPr>
              <w:pStyle w:val="TableContents"/>
              <w:bidi w:val="0"/>
              <w:spacing w:lineRule="auto" w:line="288" w:before="0" w:after="0"/>
              <w:jc w:val="right"/>
              <w:rPr/>
            </w:pPr>
            <w:r>
              <w:rPr>
                <w:rFonts w:ascii="Arial;sans-serif" w:hAnsi="Arial;sans-serif"/>
                <w:b/>
                <w:color w:val="000000"/>
                <w:sz w:val="14"/>
              </w:rPr>
              <w:t>Market Value of Shares or Units of Stock That Have Not Vested</w:t>
            </w:r>
            <w:r>
              <w:rPr>
                <w:rFonts w:ascii="Arial;sans-serif" w:hAnsi="Arial;sans-serif"/>
                <w:b/>
                <w:color w:val="000000"/>
                <w:sz w:val="9"/>
              </w:rPr>
              <w:t>(1)</w:t>
            </w:r>
          </w:p>
          <w:p>
            <w:pPr>
              <w:pStyle w:val="TableContents"/>
              <w:bidi w:val="0"/>
              <w:spacing w:lineRule="auto" w:line="288" w:before="0" w:after="0"/>
              <w:jc w:val="right"/>
              <w:rPr>
                <w:rFonts w:ascii="Arial;sans-serif" w:hAnsi="Arial;sans-serif"/>
                <w:b/>
                <w:color w:val="000000"/>
                <w:sz w:val="14"/>
              </w:rPr>
            </w:pPr>
            <w:r>
              <w:rPr>
                <w:rFonts w:ascii="Arial;sans-serif" w:hAnsi="Arial;sans-serif"/>
                <w:b/>
                <w:color w:val="000000"/>
                <w:sz w:val="14"/>
              </w:rPr>
              <w:t>($)</w:t>
            </w:r>
          </w:p>
        </w:tc>
        <w:tc>
          <w:tcPr>
            <w:tcW w:w="877" w:type="dxa"/>
            <w:gridSpan w:val="3"/>
            <w:tcBorders>
              <w:top w:val="single" w:sz="8" w:space="0" w:color="74A333"/>
            </w:tcBorders>
            <w:tcMar>
              <w:top w:w="30" w:type="dxa"/>
              <w:left w:w="0" w:type="dxa"/>
              <w:bottom w:w="0" w:type="dxa"/>
              <w:right w:w="0" w:type="dxa"/>
            </w:tcMar>
            <w:vAlign w:val="center"/>
          </w:tcPr>
          <w:p>
            <w:pPr>
              <w:pStyle w:val="TableContents"/>
              <w:bidi w:val="0"/>
              <w:spacing w:lineRule="auto" w:line="288" w:before="0" w:after="0"/>
              <w:jc w:val="right"/>
              <w:rPr/>
            </w:pPr>
            <w:r>
              <w:rPr>
                <w:rFonts w:ascii="Arial;sans-serif" w:hAnsi="Arial;sans-serif"/>
                <w:b/>
                <w:color w:val="000000"/>
                <w:sz w:val="14"/>
              </w:rPr>
              <w:t>Equity Incentive Plan Awards: Number of unearned shares, units or other rights that have not vested</w:t>
            </w:r>
            <w:r>
              <w:rPr>
                <w:rFonts w:ascii="Arial;sans-serif" w:hAnsi="Arial;sans-serif"/>
                <w:b/>
                <w:color w:val="000000"/>
                <w:sz w:val="9"/>
              </w:rPr>
              <w:t>(3)</w:t>
            </w:r>
          </w:p>
          <w:p>
            <w:pPr>
              <w:pStyle w:val="TableContents"/>
              <w:bidi w:val="0"/>
              <w:spacing w:lineRule="auto" w:line="288" w:before="0" w:after="0"/>
              <w:jc w:val="right"/>
              <w:rPr>
                <w:rFonts w:ascii="Arial;sans-serif" w:hAnsi="Arial;sans-serif"/>
                <w:b/>
                <w:color w:val="000000"/>
                <w:sz w:val="14"/>
              </w:rPr>
            </w:pPr>
            <w:r>
              <w:rPr>
                <w:rFonts w:ascii="Arial;sans-serif" w:hAnsi="Arial;sans-serif"/>
                <w:b/>
                <w:color w:val="000000"/>
                <w:sz w:val="14"/>
              </w:rPr>
              <w:t>(#)</w:t>
            </w:r>
          </w:p>
        </w:tc>
        <w:tc>
          <w:tcPr>
            <w:tcW w:w="997" w:type="dxa"/>
            <w:gridSpan w:val="3"/>
            <w:tcBorders>
              <w:top w:val="single" w:sz="8" w:space="0" w:color="74A333"/>
            </w:tcBorders>
            <w:tcMar>
              <w:top w:w="30" w:type="dxa"/>
              <w:left w:w="0" w:type="dxa"/>
              <w:bottom w:w="0" w:type="dxa"/>
              <w:right w:w="0" w:type="dxa"/>
            </w:tcMar>
            <w:vAlign w:val="center"/>
          </w:tcPr>
          <w:p>
            <w:pPr>
              <w:pStyle w:val="TableContents"/>
              <w:bidi w:val="0"/>
              <w:spacing w:lineRule="auto" w:line="288" w:before="0" w:after="0"/>
              <w:jc w:val="right"/>
              <w:rPr/>
            </w:pPr>
            <w:r>
              <w:rPr>
                <w:rFonts w:ascii="Arial;sans-serif" w:hAnsi="Arial;sans-serif"/>
                <w:b/>
                <w:color w:val="000000"/>
                <w:sz w:val="14"/>
              </w:rPr>
              <w:t>Equity Incentive Plan Awards: market or payout value of unearned shares, units or other rights that have not vested</w:t>
            </w:r>
            <w:r>
              <w:rPr>
                <w:color w:val="000000"/>
              </w:rPr>
              <w:t xml:space="preserve"> </w:t>
            </w:r>
            <w:r>
              <w:rPr>
                <w:rFonts w:ascii="Arial;sans-serif" w:hAnsi="Arial;sans-serif"/>
                <w:b/>
                <w:color w:val="000000"/>
                <w:sz w:val="9"/>
              </w:rPr>
              <w:t>(3)</w:t>
            </w:r>
          </w:p>
          <w:p>
            <w:pPr>
              <w:pStyle w:val="TableContents"/>
              <w:bidi w:val="0"/>
              <w:spacing w:lineRule="auto" w:line="288" w:before="0" w:after="0"/>
              <w:jc w:val="right"/>
              <w:rPr>
                <w:rFonts w:ascii="Arial;sans-serif" w:hAnsi="Arial;sans-serif"/>
                <w:b/>
                <w:color w:val="000000"/>
                <w:sz w:val="14"/>
              </w:rPr>
            </w:pPr>
            <w:r>
              <w:rPr>
                <w:rFonts w:ascii="Arial;sans-serif" w:hAnsi="Arial;sans-serif"/>
                <w:b/>
                <w:color w:val="000000"/>
                <w:sz w:val="14"/>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86" w:type="dxa"/>
            <w:gridSpan w:val="3"/>
            <w:vMerge w:val="restart"/>
            <w:tcBorders/>
            <w:shd w:fill="ECECEE"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74A333"/>
                <w:sz w:val="14"/>
              </w:rPr>
            </w:pPr>
            <w:r>
              <w:rPr>
                <w:rFonts w:ascii="Arial;sans-serif" w:hAnsi="Arial;sans-serif"/>
                <w:b/>
                <w:color w:val="74A333"/>
                <w:sz w:val="14"/>
              </w:rPr>
              <w:t>Laura A. Francis</w:t>
            </w:r>
          </w:p>
        </w:tc>
        <w:tc>
          <w:tcPr>
            <w:tcW w:w="466" w:type="dxa"/>
            <w:gridSpan w:val="3"/>
            <w:tcBorders/>
            <w:shd w:fill="ECECEE"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4"/>
              </w:rPr>
            </w:pPr>
            <w:r>
              <w:rPr>
                <w:rFonts w:ascii="Arial;sans-serif" w:hAnsi="Arial;sans-serif"/>
                <w:b w:val="false"/>
                <w:color w:val="000000"/>
                <w:sz w:val="14"/>
              </w:rPr>
              <w:t>01/15/19</w:t>
            </w:r>
          </w:p>
        </w:tc>
        <w:tc>
          <w:tcPr>
            <w:tcW w:w="1126" w:type="dxa"/>
            <w:gridSpan w:val="3"/>
            <w:tcBorders/>
            <w:shd w:fill="ECECEE"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4"/>
              </w:rPr>
            </w:pPr>
            <w:r>
              <w:rPr>
                <w:rFonts w:ascii="Arial;sans-serif" w:hAnsi="Arial;sans-serif"/>
                <w:b w:val="false"/>
                <w:color w:val="000000"/>
                <w:sz w:val="14"/>
              </w:rPr>
              <w:t>01/15/19</w:t>
            </w:r>
          </w:p>
        </w:tc>
        <w:tc>
          <w:tcPr>
            <w:tcW w:w="901" w:type="dxa"/>
            <w:gridSpan w:val="3"/>
            <w:tcBorders/>
            <w:shd w:fill="ECECEE"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5,574</w:t>
            </w:r>
          </w:p>
        </w:tc>
        <w:tc>
          <w:tcPr>
            <w:tcW w:w="600" w:type="dxa"/>
            <w:gridSpan w:val="2"/>
            <w:tcBorders/>
            <w:shd w:fill="ECECEE"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01" w:type="dxa"/>
            <w:tcBorders/>
            <w:shd w:fill="ECEC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shd w:fill="ECECEE"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22.00</w:t>
            </w:r>
          </w:p>
        </w:tc>
        <w:tc>
          <w:tcPr>
            <w:tcW w:w="766" w:type="dxa"/>
            <w:gridSpan w:val="3"/>
            <w:tcBorders/>
            <w:shd w:fill="ECECEE"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4"/>
              </w:rPr>
            </w:pPr>
            <w:r>
              <w:rPr>
                <w:rFonts w:ascii="Arial;sans-serif" w:hAnsi="Arial;sans-serif"/>
                <w:b w:val="false"/>
                <w:color w:val="000000"/>
                <w:sz w:val="14"/>
              </w:rPr>
              <w:t>01/15/29</w:t>
            </w:r>
          </w:p>
        </w:tc>
        <w:tc>
          <w:tcPr>
            <w:tcW w:w="327" w:type="dxa"/>
            <w:gridSpan w:val="3"/>
            <w:tcBorders/>
            <w:shd w:fill="ECEC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ECECEE"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01" w:type="dxa"/>
            <w:tcBorders/>
            <w:shd w:fill="ECEC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ECECEE"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1" w:type="dxa"/>
            <w:tcBorders/>
            <w:shd w:fill="ECEC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ECECEE"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31" w:type="dxa"/>
            <w:tcBorders/>
            <w:shd w:fill="ECEC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ECECEE"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31" w:type="dxa"/>
            <w:tcBorders/>
            <w:shd w:fill="ECEC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CEC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86" w:type="dxa"/>
            <w:gridSpan w:val="3"/>
            <w:vMerge w:val="continue"/>
            <w:tcBorders/>
            <w:shd w:fill="ECECEE" w:val="clear"/>
            <w:tcMar>
              <w:top w:w="0" w:type="dxa"/>
              <w:left w:w="0" w:type="dxa"/>
              <w:bottom w:w="0" w:type="dxa"/>
              <w:right w:w="0" w:type="dxa"/>
            </w:tcMar>
            <w:vAlign w:val="center"/>
          </w:tcPr>
          <w:p>
            <w:pPr>
              <w:pStyle w:val="Normal"/>
              <w:bidi w:val="0"/>
              <w:jc w:val="left"/>
              <w:rPr/>
            </w:pPr>
            <w:r>
              <w:rPr/>
            </w:r>
          </w:p>
        </w:tc>
        <w:tc>
          <w:tcPr>
            <w:tcW w:w="466" w:type="dxa"/>
            <w:gridSpan w:val="3"/>
            <w:tcBorders/>
            <w:shd w:fill="ECECEE"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4"/>
              </w:rPr>
            </w:pPr>
            <w:r>
              <w:rPr>
                <w:rFonts w:ascii="Arial;sans-serif" w:hAnsi="Arial;sans-serif"/>
                <w:b w:val="false"/>
                <w:color w:val="000000"/>
                <w:sz w:val="14"/>
              </w:rPr>
              <w:t>01/05/21</w:t>
            </w:r>
          </w:p>
        </w:tc>
        <w:tc>
          <w:tcPr>
            <w:tcW w:w="1126" w:type="dxa"/>
            <w:gridSpan w:val="3"/>
            <w:tcBorders/>
            <w:shd w:fill="ECECEE"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4"/>
              </w:rPr>
            </w:pPr>
            <w:r>
              <w:rPr>
                <w:rFonts w:ascii="Arial;sans-serif" w:hAnsi="Arial;sans-serif"/>
                <w:b w:val="false"/>
                <w:color w:val="000000"/>
                <w:sz w:val="14"/>
              </w:rPr>
              <w:t>01/01/21</w:t>
            </w:r>
          </w:p>
        </w:tc>
        <w:tc>
          <w:tcPr>
            <w:tcW w:w="600" w:type="dxa"/>
            <w:gridSpan w:val="2"/>
            <w:tcBorders/>
            <w:shd w:fill="ECECEE"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01" w:type="dxa"/>
            <w:tcBorders/>
            <w:shd w:fill="ECEC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shd w:fill="ECECEE"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01" w:type="dxa"/>
            <w:tcBorders/>
            <w:shd w:fill="ECEC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ECECEE"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26" w:type="dxa"/>
            <w:tcBorders/>
            <w:shd w:fill="ECEC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2"/>
            <w:tcBorders/>
            <w:shd w:fill="ECECEE"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56" w:type="dxa"/>
            <w:tcBorders/>
            <w:shd w:fill="ECEC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CEC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ECECEE"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3,080 </w:t>
            </w:r>
          </w:p>
        </w:tc>
        <w:tc>
          <w:tcPr>
            <w:tcW w:w="201" w:type="dxa"/>
            <w:tcBorders/>
            <w:shd w:fill="ECEC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ECECEE"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43,182 </w:t>
            </w:r>
          </w:p>
        </w:tc>
        <w:tc>
          <w:tcPr>
            <w:tcW w:w="191" w:type="dxa"/>
            <w:tcBorders/>
            <w:shd w:fill="ECEC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ECECEE"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31" w:type="dxa"/>
            <w:tcBorders/>
            <w:shd w:fill="ECEC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ECECEE"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31" w:type="dxa"/>
            <w:tcBorders/>
            <w:shd w:fill="ECEC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CEC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86" w:type="dxa"/>
            <w:gridSpan w:val="3"/>
            <w:vMerge w:val="continue"/>
            <w:tcBorders/>
            <w:shd w:fill="ECECEE" w:val="clear"/>
            <w:tcMar>
              <w:top w:w="0" w:type="dxa"/>
              <w:left w:w="0" w:type="dxa"/>
              <w:bottom w:w="0" w:type="dxa"/>
              <w:right w:w="0" w:type="dxa"/>
            </w:tcMar>
            <w:vAlign w:val="center"/>
          </w:tcPr>
          <w:p>
            <w:pPr>
              <w:pStyle w:val="Normal"/>
              <w:bidi w:val="0"/>
              <w:jc w:val="left"/>
              <w:rPr/>
            </w:pPr>
            <w:r>
              <w:rPr/>
            </w:r>
          </w:p>
        </w:tc>
        <w:tc>
          <w:tcPr>
            <w:tcW w:w="466" w:type="dxa"/>
            <w:gridSpan w:val="3"/>
            <w:tcBorders/>
            <w:shd w:fill="ECECEE"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4"/>
              </w:rPr>
            </w:pPr>
            <w:r>
              <w:rPr>
                <w:rFonts w:ascii="Arial;sans-serif" w:hAnsi="Arial;sans-serif"/>
                <w:b w:val="false"/>
                <w:color w:val="000000"/>
                <w:sz w:val="14"/>
              </w:rPr>
              <w:t>04/18/21</w:t>
            </w:r>
          </w:p>
        </w:tc>
        <w:tc>
          <w:tcPr>
            <w:tcW w:w="1126" w:type="dxa"/>
            <w:gridSpan w:val="3"/>
            <w:tcBorders/>
            <w:shd w:fill="ECECEE"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4"/>
              </w:rPr>
            </w:pPr>
            <w:r>
              <w:rPr>
                <w:rFonts w:ascii="Arial;sans-serif" w:hAnsi="Arial;sans-serif"/>
                <w:b w:val="false"/>
                <w:color w:val="000000"/>
                <w:sz w:val="14"/>
              </w:rPr>
              <w:t>05/15/21</w:t>
            </w:r>
          </w:p>
        </w:tc>
        <w:tc>
          <w:tcPr>
            <w:tcW w:w="600" w:type="dxa"/>
            <w:gridSpan w:val="2"/>
            <w:tcBorders/>
            <w:shd w:fill="ECECEE"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01" w:type="dxa"/>
            <w:tcBorders/>
            <w:shd w:fill="ECEC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shd w:fill="ECECEE"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01" w:type="dxa"/>
            <w:tcBorders/>
            <w:shd w:fill="ECEC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ECECEE"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26" w:type="dxa"/>
            <w:tcBorders/>
            <w:shd w:fill="ECEC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2"/>
            <w:tcBorders/>
            <w:shd w:fill="ECECEE"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56" w:type="dxa"/>
            <w:tcBorders/>
            <w:shd w:fill="ECEC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CEC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ECECEE"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4,108 </w:t>
            </w:r>
          </w:p>
        </w:tc>
        <w:tc>
          <w:tcPr>
            <w:tcW w:w="201" w:type="dxa"/>
            <w:tcBorders/>
            <w:shd w:fill="ECEC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ECECEE"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57,594 </w:t>
            </w:r>
          </w:p>
        </w:tc>
        <w:tc>
          <w:tcPr>
            <w:tcW w:w="191" w:type="dxa"/>
            <w:tcBorders/>
            <w:shd w:fill="ECEC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ECECEE"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31" w:type="dxa"/>
            <w:tcBorders/>
            <w:shd w:fill="ECEC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ECECEE"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31" w:type="dxa"/>
            <w:tcBorders/>
            <w:shd w:fill="ECEC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CEC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86" w:type="dxa"/>
            <w:gridSpan w:val="3"/>
            <w:vMerge w:val="continue"/>
            <w:tcBorders/>
            <w:shd w:fill="ECECEE" w:val="clear"/>
            <w:tcMar>
              <w:top w:w="0" w:type="dxa"/>
              <w:left w:w="0" w:type="dxa"/>
              <w:bottom w:w="0" w:type="dxa"/>
              <w:right w:w="0" w:type="dxa"/>
            </w:tcMar>
            <w:vAlign w:val="center"/>
          </w:tcPr>
          <w:p>
            <w:pPr>
              <w:pStyle w:val="Normal"/>
              <w:bidi w:val="0"/>
              <w:jc w:val="left"/>
              <w:rPr/>
            </w:pPr>
            <w:r>
              <w:rPr/>
            </w:r>
          </w:p>
        </w:tc>
        <w:tc>
          <w:tcPr>
            <w:tcW w:w="466" w:type="dxa"/>
            <w:gridSpan w:val="3"/>
            <w:tcBorders/>
            <w:shd w:fill="ECECEE"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4"/>
              </w:rPr>
            </w:pPr>
            <w:r>
              <w:rPr>
                <w:rFonts w:ascii="Arial;sans-serif" w:hAnsi="Arial;sans-serif"/>
                <w:b w:val="false"/>
                <w:color w:val="000000"/>
                <w:sz w:val="14"/>
              </w:rPr>
              <w:t>01/07/22</w:t>
            </w:r>
          </w:p>
        </w:tc>
        <w:tc>
          <w:tcPr>
            <w:tcW w:w="1126" w:type="dxa"/>
            <w:gridSpan w:val="3"/>
            <w:tcBorders/>
            <w:shd w:fill="ECECEE"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4"/>
              </w:rPr>
            </w:pPr>
            <w:r>
              <w:rPr>
                <w:rFonts w:ascii="Arial;sans-serif" w:hAnsi="Arial;sans-serif"/>
                <w:b w:val="false"/>
                <w:color w:val="000000"/>
                <w:sz w:val="14"/>
              </w:rPr>
              <w:t>01/01/22</w:t>
            </w:r>
          </w:p>
        </w:tc>
        <w:tc>
          <w:tcPr>
            <w:tcW w:w="600" w:type="dxa"/>
            <w:gridSpan w:val="2"/>
            <w:tcBorders/>
            <w:shd w:fill="ECECEE"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01" w:type="dxa"/>
            <w:tcBorders/>
            <w:shd w:fill="ECEC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shd w:fill="ECECEE"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01" w:type="dxa"/>
            <w:tcBorders/>
            <w:shd w:fill="ECEC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ECECEE"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26" w:type="dxa"/>
            <w:tcBorders/>
            <w:shd w:fill="ECEC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2"/>
            <w:tcBorders/>
            <w:shd w:fill="ECECEE"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56" w:type="dxa"/>
            <w:tcBorders/>
            <w:shd w:fill="ECEC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CEC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ECECEE"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19,958 </w:t>
            </w:r>
          </w:p>
        </w:tc>
        <w:tc>
          <w:tcPr>
            <w:tcW w:w="201" w:type="dxa"/>
            <w:tcBorders/>
            <w:shd w:fill="ECEC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ECECEE"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279,811 </w:t>
            </w:r>
          </w:p>
        </w:tc>
        <w:tc>
          <w:tcPr>
            <w:tcW w:w="191" w:type="dxa"/>
            <w:tcBorders/>
            <w:shd w:fill="ECEC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ECECEE"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63,864 </w:t>
            </w:r>
          </w:p>
        </w:tc>
        <w:tc>
          <w:tcPr>
            <w:tcW w:w="231" w:type="dxa"/>
            <w:tcBorders/>
            <w:shd w:fill="ECEC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ECECEE"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895,373 </w:t>
            </w:r>
          </w:p>
        </w:tc>
        <w:tc>
          <w:tcPr>
            <w:tcW w:w="231" w:type="dxa"/>
            <w:tcBorders/>
            <w:shd w:fill="ECEC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CEC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86" w:type="dxa"/>
            <w:gridSpan w:val="3"/>
            <w:vMerge w:val="continue"/>
            <w:tcBorders/>
            <w:shd w:fill="ECECEE" w:val="clear"/>
            <w:tcMar>
              <w:top w:w="0" w:type="dxa"/>
              <w:left w:w="0" w:type="dxa"/>
              <w:bottom w:w="0" w:type="dxa"/>
              <w:right w:w="0" w:type="dxa"/>
            </w:tcMar>
            <w:vAlign w:val="center"/>
          </w:tcPr>
          <w:p>
            <w:pPr>
              <w:pStyle w:val="Normal"/>
              <w:bidi w:val="0"/>
              <w:jc w:val="left"/>
              <w:rPr/>
            </w:pPr>
            <w:r>
              <w:rPr/>
            </w:r>
          </w:p>
        </w:tc>
        <w:tc>
          <w:tcPr>
            <w:tcW w:w="466" w:type="dxa"/>
            <w:gridSpan w:val="3"/>
            <w:tcBorders/>
            <w:shd w:fill="ECECEE"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4"/>
              </w:rPr>
            </w:pPr>
            <w:r>
              <w:rPr>
                <w:rFonts w:ascii="Arial;sans-serif" w:hAnsi="Arial;sans-serif"/>
                <w:b w:val="false"/>
                <w:color w:val="000000"/>
                <w:sz w:val="14"/>
              </w:rPr>
              <w:t>01/06/23</w:t>
            </w:r>
          </w:p>
        </w:tc>
        <w:tc>
          <w:tcPr>
            <w:tcW w:w="1126" w:type="dxa"/>
            <w:gridSpan w:val="3"/>
            <w:tcBorders/>
            <w:shd w:fill="ECECEE"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4"/>
              </w:rPr>
            </w:pPr>
            <w:r>
              <w:rPr>
                <w:rFonts w:ascii="Arial;sans-serif" w:hAnsi="Arial;sans-serif"/>
                <w:b w:val="false"/>
                <w:color w:val="000000"/>
                <w:sz w:val="14"/>
              </w:rPr>
              <w:t>01/01/23</w:t>
            </w:r>
          </w:p>
        </w:tc>
        <w:tc>
          <w:tcPr>
            <w:tcW w:w="600" w:type="dxa"/>
            <w:gridSpan w:val="2"/>
            <w:tcBorders/>
            <w:shd w:fill="ECECEE"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01" w:type="dxa"/>
            <w:tcBorders/>
            <w:shd w:fill="ECEC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shd w:fill="ECECEE"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01" w:type="dxa"/>
            <w:tcBorders/>
            <w:shd w:fill="ECEC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ECECEE"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26" w:type="dxa"/>
            <w:tcBorders/>
            <w:shd w:fill="ECEC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2"/>
            <w:tcBorders/>
            <w:shd w:fill="ECECEE"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56" w:type="dxa"/>
            <w:tcBorders/>
            <w:shd w:fill="ECEC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CEC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ECECEE"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39,517 </w:t>
            </w:r>
          </w:p>
        </w:tc>
        <w:tc>
          <w:tcPr>
            <w:tcW w:w="201" w:type="dxa"/>
            <w:tcBorders/>
            <w:shd w:fill="ECEC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ECECEE"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554,028 </w:t>
            </w:r>
          </w:p>
        </w:tc>
        <w:tc>
          <w:tcPr>
            <w:tcW w:w="191" w:type="dxa"/>
            <w:tcBorders/>
            <w:shd w:fill="ECEC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ECECEE"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117,087 </w:t>
            </w:r>
          </w:p>
        </w:tc>
        <w:tc>
          <w:tcPr>
            <w:tcW w:w="231" w:type="dxa"/>
            <w:tcBorders/>
            <w:shd w:fill="ECEC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ECECEE"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1,641,560 </w:t>
            </w:r>
          </w:p>
        </w:tc>
        <w:tc>
          <w:tcPr>
            <w:tcW w:w="231" w:type="dxa"/>
            <w:tcBorders/>
            <w:shd w:fill="ECEC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CEC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86" w:type="dxa"/>
            <w:gridSpan w:val="3"/>
            <w:vMerge w:val="continue"/>
            <w:tcBorders/>
            <w:shd w:fill="ECECEE" w:val="clear"/>
            <w:tcMar>
              <w:top w:w="0" w:type="dxa"/>
              <w:left w:w="0" w:type="dxa"/>
              <w:bottom w:w="0" w:type="dxa"/>
              <w:right w:w="0" w:type="dxa"/>
            </w:tcMar>
            <w:vAlign w:val="center"/>
          </w:tcPr>
          <w:p>
            <w:pPr>
              <w:pStyle w:val="Normal"/>
              <w:bidi w:val="0"/>
              <w:jc w:val="left"/>
              <w:rPr/>
            </w:pPr>
            <w:r>
              <w:rPr/>
            </w:r>
          </w:p>
        </w:tc>
        <w:tc>
          <w:tcPr>
            <w:tcW w:w="466" w:type="dxa"/>
            <w:gridSpan w:val="3"/>
            <w:tcBorders/>
            <w:shd w:fill="ECECEE"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4"/>
              </w:rPr>
            </w:pPr>
            <w:r>
              <w:rPr>
                <w:rFonts w:ascii="Arial;sans-serif" w:hAnsi="Arial;sans-serif"/>
                <w:b w:val="false"/>
                <w:color w:val="000000"/>
                <w:sz w:val="14"/>
              </w:rPr>
              <w:t>01/04/24</w:t>
            </w:r>
          </w:p>
        </w:tc>
        <w:tc>
          <w:tcPr>
            <w:tcW w:w="1126" w:type="dxa"/>
            <w:gridSpan w:val="3"/>
            <w:tcBorders/>
            <w:shd w:fill="ECECEE"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4"/>
              </w:rPr>
            </w:pPr>
            <w:r>
              <w:rPr>
                <w:rFonts w:ascii="Arial;sans-serif" w:hAnsi="Arial;sans-serif"/>
                <w:b w:val="false"/>
                <w:color w:val="000000"/>
                <w:sz w:val="14"/>
              </w:rPr>
              <w:t>01/01/24</w:t>
            </w:r>
          </w:p>
        </w:tc>
        <w:tc>
          <w:tcPr>
            <w:tcW w:w="600" w:type="dxa"/>
            <w:gridSpan w:val="2"/>
            <w:tcBorders/>
            <w:shd w:fill="ECECEE"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01" w:type="dxa"/>
            <w:tcBorders/>
            <w:shd w:fill="ECEC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shd w:fill="ECECEE"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01" w:type="dxa"/>
            <w:tcBorders/>
            <w:shd w:fill="ECEC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ECECEE"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26" w:type="dxa"/>
            <w:tcBorders/>
            <w:shd w:fill="ECEC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2"/>
            <w:tcBorders/>
            <w:shd w:fill="ECECEE"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56" w:type="dxa"/>
            <w:tcBorders/>
            <w:shd w:fill="ECEC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CEC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ECECEE"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81,781 </w:t>
            </w:r>
          </w:p>
        </w:tc>
        <w:tc>
          <w:tcPr>
            <w:tcW w:w="201" w:type="dxa"/>
            <w:tcBorders/>
            <w:shd w:fill="ECEC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ECECEE"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1,146,570 </w:t>
            </w:r>
          </w:p>
        </w:tc>
        <w:tc>
          <w:tcPr>
            <w:tcW w:w="191" w:type="dxa"/>
            <w:tcBorders/>
            <w:shd w:fill="ECEC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ECECEE"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201,306 </w:t>
            </w:r>
          </w:p>
        </w:tc>
        <w:tc>
          <w:tcPr>
            <w:tcW w:w="231" w:type="dxa"/>
            <w:tcBorders/>
            <w:shd w:fill="ECEC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ECECEE"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2,822,310 </w:t>
            </w:r>
          </w:p>
        </w:tc>
        <w:tc>
          <w:tcPr>
            <w:tcW w:w="231" w:type="dxa"/>
            <w:tcBorders/>
            <w:shd w:fill="ECEC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CEC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86" w:type="dxa"/>
            <w:gridSpan w:val="3"/>
            <w:vMerge w:val="restart"/>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74A333"/>
                <w:sz w:val="14"/>
              </w:rPr>
            </w:pPr>
            <w:r>
              <w:rPr>
                <w:rFonts w:ascii="Arial;sans-serif" w:hAnsi="Arial;sans-serif"/>
                <w:b/>
                <w:color w:val="74A333"/>
                <w:sz w:val="14"/>
              </w:rPr>
              <w:t>Anshul Maheshwari</w:t>
            </w:r>
          </w:p>
        </w:tc>
        <w:tc>
          <w:tcPr>
            <w:tcW w:w="46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4"/>
              </w:rPr>
            </w:pPr>
            <w:r>
              <w:rPr>
                <w:rFonts w:ascii="Arial;sans-serif" w:hAnsi="Arial;sans-serif"/>
                <w:b w:val="false"/>
                <w:color w:val="000000"/>
                <w:sz w:val="14"/>
              </w:rPr>
              <w:t>04/21/21</w:t>
            </w:r>
          </w:p>
        </w:tc>
        <w:tc>
          <w:tcPr>
            <w:tcW w:w="112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4"/>
              </w:rPr>
            </w:pPr>
            <w:r>
              <w:rPr>
                <w:rFonts w:ascii="Arial;sans-serif" w:hAnsi="Arial;sans-serif"/>
                <w:b w:val="false"/>
                <w:color w:val="000000"/>
                <w:sz w:val="14"/>
              </w:rPr>
              <w:t>05/15/21</w:t>
            </w:r>
          </w:p>
        </w:tc>
        <w:tc>
          <w:tcPr>
            <w:tcW w:w="600"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4,780 </w:t>
            </w:r>
          </w:p>
        </w:tc>
        <w:tc>
          <w:tcPr>
            <w:tcW w:w="2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67,016 </w:t>
            </w:r>
          </w:p>
        </w:tc>
        <w:tc>
          <w:tcPr>
            <w:tcW w:w="1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86" w:type="dxa"/>
            <w:gridSpan w:val="3"/>
            <w:vMerge w:val="continue"/>
            <w:tcBorders/>
            <w:tcMar>
              <w:top w:w="0" w:type="dxa"/>
              <w:left w:w="0" w:type="dxa"/>
              <w:bottom w:w="0" w:type="dxa"/>
              <w:right w:w="0" w:type="dxa"/>
            </w:tcMar>
            <w:vAlign w:val="center"/>
          </w:tcPr>
          <w:p>
            <w:pPr>
              <w:pStyle w:val="Normal"/>
              <w:bidi w:val="0"/>
              <w:jc w:val="left"/>
              <w:rPr/>
            </w:pPr>
            <w:r>
              <w:rPr/>
            </w:r>
          </w:p>
        </w:tc>
        <w:tc>
          <w:tcPr>
            <w:tcW w:w="46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4"/>
              </w:rPr>
            </w:pPr>
            <w:r>
              <w:rPr>
                <w:rFonts w:ascii="Arial;sans-serif" w:hAnsi="Arial;sans-serif"/>
                <w:b w:val="false"/>
                <w:color w:val="000000"/>
                <w:sz w:val="14"/>
              </w:rPr>
              <w:t>01/06/22</w:t>
            </w:r>
          </w:p>
        </w:tc>
        <w:tc>
          <w:tcPr>
            <w:tcW w:w="112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4"/>
              </w:rPr>
            </w:pPr>
            <w:r>
              <w:rPr>
                <w:rFonts w:ascii="Arial;sans-serif" w:hAnsi="Arial;sans-serif"/>
                <w:b w:val="false"/>
                <w:color w:val="000000"/>
                <w:sz w:val="14"/>
              </w:rPr>
              <w:t>01/01/22</w:t>
            </w:r>
          </w:p>
        </w:tc>
        <w:tc>
          <w:tcPr>
            <w:tcW w:w="600"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13,063 </w:t>
            </w:r>
          </w:p>
        </w:tc>
        <w:tc>
          <w:tcPr>
            <w:tcW w:w="2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183,143 </w:t>
            </w:r>
          </w:p>
        </w:tc>
        <w:tc>
          <w:tcPr>
            <w:tcW w:w="1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13,936 </w:t>
            </w:r>
          </w:p>
        </w:tc>
        <w:tc>
          <w:tcPr>
            <w:tcW w:w="2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195,383 </w:t>
            </w:r>
          </w:p>
        </w:tc>
        <w:tc>
          <w:tcPr>
            <w:tcW w:w="2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86" w:type="dxa"/>
            <w:gridSpan w:val="3"/>
            <w:vMerge w:val="continue"/>
            <w:tcBorders/>
            <w:tcMar>
              <w:top w:w="0" w:type="dxa"/>
              <w:left w:w="0" w:type="dxa"/>
              <w:bottom w:w="0" w:type="dxa"/>
              <w:right w:w="0" w:type="dxa"/>
            </w:tcMar>
            <w:vAlign w:val="center"/>
          </w:tcPr>
          <w:p>
            <w:pPr>
              <w:pStyle w:val="Normal"/>
              <w:bidi w:val="0"/>
              <w:jc w:val="left"/>
              <w:rPr/>
            </w:pPr>
            <w:r>
              <w:rPr/>
            </w:r>
          </w:p>
        </w:tc>
        <w:tc>
          <w:tcPr>
            <w:tcW w:w="46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4"/>
              </w:rPr>
            </w:pPr>
            <w:r>
              <w:rPr>
                <w:rFonts w:ascii="Arial;sans-serif" w:hAnsi="Arial;sans-serif"/>
                <w:b w:val="false"/>
                <w:color w:val="000000"/>
                <w:sz w:val="14"/>
              </w:rPr>
              <w:t>01/06/23</w:t>
            </w:r>
          </w:p>
        </w:tc>
        <w:tc>
          <w:tcPr>
            <w:tcW w:w="112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4"/>
              </w:rPr>
            </w:pPr>
            <w:r>
              <w:rPr>
                <w:rFonts w:ascii="Arial;sans-serif" w:hAnsi="Arial;sans-serif"/>
                <w:b w:val="false"/>
                <w:color w:val="000000"/>
                <w:sz w:val="14"/>
              </w:rPr>
              <w:t>01/01/23</w:t>
            </w:r>
          </w:p>
        </w:tc>
        <w:tc>
          <w:tcPr>
            <w:tcW w:w="600"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32,331 </w:t>
            </w:r>
          </w:p>
        </w:tc>
        <w:tc>
          <w:tcPr>
            <w:tcW w:w="2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453,281 </w:t>
            </w:r>
          </w:p>
        </w:tc>
        <w:tc>
          <w:tcPr>
            <w:tcW w:w="1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31,932 </w:t>
            </w:r>
          </w:p>
        </w:tc>
        <w:tc>
          <w:tcPr>
            <w:tcW w:w="2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447,687 </w:t>
            </w:r>
          </w:p>
        </w:tc>
        <w:tc>
          <w:tcPr>
            <w:tcW w:w="2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86" w:type="dxa"/>
            <w:gridSpan w:val="3"/>
            <w:vMerge w:val="continue"/>
            <w:tcBorders/>
            <w:tcMar>
              <w:top w:w="0" w:type="dxa"/>
              <w:left w:w="0" w:type="dxa"/>
              <w:bottom w:w="0" w:type="dxa"/>
              <w:right w:w="0" w:type="dxa"/>
            </w:tcMar>
            <w:vAlign w:val="center"/>
          </w:tcPr>
          <w:p>
            <w:pPr>
              <w:pStyle w:val="Normal"/>
              <w:bidi w:val="0"/>
              <w:jc w:val="left"/>
              <w:rPr/>
            </w:pPr>
            <w:r>
              <w:rPr/>
            </w:r>
          </w:p>
        </w:tc>
        <w:tc>
          <w:tcPr>
            <w:tcW w:w="46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4"/>
              </w:rPr>
            </w:pPr>
            <w:r>
              <w:rPr>
                <w:rFonts w:ascii="Arial;sans-serif" w:hAnsi="Arial;sans-serif"/>
                <w:b w:val="false"/>
                <w:color w:val="000000"/>
                <w:sz w:val="14"/>
              </w:rPr>
              <w:t>01/04/24</w:t>
            </w:r>
          </w:p>
        </w:tc>
        <w:tc>
          <w:tcPr>
            <w:tcW w:w="112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4"/>
              </w:rPr>
            </w:pPr>
            <w:r>
              <w:rPr>
                <w:rFonts w:ascii="Arial;sans-serif" w:hAnsi="Arial;sans-serif"/>
                <w:b w:val="false"/>
                <w:color w:val="000000"/>
                <w:sz w:val="14"/>
              </w:rPr>
              <w:t>01/01/24</w:t>
            </w:r>
          </w:p>
        </w:tc>
        <w:tc>
          <w:tcPr>
            <w:tcW w:w="600"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41,443 </w:t>
            </w:r>
          </w:p>
        </w:tc>
        <w:tc>
          <w:tcPr>
            <w:tcW w:w="2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581,031 </w:t>
            </w:r>
          </w:p>
        </w:tc>
        <w:tc>
          <w:tcPr>
            <w:tcW w:w="1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34,004 </w:t>
            </w:r>
          </w:p>
        </w:tc>
        <w:tc>
          <w:tcPr>
            <w:tcW w:w="2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476,736 </w:t>
            </w:r>
          </w:p>
        </w:tc>
        <w:tc>
          <w:tcPr>
            <w:tcW w:w="2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86" w:type="dxa"/>
            <w:gridSpan w:val="3"/>
            <w:vMerge w:val="continue"/>
            <w:tcBorders/>
            <w:tcMar>
              <w:top w:w="0" w:type="dxa"/>
              <w:left w:w="0" w:type="dxa"/>
              <w:bottom w:w="0" w:type="dxa"/>
              <w:right w:w="0" w:type="dxa"/>
            </w:tcMar>
            <w:vAlign w:val="center"/>
          </w:tcPr>
          <w:p>
            <w:pPr>
              <w:pStyle w:val="Normal"/>
              <w:bidi w:val="0"/>
              <w:jc w:val="left"/>
              <w:rPr/>
            </w:pPr>
            <w:r>
              <w:rPr/>
            </w:r>
          </w:p>
        </w:tc>
        <w:tc>
          <w:tcPr>
            <w:tcW w:w="46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4"/>
              </w:rPr>
            </w:pPr>
            <w:r>
              <w:rPr>
                <w:rFonts w:ascii="Arial;sans-serif" w:hAnsi="Arial;sans-serif"/>
                <w:b w:val="false"/>
                <w:color w:val="000000"/>
                <w:sz w:val="14"/>
              </w:rPr>
              <w:t>09/03/24</w:t>
            </w:r>
          </w:p>
        </w:tc>
        <w:tc>
          <w:tcPr>
            <w:tcW w:w="112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4"/>
              </w:rPr>
            </w:pPr>
            <w:r>
              <w:rPr>
                <w:rFonts w:ascii="Arial;sans-serif" w:hAnsi="Arial;sans-serif"/>
                <w:b w:val="false"/>
                <w:color w:val="000000"/>
                <w:sz w:val="14"/>
              </w:rPr>
              <w:t>01/01/25</w:t>
            </w:r>
          </w:p>
        </w:tc>
        <w:tc>
          <w:tcPr>
            <w:tcW w:w="600"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3,019 </w:t>
            </w:r>
          </w:p>
        </w:tc>
        <w:tc>
          <w:tcPr>
            <w:tcW w:w="2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42,326 </w:t>
            </w:r>
          </w:p>
        </w:tc>
        <w:tc>
          <w:tcPr>
            <w:tcW w:w="1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86" w:type="dxa"/>
            <w:gridSpan w:val="3"/>
            <w:vMerge w:val="restart"/>
            <w:tcBorders>
              <w:bottom w:val="single" w:sz="12" w:space="0" w:color="74A333"/>
            </w:tcBorders>
            <w:shd w:fill="ECECEE" w:val="clear"/>
            <w:tcMar>
              <w:top w:w="0" w:type="dxa"/>
              <w:left w:w="0" w:type="dxa"/>
              <w:bottom w:w="30" w:type="dxa"/>
              <w:right w:w="0" w:type="dxa"/>
            </w:tcMar>
            <w:vAlign w:val="center"/>
          </w:tcPr>
          <w:p>
            <w:pPr>
              <w:pStyle w:val="TableContents"/>
              <w:bidi w:val="0"/>
              <w:spacing w:lineRule="auto" w:line="288" w:before="0" w:after="283"/>
              <w:jc w:val="left"/>
              <w:rPr>
                <w:rFonts w:ascii="Arial;sans-serif" w:hAnsi="Arial;sans-serif"/>
                <w:b/>
                <w:color w:val="74A333"/>
                <w:sz w:val="14"/>
              </w:rPr>
            </w:pPr>
            <w:r>
              <w:rPr>
                <w:rFonts w:ascii="Arial;sans-serif" w:hAnsi="Arial;sans-serif"/>
                <w:b/>
                <w:color w:val="74A333"/>
                <w:sz w:val="14"/>
              </w:rPr>
              <w:t>Anthony J. Recupero</w:t>
            </w:r>
          </w:p>
        </w:tc>
        <w:tc>
          <w:tcPr>
            <w:tcW w:w="466" w:type="dxa"/>
            <w:gridSpan w:val="3"/>
            <w:tcBorders/>
            <w:shd w:fill="ECECEE"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4"/>
              </w:rPr>
            </w:pPr>
            <w:r>
              <w:rPr>
                <w:rFonts w:ascii="Arial;sans-serif" w:hAnsi="Arial;sans-serif"/>
                <w:b w:val="false"/>
                <w:color w:val="000000"/>
                <w:sz w:val="14"/>
              </w:rPr>
              <w:t>07/26/16</w:t>
            </w:r>
          </w:p>
        </w:tc>
        <w:tc>
          <w:tcPr>
            <w:tcW w:w="1126" w:type="dxa"/>
            <w:gridSpan w:val="3"/>
            <w:tcBorders/>
            <w:shd w:fill="ECECEE"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4"/>
              </w:rPr>
            </w:pPr>
            <w:r>
              <w:rPr>
                <w:rFonts w:ascii="Arial;sans-serif" w:hAnsi="Arial;sans-serif"/>
                <w:b w:val="false"/>
                <w:color w:val="000000"/>
                <w:sz w:val="14"/>
              </w:rPr>
              <w:t>07/05/16</w:t>
            </w:r>
          </w:p>
        </w:tc>
        <w:tc>
          <w:tcPr>
            <w:tcW w:w="600" w:type="dxa"/>
            <w:gridSpan w:val="2"/>
            <w:tcBorders/>
            <w:shd w:fill="ECECEE"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99,190 </w:t>
            </w:r>
          </w:p>
        </w:tc>
        <w:tc>
          <w:tcPr>
            <w:tcW w:w="301" w:type="dxa"/>
            <w:tcBorders/>
            <w:shd w:fill="ECEC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shd w:fill="ECECEE"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01" w:type="dxa"/>
            <w:tcBorders/>
            <w:shd w:fill="ECEC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ECECEE"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4.32 </w:t>
            </w:r>
          </w:p>
        </w:tc>
        <w:tc>
          <w:tcPr>
            <w:tcW w:w="226" w:type="dxa"/>
            <w:tcBorders/>
            <w:shd w:fill="ECEC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ECECEE"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4"/>
              </w:rPr>
            </w:pPr>
            <w:r>
              <w:rPr>
                <w:rFonts w:ascii="Arial;sans-serif" w:hAnsi="Arial;sans-serif"/>
                <w:b w:val="false"/>
                <w:color w:val="000000"/>
                <w:sz w:val="14"/>
              </w:rPr>
              <w:t>07/26/26</w:t>
            </w:r>
          </w:p>
        </w:tc>
        <w:tc>
          <w:tcPr>
            <w:tcW w:w="327" w:type="dxa"/>
            <w:gridSpan w:val="3"/>
            <w:tcBorders/>
            <w:shd w:fill="ECEC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ECECEE"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01" w:type="dxa"/>
            <w:tcBorders/>
            <w:shd w:fill="ECEC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ECECEE"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1" w:type="dxa"/>
            <w:tcBorders/>
            <w:shd w:fill="ECEC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ECECEE"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31" w:type="dxa"/>
            <w:tcBorders/>
            <w:shd w:fill="ECEC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ECECEE"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31" w:type="dxa"/>
            <w:tcBorders/>
            <w:shd w:fill="ECEC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CEC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86" w:type="dxa"/>
            <w:gridSpan w:val="3"/>
            <w:vMerge w:val="continue"/>
            <w:tcBorders>
              <w:bottom w:val="single" w:sz="12" w:space="0" w:color="74A333"/>
            </w:tcBorders>
            <w:shd w:fill="ECECEE" w:val="clear"/>
            <w:tcMar>
              <w:top w:w="0" w:type="dxa"/>
              <w:left w:w="0" w:type="dxa"/>
              <w:bottom w:w="30" w:type="dxa"/>
              <w:right w:w="0" w:type="dxa"/>
            </w:tcMar>
            <w:vAlign w:val="center"/>
          </w:tcPr>
          <w:p>
            <w:pPr>
              <w:pStyle w:val="Normal"/>
              <w:bidi w:val="0"/>
              <w:jc w:val="left"/>
              <w:rPr/>
            </w:pPr>
            <w:r>
              <w:rPr/>
            </w:r>
          </w:p>
        </w:tc>
        <w:tc>
          <w:tcPr>
            <w:tcW w:w="466" w:type="dxa"/>
            <w:gridSpan w:val="3"/>
            <w:tcBorders/>
            <w:shd w:fill="ECECEE"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4"/>
              </w:rPr>
            </w:pPr>
            <w:r>
              <w:rPr>
                <w:rFonts w:ascii="Arial;sans-serif" w:hAnsi="Arial;sans-serif"/>
                <w:b w:val="false"/>
                <w:color w:val="000000"/>
                <w:sz w:val="14"/>
              </w:rPr>
              <w:t>12/12/17</w:t>
            </w:r>
          </w:p>
        </w:tc>
        <w:tc>
          <w:tcPr>
            <w:tcW w:w="1126" w:type="dxa"/>
            <w:gridSpan w:val="3"/>
            <w:tcBorders/>
            <w:shd w:fill="ECECEE"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4"/>
              </w:rPr>
            </w:pPr>
            <w:r>
              <w:rPr>
                <w:rFonts w:ascii="Arial;sans-serif" w:hAnsi="Arial;sans-serif"/>
                <w:b w:val="false"/>
                <w:color w:val="000000"/>
                <w:sz w:val="14"/>
              </w:rPr>
              <w:t>09/06/17</w:t>
            </w:r>
          </w:p>
        </w:tc>
        <w:tc>
          <w:tcPr>
            <w:tcW w:w="600" w:type="dxa"/>
            <w:gridSpan w:val="2"/>
            <w:tcBorders/>
            <w:shd w:fill="ECECEE"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53,943 </w:t>
            </w:r>
          </w:p>
        </w:tc>
        <w:tc>
          <w:tcPr>
            <w:tcW w:w="301" w:type="dxa"/>
            <w:tcBorders/>
            <w:shd w:fill="ECEC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shd w:fill="ECECEE"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01" w:type="dxa"/>
            <w:tcBorders/>
            <w:shd w:fill="ECEC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ECECEE"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4.68 </w:t>
            </w:r>
          </w:p>
        </w:tc>
        <w:tc>
          <w:tcPr>
            <w:tcW w:w="226" w:type="dxa"/>
            <w:tcBorders/>
            <w:shd w:fill="ECEC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ECECEE"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4"/>
              </w:rPr>
            </w:pPr>
            <w:r>
              <w:rPr>
                <w:rFonts w:ascii="Arial;sans-serif" w:hAnsi="Arial;sans-serif"/>
                <w:b w:val="false"/>
                <w:color w:val="000000"/>
                <w:sz w:val="14"/>
              </w:rPr>
              <w:t>03/01/27</w:t>
            </w:r>
          </w:p>
        </w:tc>
        <w:tc>
          <w:tcPr>
            <w:tcW w:w="327" w:type="dxa"/>
            <w:gridSpan w:val="3"/>
            <w:tcBorders/>
            <w:shd w:fill="ECEC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ECECEE"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01" w:type="dxa"/>
            <w:tcBorders/>
            <w:shd w:fill="ECEC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ECECEE"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1" w:type="dxa"/>
            <w:tcBorders/>
            <w:shd w:fill="ECEC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ECECEE"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31" w:type="dxa"/>
            <w:tcBorders/>
            <w:shd w:fill="ECEC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ECECEE"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31" w:type="dxa"/>
            <w:tcBorders/>
            <w:shd w:fill="ECEC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CEC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86" w:type="dxa"/>
            <w:gridSpan w:val="3"/>
            <w:vMerge w:val="continue"/>
            <w:tcBorders>
              <w:bottom w:val="single" w:sz="12" w:space="0" w:color="74A333"/>
            </w:tcBorders>
            <w:shd w:fill="ECECEE" w:val="clear"/>
            <w:tcMar>
              <w:top w:w="0" w:type="dxa"/>
              <w:left w:w="0" w:type="dxa"/>
              <w:bottom w:w="30" w:type="dxa"/>
              <w:right w:w="0" w:type="dxa"/>
            </w:tcMar>
            <w:vAlign w:val="center"/>
          </w:tcPr>
          <w:p>
            <w:pPr>
              <w:pStyle w:val="Normal"/>
              <w:bidi w:val="0"/>
              <w:jc w:val="left"/>
              <w:rPr/>
            </w:pPr>
            <w:r>
              <w:rPr/>
            </w:r>
          </w:p>
        </w:tc>
        <w:tc>
          <w:tcPr>
            <w:tcW w:w="466" w:type="dxa"/>
            <w:gridSpan w:val="3"/>
            <w:tcBorders/>
            <w:shd w:fill="ECECEE"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4"/>
              </w:rPr>
            </w:pPr>
            <w:r>
              <w:rPr>
                <w:rFonts w:ascii="Arial;sans-serif" w:hAnsi="Arial;sans-serif"/>
                <w:b w:val="false"/>
                <w:color w:val="000000"/>
                <w:sz w:val="14"/>
              </w:rPr>
              <w:t>01/15/19</w:t>
            </w:r>
          </w:p>
        </w:tc>
        <w:tc>
          <w:tcPr>
            <w:tcW w:w="1126" w:type="dxa"/>
            <w:gridSpan w:val="3"/>
            <w:tcBorders/>
            <w:shd w:fill="ECECEE"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4"/>
              </w:rPr>
            </w:pPr>
            <w:r>
              <w:rPr>
                <w:rFonts w:ascii="Arial;sans-serif" w:hAnsi="Arial;sans-serif"/>
                <w:b w:val="false"/>
                <w:color w:val="000000"/>
                <w:sz w:val="14"/>
              </w:rPr>
              <w:t>01/15/19</w:t>
            </w:r>
          </w:p>
        </w:tc>
        <w:tc>
          <w:tcPr>
            <w:tcW w:w="600" w:type="dxa"/>
            <w:gridSpan w:val="2"/>
            <w:tcBorders/>
            <w:shd w:fill="ECECEE"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42,700 </w:t>
            </w:r>
          </w:p>
        </w:tc>
        <w:tc>
          <w:tcPr>
            <w:tcW w:w="301" w:type="dxa"/>
            <w:tcBorders/>
            <w:shd w:fill="ECEC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shd w:fill="ECECEE"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01" w:type="dxa"/>
            <w:tcBorders/>
            <w:shd w:fill="ECEC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ECECEE"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22.00 </w:t>
            </w:r>
          </w:p>
        </w:tc>
        <w:tc>
          <w:tcPr>
            <w:tcW w:w="226" w:type="dxa"/>
            <w:tcBorders/>
            <w:shd w:fill="ECEC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ECECEE"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4"/>
              </w:rPr>
            </w:pPr>
            <w:r>
              <w:rPr>
                <w:rFonts w:ascii="Arial;sans-serif" w:hAnsi="Arial;sans-serif"/>
                <w:b w:val="false"/>
                <w:color w:val="000000"/>
                <w:sz w:val="14"/>
              </w:rPr>
              <w:t>01/15/29</w:t>
            </w:r>
          </w:p>
        </w:tc>
        <w:tc>
          <w:tcPr>
            <w:tcW w:w="327" w:type="dxa"/>
            <w:gridSpan w:val="3"/>
            <w:tcBorders/>
            <w:shd w:fill="ECEC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ECECEE"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01" w:type="dxa"/>
            <w:tcBorders/>
            <w:shd w:fill="ECEC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ECECEE"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1" w:type="dxa"/>
            <w:tcBorders/>
            <w:shd w:fill="ECEC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ECECEE"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31" w:type="dxa"/>
            <w:tcBorders/>
            <w:shd w:fill="ECEC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ECECEE"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31" w:type="dxa"/>
            <w:tcBorders/>
            <w:shd w:fill="ECEC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CEC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86" w:type="dxa"/>
            <w:gridSpan w:val="3"/>
            <w:vMerge w:val="continue"/>
            <w:tcBorders>
              <w:bottom w:val="single" w:sz="12" w:space="0" w:color="74A333"/>
            </w:tcBorders>
            <w:shd w:fill="ECECEE" w:val="clear"/>
            <w:tcMar>
              <w:top w:w="0" w:type="dxa"/>
              <w:left w:w="0" w:type="dxa"/>
              <w:bottom w:w="30" w:type="dxa"/>
              <w:right w:w="0" w:type="dxa"/>
            </w:tcMar>
            <w:vAlign w:val="center"/>
          </w:tcPr>
          <w:p>
            <w:pPr>
              <w:pStyle w:val="Normal"/>
              <w:bidi w:val="0"/>
              <w:jc w:val="left"/>
              <w:rPr/>
            </w:pPr>
            <w:r>
              <w:rPr/>
            </w:r>
          </w:p>
        </w:tc>
        <w:tc>
          <w:tcPr>
            <w:tcW w:w="466" w:type="dxa"/>
            <w:gridSpan w:val="3"/>
            <w:tcBorders/>
            <w:shd w:fill="ECECEE"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4"/>
              </w:rPr>
            </w:pPr>
            <w:r>
              <w:rPr>
                <w:rFonts w:ascii="Arial;sans-serif" w:hAnsi="Arial;sans-serif"/>
                <w:b w:val="false"/>
                <w:color w:val="000000"/>
                <w:sz w:val="14"/>
              </w:rPr>
              <w:t>01/05/21</w:t>
            </w:r>
          </w:p>
        </w:tc>
        <w:tc>
          <w:tcPr>
            <w:tcW w:w="1126" w:type="dxa"/>
            <w:gridSpan w:val="3"/>
            <w:tcBorders/>
            <w:shd w:fill="ECECEE"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4"/>
              </w:rPr>
            </w:pPr>
            <w:r>
              <w:rPr>
                <w:rFonts w:ascii="Arial;sans-serif" w:hAnsi="Arial;sans-serif"/>
                <w:b w:val="false"/>
                <w:color w:val="000000"/>
                <w:sz w:val="14"/>
              </w:rPr>
              <w:t>01/01/21</w:t>
            </w:r>
          </w:p>
        </w:tc>
        <w:tc>
          <w:tcPr>
            <w:tcW w:w="600" w:type="dxa"/>
            <w:gridSpan w:val="2"/>
            <w:tcBorders/>
            <w:shd w:fill="ECECEE"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01" w:type="dxa"/>
            <w:tcBorders/>
            <w:shd w:fill="ECEC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shd w:fill="ECECEE"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01" w:type="dxa"/>
            <w:tcBorders/>
            <w:shd w:fill="ECEC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ECECEE"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26" w:type="dxa"/>
            <w:tcBorders/>
            <w:shd w:fill="ECEC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2"/>
            <w:tcBorders/>
            <w:shd w:fill="ECECEE"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56" w:type="dxa"/>
            <w:tcBorders/>
            <w:shd w:fill="ECEC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CEC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ECECEE"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3,080 </w:t>
            </w:r>
          </w:p>
        </w:tc>
        <w:tc>
          <w:tcPr>
            <w:tcW w:w="201" w:type="dxa"/>
            <w:tcBorders/>
            <w:shd w:fill="ECEC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ECECEE"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43,182 </w:t>
            </w:r>
          </w:p>
        </w:tc>
        <w:tc>
          <w:tcPr>
            <w:tcW w:w="191" w:type="dxa"/>
            <w:tcBorders/>
            <w:shd w:fill="ECEC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ECECEE"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31" w:type="dxa"/>
            <w:tcBorders/>
            <w:shd w:fill="ECEC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ECECEE"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31" w:type="dxa"/>
            <w:tcBorders/>
            <w:shd w:fill="ECEC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CEC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86" w:type="dxa"/>
            <w:gridSpan w:val="3"/>
            <w:vMerge w:val="continue"/>
            <w:tcBorders>
              <w:bottom w:val="single" w:sz="12" w:space="0" w:color="74A333"/>
            </w:tcBorders>
            <w:shd w:fill="ECECEE" w:val="clear"/>
            <w:tcMar>
              <w:top w:w="0" w:type="dxa"/>
              <w:left w:w="0" w:type="dxa"/>
              <w:bottom w:w="30" w:type="dxa"/>
              <w:right w:w="0" w:type="dxa"/>
            </w:tcMar>
            <w:vAlign w:val="center"/>
          </w:tcPr>
          <w:p>
            <w:pPr>
              <w:pStyle w:val="Normal"/>
              <w:bidi w:val="0"/>
              <w:jc w:val="left"/>
              <w:rPr/>
            </w:pPr>
            <w:r>
              <w:rPr/>
            </w:r>
          </w:p>
        </w:tc>
        <w:tc>
          <w:tcPr>
            <w:tcW w:w="466" w:type="dxa"/>
            <w:gridSpan w:val="3"/>
            <w:tcBorders/>
            <w:shd w:fill="ECECEE"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4"/>
              </w:rPr>
            </w:pPr>
            <w:r>
              <w:rPr>
                <w:rFonts w:ascii="Arial;sans-serif" w:hAnsi="Arial;sans-serif"/>
                <w:b w:val="false"/>
                <w:color w:val="000000"/>
                <w:sz w:val="14"/>
              </w:rPr>
              <w:t>04/19/21</w:t>
            </w:r>
          </w:p>
        </w:tc>
        <w:tc>
          <w:tcPr>
            <w:tcW w:w="1126" w:type="dxa"/>
            <w:gridSpan w:val="3"/>
            <w:tcBorders/>
            <w:shd w:fill="ECECEE"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4"/>
              </w:rPr>
            </w:pPr>
            <w:r>
              <w:rPr>
                <w:rFonts w:ascii="Arial;sans-serif" w:hAnsi="Arial;sans-serif"/>
                <w:b w:val="false"/>
                <w:color w:val="000000"/>
                <w:sz w:val="14"/>
              </w:rPr>
              <w:t>05/15/21</w:t>
            </w:r>
          </w:p>
        </w:tc>
        <w:tc>
          <w:tcPr>
            <w:tcW w:w="600" w:type="dxa"/>
            <w:gridSpan w:val="2"/>
            <w:tcBorders/>
            <w:shd w:fill="ECECEE"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01" w:type="dxa"/>
            <w:tcBorders/>
            <w:shd w:fill="ECEC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shd w:fill="ECECEE"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01" w:type="dxa"/>
            <w:tcBorders/>
            <w:shd w:fill="ECEC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ECECEE"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26" w:type="dxa"/>
            <w:tcBorders/>
            <w:shd w:fill="ECEC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2"/>
            <w:tcBorders/>
            <w:shd w:fill="ECECEE"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56" w:type="dxa"/>
            <w:tcBorders/>
            <w:shd w:fill="ECEC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CEC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ECECEE"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1,284 </w:t>
            </w:r>
          </w:p>
        </w:tc>
        <w:tc>
          <w:tcPr>
            <w:tcW w:w="201" w:type="dxa"/>
            <w:tcBorders/>
            <w:shd w:fill="ECEC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ECECEE"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18,002 </w:t>
            </w:r>
          </w:p>
        </w:tc>
        <w:tc>
          <w:tcPr>
            <w:tcW w:w="191" w:type="dxa"/>
            <w:tcBorders/>
            <w:shd w:fill="ECEC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ECECEE"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31" w:type="dxa"/>
            <w:tcBorders/>
            <w:shd w:fill="ECEC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ECECEE"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31" w:type="dxa"/>
            <w:tcBorders/>
            <w:shd w:fill="ECEC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CEC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86" w:type="dxa"/>
            <w:gridSpan w:val="3"/>
            <w:vMerge w:val="continue"/>
            <w:tcBorders>
              <w:bottom w:val="single" w:sz="12" w:space="0" w:color="74A333"/>
            </w:tcBorders>
            <w:shd w:fill="ECECEE" w:val="clear"/>
            <w:tcMar>
              <w:top w:w="0" w:type="dxa"/>
              <w:left w:w="0" w:type="dxa"/>
              <w:bottom w:w="30" w:type="dxa"/>
              <w:right w:w="0" w:type="dxa"/>
            </w:tcMar>
            <w:vAlign w:val="center"/>
          </w:tcPr>
          <w:p>
            <w:pPr>
              <w:pStyle w:val="Normal"/>
              <w:bidi w:val="0"/>
              <w:jc w:val="left"/>
              <w:rPr/>
            </w:pPr>
            <w:r>
              <w:rPr/>
            </w:r>
          </w:p>
        </w:tc>
        <w:tc>
          <w:tcPr>
            <w:tcW w:w="466" w:type="dxa"/>
            <w:gridSpan w:val="3"/>
            <w:tcBorders/>
            <w:shd w:fill="ECECEE"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4"/>
              </w:rPr>
            </w:pPr>
            <w:r>
              <w:rPr>
                <w:rFonts w:ascii="Arial;sans-serif" w:hAnsi="Arial;sans-serif"/>
                <w:b w:val="false"/>
                <w:color w:val="000000"/>
                <w:sz w:val="14"/>
              </w:rPr>
              <w:t>01/06/22</w:t>
            </w:r>
          </w:p>
        </w:tc>
        <w:tc>
          <w:tcPr>
            <w:tcW w:w="1126" w:type="dxa"/>
            <w:gridSpan w:val="3"/>
            <w:tcBorders/>
            <w:shd w:fill="ECECEE"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4"/>
              </w:rPr>
            </w:pPr>
            <w:r>
              <w:rPr>
                <w:rFonts w:ascii="Arial;sans-serif" w:hAnsi="Arial;sans-serif"/>
                <w:b w:val="false"/>
                <w:color w:val="000000"/>
                <w:sz w:val="14"/>
              </w:rPr>
              <w:t>01/01/22</w:t>
            </w:r>
          </w:p>
        </w:tc>
        <w:tc>
          <w:tcPr>
            <w:tcW w:w="600" w:type="dxa"/>
            <w:gridSpan w:val="2"/>
            <w:tcBorders/>
            <w:shd w:fill="ECECEE"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01" w:type="dxa"/>
            <w:tcBorders/>
            <w:shd w:fill="ECEC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shd w:fill="ECECEE"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01" w:type="dxa"/>
            <w:tcBorders/>
            <w:shd w:fill="ECEC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ECECEE"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26" w:type="dxa"/>
            <w:tcBorders/>
            <w:shd w:fill="ECEC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2"/>
            <w:tcBorders/>
            <w:shd w:fill="ECECEE"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56" w:type="dxa"/>
            <w:tcBorders/>
            <w:shd w:fill="ECEC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CEC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ECECEE"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21,772 </w:t>
            </w:r>
          </w:p>
        </w:tc>
        <w:tc>
          <w:tcPr>
            <w:tcW w:w="201" w:type="dxa"/>
            <w:tcBorders/>
            <w:shd w:fill="ECEC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ECECEE"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305,243 </w:t>
            </w:r>
          </w:p>
        </w:tc>
        <w:tc>
          <w:tcPr>
            <w:tcW w:w="191" w:type="dxa"/>
            <w:tcBorders/>
            <w:shd w:fill="ECEC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ECECEE"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31" w:type="dxa"/>
            <w:tcBorders/>
            <w:shd w:fill="ECEC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ECECEE"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31" w:type="dxa"/>
            <w:tcBorders/>
            <w:shd w:fill="ECEC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CEC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86" w:type="dxa"/>
            <w:gridSpan w:val="3"/>
            <w:vMerge w:val="continue"/>
            <w:tcBorders>
              <w:bottom w:val="single" w:sz="12" w:space="0" w:color="74A333"/>
            </w:tcBorders>
            <w:shd w:fill="ECECEE" w:val="clear"/>
            <w:tcMar>
              <w:top w:w="0" w:type="dxa"/>
              <w:left w:w="0" w:type="dxa"/>
              <w:bottom w:w="30" w:type="dxa"/>
              <w:right w:w="0" w:type="dxa"/>
            </w:tcMar>
            <w:vAlign w:val="center"/>
          </w:tcPr>
          <w:p>
            <w:pPr>
              <w:pStyle w:val="Normal"/>
              <w:bidi w:val="0"/>
              <w:jc w:val="left"/>
              <w:rPr/>
            </w:pPr>
            <w:r>
              <w:rPr/>
            </w:r>
          </w:p>
        </w:tc>
        <w:tc>
          <w:tcPr>
            <w:tcW w:w="466" w:type="dxa"/>
            <w:gridSpan w:val="3"/>
            <w:tcBorders/>
            <w:shd w:fill="ECECEE"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4"/>
              </w:rPr>
            </w:pPr>
            <w:r>
              <w:rPr>
                <w:rFonts w:ascii="Arial;sans-serif" w:hAnsi="Arial;sans-serif"/>
                <w:b w:val="false"/>
                <w:color w:val="000000"/>
                <w:sz w:val="14"/>
              </w:rPr>
              <w:t>01/06/23</w:t>
            </w:r>
          </w:p>
        </w:tc>
        <w:tc>
          <w:tcPr>
            <w:tcW w:w="1126" w:type="dxa"/>
            <w:gridSpan w:val="3"/>
            <w:tcBorders/>
            <w:shd w:fill="ECECEE"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4"/>
              </w:rPr>
            </w:pPr>
            <w:r>
              <w:rPr>
                <w:rFonts w:ascii="Arial;sans-serif" w:hAnsi="Arial;sans-serif"/>
                <w:b w:val="false"/>
                <w:color w:val="000000"/>
                <w:sz w:val="14"/>
              </w:rPr>
              <w:t>01/01/23</w:t>
            </w:r>
          </w:p>
        </w:tc>
        <w:tc>
          <w:tcPr>
            <w:tcW w:w="600" w:type="dxa"/>
            <w:gridSpan w:val="2"/>
            <w:tcBorders/>
            <w:shd w:fill="ECECEE"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01" w:type="dxa"/>
            <w:tcBorders/>
            <w:shd w:fill="ECEC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shd w:fill="ECECEE"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01" w:type="dxa"/>
            <w:tcBorders/>
            <w:shd w:fill="ECEC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ECECEE"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26" w:type="dxa"/>
            <w:tcBorders/>
            <w:shd w:fill="ECEC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2"/>
            <w:tcBorders/>
            <w:shd w:fill="ECECEE"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56" w:type="dxa"/>
            <w:tcBorders/>
            <w:shd w:fill="ECEC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CEC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ECECEE"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32,331 </w:t>
            </w:r>
          </w:p>
        </w:tc>
        <w:tc>
          <w:tcPr>
            <w:tcW w:w="201" w:type="dxa"/>
            <w:tcBorders/>
            <w:shd w:fill="ECEC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ECECEE"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453,281 </w:t>
            </w:r>
          </w:p>
        </w:tc>
        <w:tc>
          <w:tcPr>
            <w:tcW w:w="191" w:type="dxa"/>
            <w:tcBorders/>
            <w:shd w:fill="ECEC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ECECEE"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31,932 </w:t>
            </w:r>
          </w:p>
        </w:tc>
        <w:tc>
          <w:tcPr>
            <w:tcW w:w="231" w:type="dxa"/>
            <w:tcBorders/>
            <w:shd w:fill="ECEC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ECECEE"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447,687 </w:t>
            </w:r>
          </w:p>
        </w:tc>
        <w:tc>
          <w:tcPr>
            <w:tcW w:w="231" w:type="dxa"/>
            <w:tcBorders/>
            <w:shd w:fill="ECEC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CEC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86" w:type="dxa"/>
            <w:gridSpan w:val="3"/>
            <w:vMerge w:val="continue"/>
            <w:tcBorders>
              <w:bottom w:val="single" w:sz="12" w:space="0" w:color="74A333"/>
            </w:tcBorders>
            <w:shd w:fill="ECECEE" w:val="clear"/>
            <w:tcMar>
              <w:top w:w="0" w:type="dxa"/>
              <w:left w:w="0" w:type="dxa"/>
              <w:bottom w:w="30" w:type="dxa"/>
              <w:right w:w="0" w:type="dxa"/>
            </w:tcMar>
            <w:vAlign w:val="center"/>
          </w:tcPr>
          <w:p>
            <w:pPr>
              <w:pStyle w:val="Normal"/>
              <w:bidi w:val="0"/>
              <w:jc w:val="left"/>
              <w:rPr/>
            </w:pPr>
            <w:r>
              <w:rPr/>
            </w:r>
          </w:p>
        </w:tc>
        <w:tc>
          <w:tcPr>
            <w:tcW w:w="466" w:type="dxa"/>
            <w:gridSpan w:val="3"/>
            <w:tcBorders>
              <w:bottom w:val="single" w:sz="12" w:space="0" w:color="74A333"/>
            </w:tcBorders>
            <w:shd w:fill="ECECEE" w:val="clear"/>
            <w:tcMar>
              <w:top w:w="0" w:type="dxa"/>
              <w:left w:w="0" w:type="dxa"/>
              <w:bottom w:w="30" w:type="dxa"/>
              <w:right w:w="0" w:type="dxa"/>
            </w:tcMar>
            <w:vAlign w:val="center"/>
          </w:tcPr>
          <w:p>
            <w:pPr>
              <w:pStyle w:val="TableContents"/>
              <w:bidi w:val="0"/>
              <w:spacing w:lineRule="auto" w:line="288" w:before="0" w:after="283"/>
              <w:jc w:val="center"/>
              <w:rPr>
                <w:rFonts w:ascii="Arial;sans-serif" w:hAnsi="Arial;sans-serif"/>
                <w:b w:val="false"/>
                <w:color w:val="000000"/>
                <w:sz w:val="14"/>
              </w:rPr>
            </w:pPr>
            <w:r>
              <w:rPr>
                <w:rFonts w:ascii="Arial;sans-serif" w:hAnsi="Arial;sans-serif"/>
                <w:b w:val="false"/>
                <w:color w:val="000000"/>
                <w:sz w:val="14"/>
              </w:rPr>
              <w:t>01/04/24</w:t>
            </w:r>
          </w:p>
        </w:tc>
        <w:tc>
          <w:tcPr>
            <w:tcW w:w="1126" w:type="dxa"/>
            <w:gridSpan w:val="3"/>
            <w:tcBorders>
              <w:bottom w:val="single" w:sz="12" w:space="0" w:color="74A333"/>
            </w:tcBorders>
            <w:shd w:fill="ECECEE" w:val="clear"/>
            <w:tcMar>
              <w:top w:w="0" w:type="dxa"/>
              <w:left w:w="0" w:type="dxa"/>
              <w:bottom w:w="30" w:type="dxa"/>
              <w:right w:w="0" w:type="dxa"/>
            </w:tcMar>
            <w:vAlign w:val="center"/>
          </w:tcPr>
          <w:p>
            <w:pPr>
              <w:pStyle w:val="TableContents"/>
              <w:bidi w:val="0"/>
              <w:spacing w:lineRule="auto" w:line="288" w:before="0" w:after="283"/>
              <w:jc w:val="center"/>
              <w:rPr>
                <w:rFonts w:ascii="Arial;sans-serif" w:hAnsi="Arial;sans-serif"/>
                <w:b w:val="false"/>
                <w:color w:val="000000"/>
                <w:sz w:val="14"/>
              </w:rPr>
            </w:pPr>
            <w:r>
              <w:rPr>
                <w:rFonts w:ascii="Arial;sans-serif" w:hAnsi="Arial;sans-serif"/>
                <w:b w:val="false"/>
                <w:color w:val="000000"/>
                <w:sz w:val="14"/>
              </w:rPr>
              <w:t>01/01/24</w:t>
            </w:r>
          </w:p>
        </w:tc>
        <w:tc>
          <w:tcPr>
            <w:tcW w:w="600" w:type="dxa"/>
            <w:gridSpan w:val="2"/>
            <w:tcBorders>
              <w:bottom w:val="single" w:sz="12" w:space="0" w:color="74A333"/>
            </w:tcBorders>
            <w:shd w:fill="ECECEE" w:val="clear"/>
            <w:tcMar>
              <w:top w:w="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301" w:type="dxa"/>
            <w:tcBorders>
              <w:bottom w:val="single" w:sz="12" w:space="0" w:color="74A333"/>
            </w:tcBorders>
            <w:shd w:fill="ECECEE"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bottom w:val="single" w:sz="12" w:space="0" w:color="74A333"/>
            </w:tcBorders>
            <w:shd w:fill="ECECEE" w:val="clear"/>
            <w:tcMar>
              <w:top w:w="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301" w:type="dxa"/>
            <w:tcBorders>
              <w:bottom w:val="single" w:sz="12" w:space="0" w:color="74A333"/>
            </w:tcBorders>
            <w:shd w:fill="ECECEE"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bottom w:val="single" w:sz="12" w:space="0" w:color="74A333"/>
            </w:tcBorders>
            <w:shd w:fill="ECECEE" w:val="clear"/>
            <w:tcMar>
              <w:top w:w="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226" w:type="dxa"/>
            <w:tcBorders>
              <w:bottom w:val="single" w:sz="12" w:space="0" w:color="74A333"/>
            </w:tcBorders>
            <w:shd w:fill="ECECEE"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10" w:type="dxa"/>
            <w:gridSpan w:val="2"/>
            <w:tcBorders>
              <w:bottom w:val="single" w:sz="12" w:space="0" w:color="74A333"/>
            </w:tcBorders>
            <w:shd w:fill="ECECEE" w:val="clear"/>
            <w:tcMar>
              <w:top w:w="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256" w:type="dxa"/>
            <w:tcBorders>
              <w:bottom w:val="single" w:sz="12" w:space="0" w:color="74A333"/>
            </w:tcBorders>
            <w:shd w:fill="ECECEE"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12" w:space="0" w:color="74A333"/>
            </w:tcBorders>
            <w:shd w:fill="ECECEE"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bottom w:val="single" w:sz="12" w:space="0" w:color="74A333"/>
            </w:tcBorders>
            <w:shd w:fill="ECECEE" w:val="clear"/>
            <w:tcMar>
              <w:top w:w="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41,443 </w:t>
            </w:r>
          </w:p>
        </w:tc>
        <w:tc>
          <w:tcPr>
            <w:tcW w:w="201" w:type="dxa"/>
            <w:tcBorders>
              <w:bottom w:val="single" w:sz="12" w:space="0" w:color="74A333"/>
            </w:tcBorders>
            <w:shd w:fill="ECECEE"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bottom w:val="single" w:sz="12" w:space="0" w:color="74A333"/>
            </w:tcBorders>
            <w:shd w:fill="ECECEE" w:val="clear"/>
            <w:tcMar>
              <w:top w:w="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581,031 </w:t>
            </w:r>
          </w:p>
        </w:tc>
        <w:tc>
          <w:tcPr>
            <w:tcW w:w="191" w:type="dxa"/>
            <w:tcBorders>
              <w:bottom w:val="single" w:sz="12" w:space="0" w:color="74A333"/>
            </w:tcBorders>
            <w:shd w:fill="ECECEE"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bottom w:val="single" w:sz="12" w:space="0" w:color="74A333"/>
            </w:tcBorders>
            <w:shd w:fill="ECECEE" w:val="clear"/>
            <w:tcMar>
              <w:top w:w="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34,004 </w:t>
            </w:r>
          </w:p>
        </w:tc>
        <w:tc>
          <w:tcPr>
            <w:tcW w:w="231" w:type="dxa"/>
            <w:tcBorders>
              <w:bottom w:val="single" w:sz="12" w:space="0" w:color="74A333"/>
            </w:tcBorders>
            <w:shd w:fill="ECECEE"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bottom w:val="single" w:sz="12" w:space="0" w:color="74A333"/>
            </w:tcBorders>
            <w:shd w:fill="ECECEE" w:val="clear"/>
            <w:tcMar>
              <w:top w:w="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476,736 </w:t>
            </w:r>
          </w:p>
        </w:tc>
        <w:tc>
          <w:tcPr>
            <w:tcW w:w="231" w:type="dxa"/>
            <w:tcBorders>
              <w:bottom w:val="single" w:sz="12" w:space="0" w:color="74A333"/>
            </w:tcBorders>
            <w:shd w:fill="ECECEE"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12" w:space="0" w:color="74A333"/>
            </w:tcBorders>
            <w:shd w:fill="ECECEE"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ind w:left="0" w:right="0" w:hanging="360"/>
        <w:jc w:val="left"/>
        <w:rPr>
          <w:rFonts w:ascii="Arial;sans-serif" w:hAnsi="Arial;sans-serif"/>
          <w:b w:val="false"/>
          <w:color w:val="52575F"/>
          <w:sz w:val="16"/>
        </w:rPr>
      </w:pPr>
      <w:r>
        <w:rPr>
          <w:rFonts w:ascii="Arial;sans-serif" w:hAnsi="Arial;sans-serif"/>
          <w:b w:val="false"/>
          <w:color w:val="52575F"/>
          <w:sz w:val="16"/>
        </w:rPr>
        <w:t>1.Shares are subject to vesting as to 1/48 of the award upon continued service through each month following the vesting commencement date, through the fourth anniversary of the vesting commencement date.</w:t>
      </w:r>
    </w:p>
    <w:p>
      <w:pPr>
        <w:pStyle w:val="TextBody"/>
        <w:bidi w:val="0"/>
        <w:spacing w:lineRule="auto" w:line="288" w:before="0" w:after="120"/>
        <w:ind w:left="0" w:right="0" w:hanging="360"/>
        <w:jc w:val="left"/>
        <w:rPr>
          <w:rFonts w:ascii="Arial;sans-serif" w:hAnsi="Arial;sans-serif"/>
          <w:b w:val="false"/>
          <w:color w:val="52575F"/>
          <w:sz w:val="16"/>
        </w:rPr>
      </w:pPr>
      <w:r>
        <w:rPr>
          <w:rFonts w:ascii="Arial;sans-serif" w:hAnsi="Arial;sans-serif"/>
          <w:b w:val="false"/>
          <w:color w:val="52575F"/>
          <w:sz w:val="16"/>
        </w:rPr>
        <w:t>2.For purposes of determining market value of an award, we assumed a stock price of $14.02, the closing sale price per share of our common stock on December 31, 2024, the last business day of our last fiscal year.</w:t>
      </w:r>
    </w:p>
    <w:p>
      <w:pPr>
        <w:pStyle w:val="TextBody"/>
        <w:bidi w:val="0"/>
        <w:spacing w:lineRule="auto" w:line="288" w:before="0" w:after="300"/>
        <w:ind w:left="0" w:right="0" w:hanging="360"/>
        <w:jc w:val="left"/>
        <w:rPr>
          <w:rFonts w:ascii="Arial;sans-serif" w:hAnsi="Arial;sans-serif"/>
          <w:b w:val="false"/>
          <w:color w:val="52575F"/>
          <w:sz w:val="16"/>
        </w:rPr>
      </w:pPr>
      <w:r>
        <w:rPr>
          <w:rFonts w:ascii="Arial;sans-serif" w:hAnsi="Arial;sans-serif"/>
          <w:b w:val="false"/>
          <w:color w:val="52575F"/>
          <w:sz w:val="16"/>
        </w:rPr>
        <w:t>3.The share units related to PSU awards including in the Unit of Stock that have not vested represents the maximum number of issuable shares under the awards. The target number of shares is 50% of the maximum shares.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739140"/>
                <wp:effectExtent l="0" t="0" r="0" b="0"/>
                <wp:wrapNone/>
                <wp:docPr id="67" name="Frame46"/>
                <a:graphic xmlns:a="http://schemas.openxmlformats.org/drawingml/2006/main">
                  <a:graphicData uri="http://schemas.microsoft.com/office/word/2010/wordprocessingShape">
                    <wps:wsp>
                      <wps:cNvSpPr txBox="1"/>
                      <wps:spPr>
                        <a:xfrm>
                          <a:off x="0" y="0"/>
                          <a:ext cx="6480175" cy="739140"/>
                        </a:xfrm>
                        <a:prstGeom prst="rect"/>
                        <a:solidFill>
                          <a:srgbClr val="FFFFFF"/>
                        </a:solidFill>
                      </wps:spPr>
                      <wps:txbx>
                        <w:txbxContent>
                          <w:tbl>
                            <w:tblPr>
                              <w:tblW w:w="3266" w:type="dxa"/>
                              <w:jc w:val="center"/>
                              <w:tblInd w:w="0" w:type="dxa"/>
                              <w:tblLayout w:type="fixed"/>
                              <w:tblCellMar>
                                <w:top w:w="28" w:type="dxa"/>
                                <w:left w:w="28" w:type="dxa"/>
                                <w:bottom w:w="28" w:type="dxa"/>
                                <w:right w:w="28" w:type="dxa"/>
                              </w:tblCellMar>
                            </w:tblPr>
                            <w:tblGrid>
                              <w:gridCol w:w="424"/>
                              <w:gridCol w:w="372"/>
                              <w:gridCol w:w="374"/>
                              <w:gridCol w:w="109"/>
                              <w:gridCol w:w="109"/>
                              <w:gridCol w:w="109"/>
                              <w:gridCol w:w="517"/>
                              <w:gridCol w:w="517"/>
                              <w:gridCol w:w="735"/>
                            </w:tblGrid>
                            <w:tr>
                              <w:trPr/>
                              <w:tc>
                                <w:tcPr>
                                  <w:tcW w:w="424"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r>
                            <w:tr>
                              <w:trPr/>
                              <w:tc>
                                <w:tcPr>
                                  <w:tcW w:w="1170"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6"/>
                                    </w:rPr>
                                  </w:pPr>
                                  <w:r>
                                    <w:rPr>
                                      <w:rFonts w:ascii="Arial;sans-serif" w:hAnsi="Arial;sans-serif"/>
                                      <w:b/>
                                      <w:color w:val="000000"/>
                                      <w:sz w:val="16"/>
                                    </w:rPr>
                                    <w:t>SI-BONE, Inc.</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000000"/>
                                      <w:sz w:val="16"/>
                                    </w:rPr>
                                  </w:pPr>
                                  <w:r>
                                    <w:rPr>
                                      <w:rFonts w:ascii="Arial;sans-serif" w:hAnsi="Arial;sans-serif"/>
                                      <w:b/>
                                      <w:color w:val="000000"/>
                                      <w:sz w:val="16"/>
                                    </w:rPr>
                                    <w:t>41</w:t>
                                  </w:r>
                                </w:p>
                              </w:tc>
                              <w:tc>
                                <w:tcPr>
                                  <w:tcW w:w="176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2025 Proxy Statement</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2pt;mso-wrap-distance-left:0pt;mso-wrap-distance-right:0pt;mso-wrap-distance-top:0pt;mso-wrap-distance-bottom:0pt;margin-top:0pt;mso-position-vertical:top;mso-position-vertical-relative:text;margin-left:0pt;mso-position-horizontal:left;mso-position-horizontal-relative:text">
                <v:textbox>
                  <w:txbxContent>
                    <w:tbl>
                      <w:tblPr>
                        <w:tblW w:w="3266" w:type="dxa"/>
                        <w:jc w:val="center"/>
                        <w:tblInd w:w="0" w:type="dxa"/>
                        <w:tblLayout w:type="fixed"/>
                        <w:tblCellMar>
                          <w:top w:w="28" w:type="dxa"/>
                          <w:left w:w="28" w:type="dxa"/>
                          <w:bottom w:w="28" w:type="dxa"/>
                          <w:right w:w="28" w:type="dxa"/>
                        </w:tblCellMar>
                      </w:tblPr>
                      <w:tblGrid>
                        <w:gridCol w:w="424"/>
                        <w:gridCol w:w="372"/>
                        <w:gridCol w:w="374"/>
                        <w:gridCol w:w="109"/>
                        <w:gridCol w:w="109"/>
                        <w:gridCol w:w="109"/>
                        <w:gridCol w:w="517"/>
                        <w:gridCol w:w="517"/>
                        <w:gridCol w:w="735"/>
                      </w:tblGrid>
                      <w:tr>
                        <w:trPr/>
                        <w:tc>
                          <w:tcPr>
                            <w:tcW w:w="424"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r>
                      <w:tr>
                        <w:trPr/>
                        <w:tc>
                          <w:tcPr>
                            <w:tcW w:w="1170"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6"/>
                              </w:rPr>
                            </w:pPr>
                            <w:r>
                              <w:rPr>
                                <w:rFonts w:ascii="Arial;sans-serif" w:hAnsi="Arial;sans-serif"/>
                                <w:b/>
                                <w:color w:val="000000"/>
                                <w:sz w:val="16"/>
                              </w:rPr>
                              <w:t>SI-BONE, Inc.</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000000"/>
                                <w:sz w:val="16"/>
                              </w:rPr>
                            </w:pPr>
                            <w:r>
                              <w:rPr>
                                <w:rFonts w:ascii="Arial;sans-serif" w:hAnsi="Arial;sans-serif"/>
                                <w:b/>
                                <w:color w:val="000000"/>
                                <w:sz w:val="16"/>
                              </w:rPr>
                              <w:t>41</w:t>
                            </w:r>
                          </w:p>
                        </w:tc>
                        <w:tc>
                          <w:tcPr>
                            <w:tcW w:w="176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2025 Proxy Statement</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right"/>
        <w:rPr>
          <w:rFonts w:ascii="Arial;sans-serif" w:hAnsi="Arial;sans-serif"/>
          <w:b w:val="false"/>
          <w:color w:val="000000"/>
          <w:sz w:val="16"/>
        </w:rPr>
      </w:pPr>
      <w:r>
        <w:rPr>
          <w:rFonts w:ascii="Arial;sans-serif" w:hAnsi="Arial;sans-serif"/>
          <w:b w:val="false"/>
          <w:color w:val="000000"/>
          <w:sz w:val="16"/>
        </w:rPr>
        <w:t>Table of Contents</w:t>
      </w:r>
    </w:p>
    <w:p>
      <w:pPr>
        <w:pStyle w:val="TextBody"/>
        <w:bidi w:val="0"/>
        <w:spacing w:lineRule="auto" w:line="288" w:before="240" w:after="180"/>
        <w:jc w:val="left"/>
        <w:rPr>
          <w:rFonts w:ascii="Arial;sans-serif" w:hAnsi="Arial;sans-serif"/>
          <w:b w:val="false"/>
          <w:color w:val="000000"/>
          <w:sz w:val="24"/>
        </w:rPr>
      </w:pPr>
      <w:r>
        <w:rPr>
          <w:rFonts w:ascii="Arial;sans-serif" w:hAnsi="Arial;sans-serif"/>
          <w:b w:val="false"/>
          <w:color w:val="000000"/>
          <w:sz w:val="24"/>
        </w:rPr>
        <w:t>OPTION EXERCISES AND STOCK VESTED</w:t>
      </w:r>
    </w:p>
    <w:p>
      <w:pPr>
        <w:pStyle w:val="TextBody"/>
        <w:bidi w:val="0"/>
        <w:spacing w:lineRule="auto" w:line="312" w:before="0" w:after="180"/>
        <w:jc w:val="left"/>
        <w:rPr>
          <w:rFonts w:ascii="Arial;sans-serif" w:hAnsi="Arial;sans-serif"/>
          <w:b w:val="false"/>
          <w:color w:val="000000"/>
          <w:sz w:val="18"/>
        </w:rPr>
      </w:pPr>
      <w:r>
        <w:rPr>
          <w:rFonts w:ascii="Arial;sans-serif" w:hAnsi="Arial;sans-serif"/>
          <w:b w:val="false"/>
          <w:color w:val="000000"/>
          <w:sz w:val="18"/>
        </w:rPr>
        <w:t xml:space="preserve">The following table shows for the fiscal year ended December 31, 2024, certain information regarding stock vested and exercised during the last fiscal year with respect to the Named Executive Officers. </w:t>
      </w:r>
    </w:p>
    <w:tbl>
      <w:tblPr>
        <w:tblW w:w="10205" w:type="dxa"/>
        <w:jc w:val="left"/>
        <w:tblInd w:w="0" w:type="dxa"/>
        <w:tblLayout w:type="fixed"/>
        <w:tblCellMar>
          <w:top w:w="28" w:type="dxa"/>
          <w:left w:w="28" w:type="dxa"/>
          <w:bottom w:w="28" w:type="dxa"/>
          <w:right w:w="28" w:type="dxa"/>
        </w:tblCellMar>
      </w:tblPr>
      <w:tblGrid>
        <w:gridCol w:w="619"/>
        <w:gridCol w:w="515"/>
        <w:gridCol w:w="502"/>
        <w:gridCol w:w="923"/>
        <w:gridCol w:w="898"/>
        <w:gridCol w:w="902"/>
        <w:gridCol w:w="413"/>
        <w:gridCol w:w="393"/>
        <w:gridCol w:w="382"/>
        <w:gridCol w:w="109"/>
        <w:gridCol w:w="109"/>
        <w:gridCol w:w="109"/>
        <w:gridCol w:w="928"/>
        <w:gridCol w:w="883"/>
        <w:gridCol w:w="885"/>
        <w:gridCol w:w="435"/>
        <w:gridCol w:w="436"/>
        <w:gridCol w:w="386"/>
        <w:gridCol w:w="109"/>
        <w:gridCol w:w="109"/>
        <w:gridCol w:w="160"/>
      </w:tblGrid>
      <w:tr>
        <w:trPr/>
        <w:tc>
          <w:tcPr>
            <w:tcW w:w="619" w:type="dxa"/>
            <w:tcBorders/>
            <w:vAlign w:val="center"/>
          </w:tcPr>
          <w:p>
            <w:pPr>
              <w:pStyle w:val="TableContents"/>
              <w:bidi w:val="0"/>
              <w:spacing w:before="0" w:after="283"/>
              <w:jc w:val="left"/>
              <w:rPr>
                <w:sz w:val="4"/>
                <w:szCs w:val="4"/>
              </w:rPr>
            </w:pPr>
            <w:r>
              <w:rPr>
                <w:sz w:val="4"/>
                <w:szCs w:val="4"/>
              </w:rPr>
            </w:r>
          </w:p>
        </w:tc>
        <w:tc>
          <w:tcPr>
            <w:tcW w:w="515" w:type="dxa"/>
            <w:tcBorders/>
            <w:vAlign w:val="center"/>
          </w:tcPr>
          <w:p>
            <w:pPr>
              <w:pStyle w:val="TableContents"/>
              <w:bidi w:val="0"/>
              <w:spacing w:before="0" w:after="283"/>
              <w:jc w:val="left"/>
              <w:rPr>
                <w:sz w:val="4"/>
                <w:szCs w:val="4"/>
              </w:rPr>
            </w:pPr>
            <w:r>
              <w:rPr>
                <w:sz w:val="4"/>
                <w:szCs w:val="4"/>
              </w:rPr>
            </w:r>
          </w:p>
        </w:tc>
        <w:tc>
          <w:tcPr>
            <w:tcW w:w="502" w:type="dxa"/>
            <w:tcBorders/>
            <w:vAlign w:val="center"/>
          </w:tcPr>
          <w:p>
            <w:pPr>
              <w:pStyle w:val="TableContents"/>
              <w:bidi w:val="0"/>
              <w:spacing w:before="0" w:after="283"/>
              <w:jc w:val="left"/>
              <w:rPr>
                <w:sz w:val="4"/>
                <w:szCs w:val="4"/>
              </w:rPr>
            </w:pPr>
            <w:r>
              <w:rPr>
                <w:sz w:val="4"/>
                <w:szCs w:val="4"/>
              </w:rPr>
            </w:r>
          </w:p>
        </w:tc>
        <w:tc>
          <w:tcPr>
            <w:tcW w:w="923" w:type="dxa"/>
            <w:tcBorders/>
            <w:vAlign w:val="center"/>
          </w:tcPr>
          <w:p>
            <w:pPr>
              <w:pStyle w:val="TableContents"/>
              <w:bidi w:val="0"/>
              <w:spacing w:before="0" w:after="283"/>
              <w:jc w:val="left"/>
              <w:rPr>
                <w:sz w:val="4"/>
                <w:szCs w:val="4"/>
              </w:rPr>
            </w:pPr>
            <w:r>
              <w:rPr>
                <w:sz w:val="4"/>
                <w:szCs w:val="4"/>
              </w:rPr>
            </w:r>
          </w:p>
        </w:tc>
        <w:tc>
          <w:tcPr>
            <w:tcW w:w="898" w:type="dxa"/>
            <w:tcBorders/>
            <w:vAlign w:val="center"/>
          </w:tcPr>
          <w:p>
            <w:pPr>
              <w:pStyle w:val="TableContents"/>
              <w:bidi w:val="0"/>
              <w:spacing w:before="0" w:after="283"/>
              <w:jc w:val="left"/>
              <w:rPr>
                <w:sz w:val="4"/>
                <w:szCs w:val="4"/>
              </w:rPr>
            </w:pPr>
            <w:r>
              <w:rPr>
                <w:sz w:val="4"/>
                <w:szCs w:val="4"/>
              </w:rPr>
            </w:r>
          </w:p>
        </w:tc>
        <w:tc>
          <w:tcPr>
            <w:tcW w:w="902"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28" w:type="dxa"/>
            <w:tcBorders/>
            <w:vAlign w:val="center"/>
          </w:tcPr>
          <w:p>
            <w:pPr>
              <w:pStyle w:val="TableContents"/>
              <w:bidi w:val="0"/>
              <w:spacing w:before="0" w:after="283"/>
              <w:jc w:val="left"/>
              <w:rPr>
                <w:sz w:val="4"/>
                <w:szCs w:val="4"/>
              </w:rPr>
            </w:pPr>
            <w:r>
              <w:rPr>
                <w:sz w:val="4"/>
                <w:szCs w:val="4"/>
              </w:rPr>
            </w:r>
          </w:p>
        </w:tc>
        <w:tc>
          <w:tcPr>
            <w:tcW w:w="883" w:type="dxa"/>
            <w:tcBorders/>
            <w:vAlign w:val="center"/>
          </w:tcPr>
          <w:p>
            <w:pPr>
              <w:pStyle w:val="TableContents"/>
              <w:bidi w:val="0"/>
              <w:spacing w:before="0" w:after="283"/>
              <w:jc w:val="left"/>
              <w:rPr>
                <w:sz w:val="4"/>
                <w:szCs w:val="4"/>
              </w:rPr>
            </w:pPr>
            <w:r>
              <w:rPr>
                <w:sz w:val="4"/>
                <w:szCs w:val="4"/>
              </w:rPr>
            </w:r>
          </w:p>
        </w:tc>
        <w:tc>
          <w:tcPr>
            <w:tcW w:w="885"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6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1" w:type="dxa"/>
            <w:gridSpan w:val="6"/>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Options Awards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3" w:type="dxa"/>
            <w:gridSpan w:val="6"/>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Stock Awards</w:t>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3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6"/>
              </w:rPr>
            </w:pPr>
            <w:r>
              <w:rPr>
                <w:rFonts w:ascii="Arial;sans-serif" w:hAnsi="Arial;sans-serif"/>
                <w:b/>
                <w:color w:val="000000"/>
                <w:sz w:val="16"/>
              </w:rPr>
              <w:t>Name</w:t>
            </w:r>
          </w:p>
        </w:tc>
        <w:tc>
          <w:tcPr>
            <w:tcW w:w="2723" w:type="dxa"/>
            <w:gridSpan w:val="3"/>
            <w:tcBorders>
              <w:top w:val="single" w:sz="8" w:space="0" w:color="74A333"/>
            </w:tcBorders>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6"/>
              </w:rPr>
            </w:pPr>
            <w:r>
              <w:rPr>
                <w:rFonts w:ascii="Arial;sans-serif" w:hAnsi="Arial;sans-serif"/>
                <w:b/>
                <w:color w:val="000000"/>
                <w:sz w:val="16"/>
              </w:rPr>
              <w:t xml:space="preserve">Number of shares acquired on exercise </w:t>
              <w:br/>
              <w:t>(#)</w:t>
            </w:r>
          </w:p>
        </w:tc>
        <w:tc>
          <w:tcPr>
            <w:tcW w:w="1188" w:type="dxa"/>
            <w:gridSpan w:val="3"/>
            <w:tcBorders>
              <w:top w:val="single" w:sz="8" w:space="0" w:color="74A333"/>
            </w:tcBorders>
            <w:tcMar>
              <w:top w:w="30" w:type="dxa"/>
              <w:left w:w="0" w:type="dxa"/>
              <w:bottom w:w="0" w:type="dxa"/>
              <w:right w:w="0" w:type="dxa"/>
            </w:tcMar>
            <w:vAlign w:val="center"/>
          </w:tcPr>
          <w:p>
            <w:pPr>
              <w:pStyle w:val="TableContents"/>
              <w:bidi w:val="0"/>
              <w:spacing w:lineRule="auto" w:line="288" w:before="0" w:after="0"/>
              <w:jc w:val="right"/>
              <w:rPr>
                <w:rFonts w:ascii="Arial;sans-serif" w:hAnsi="Arial;sans-serif"/>
                <w:b/>
                <w:color w:val="000000"/>
                <w:sz w:val="16"/>
              </w:rPr>
            </w:pPr>
            <w:r>
              <w:rPr>
                <w:rFonts w:ascii="Arial;sans-serif" w:hAnsi="Arial;sans-serif"/>
                <w:b/>
                <w:color w:val="000000"/>
                <w:sz w:val="16"/>
              </w:rPr>
              <w:t xml:space="preserve">Value realized </w:t>
            </w:r>
          </w:p>
          <w:p>
            <w:pPr>
              <w:pStyle w:val="TableContents"/>
              <w:bidi w:val="0"/>
              <w:spacing w:lineRule="auto" w:line="288" w:before="0" w:after="0"/>
              <w:jc w:val="right"/>
              <w:rPr>
                <w:rFonts w:ascii="Arial;sans-serif" w:hAnsi="Arial;sans-serif"/>
                <w:b/>
                <w:color w:val="000000"/>
                <w:sz w:val="16"/>
              </w:rPr>
            </w:pPr>
            <w:r>
              <w:rPr>
                <w:rFonts w:ascii="Arial;sans-serif" w:hAnsi="Arial;sans-serif"/>
                <w:b/>
                <w:color w:val="000000"/>
                <w:sz w:val="16"/>
              </w:rPr>
              <w:t xml:space="preserve">on exercise </w:t>
            </w:r>
          </w:p>
          <w:p>
            <w:pPr>
              <w:pStyle w:val="TableContents"/>
              <w:bidi w:val="0"/>
              <w:spacing w:lineRule="auto" w:line="288" w:before="0" w:after="0"/>
              <w:jc w:val="right"/>
              <w:rPr/>
            </w:pPr>
            <w:r>
              <w:rPr>
                <w:rFonts w:ascii="Arial;sans-serif" w:hAnsi="Arial;sans-serif"/>
                <w:b/>
                <w:color w:val="000000"/>
                <w:sz w:val="16"/>
              </w:rPr>
              <w:t>($)</w:t>
            </w:r>
            <w:r>
              <w:rPr>
                <w:rFonts w:ascii="Arial;sans-serif" w:hAnsi="Arial;sans-serif"/>
                <w:b/>
                <w:color w:val="000000"/>
                <w:sz w:val="10"/>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6" w:type="dxa"/>
            <w:gridSpan w:val="3"/>
            <w:tcBorders>
              <w:top w:val="single" w:sz="8" w:space="0" w:color="74A333"/>
            </w:tcBorders>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6"/>
              </w:rPr>
            </w:pPr>
            <w:r>
              <w:rPr>
                <w:rFonts w:ascii="Arial;sans-serif" w:hAnsi="Arial;sans-serif"/>
                <w:b/>
                <w:color w:val="000000"/>
                <w:sz w:val="16"/>
              </w:rPr>
              <w:t xml:space="preserve">Number of shares acquired on vesting </w:t>
              <w:br/>
              <w:t>(#)</w:t>
            </w:r>
          </w:p>
        </w:tc>
        <w:tc>
          <w:tcPr>
            <w:tcW w:w="1257" w:type="dxa"/>
            <w:gridSpan w:val="3"/>
            <w:tcBorders>
              <w:top w:val="single" w:sz="8" w:space="0" w:color="74A333"/>
            </w:tcBorders>
            <w:tcMar>
              <w:top w:w="30" w:type="dxa"/>
              <w:left w:w="0" w:type="dxa"/>
              <w:bottom w:w="0" w:type="dxa"/>
              <w:right w:w="0" w:type="dxa"/>
            </w:tcMar>
            <w:vAlign w:val="center"/>
          </w:tcPr>
          <w:p>
            <w:pPr>
              <w:pStyle w:val="TableContents"/>
              <w:bidi w:val="0"/>
              <w:spacing w:lineRule="auto" w:line="288" w:before="0" w:after="0"/>
              <w:jc w:val="right"/>
              <w:rPr>
                <w:rFonts w:ascii="Arial;sans-serif" w:hAnsi="Arial;sans-serif"/>
                <w:b/>
                <w:color w:val="000000"/>
                <w:sz w:val="16"/>
              </w:rPr>
            </w:pPr>
            <w:r>
              <w:rPr>
                <w:rFonts w:ascii="Arial;sans-serif" w:hAnsi="Arial;sans-serif"/>
                <w:b/>
                <w:color w:val="000000"/>
                <w:sz w:val="16"/>
              </w:rPr>
              <w:t xml:space="preserve">Value realized </w:t>
            </w:r>
          </w:p>
          <w:p>
            <w:pPr>
              <w:pStyle w:val="TableContents"/>
              <w:bidi w:val="0"/>
              <w:spacing w:lineRule="auto" w:line="288" w:before="0" w:after="0"/>
              <w:jc w:val="right"/>
              <w:rPr>
                <w:rFonts w:ascii="Arial;sans-serif" w:hAnsi="Arial;sans-serif"/>
                <w:b/>
                <w:color w:val="000000"/>
                <w:sz w:val="16"/>
              </w:rPr>
            </w:pPr>
            <w:r>
              <w:rPr>
                <w:rFonts w:ascii="Arial;sans-serif" w:hAnsi="Arial;sans-serif"/>
                <w:b/>
                <w:color w:val="000000"/>
                <w:sz w:val="16"/>
              </w:rPr>
              <w:t xml:space="preserve">on vesting </w:t>
            </w:r>
          </w:p>
          <w:p>
            <w:pPr>
              <w:pStyle w:val="TableContents"/>
              <w:bidi w:val="0"/>
              <w:spacing w:lineRule="auto" w:line="288" w:before="0" w:after="0"/>
              <w:jc w:val="right"/>
              <w:rPr/>
            </w:pPr>
            <w:r>
              <w:rPr>
                <w:rFonts w:ascii="Arial;sans-serif" w:hAnsi="Arial;sans-serif"/>
                <w:b/>
                <w:color w:val="000000"/>
                <w:sz w:val="16"/>
              </w:rPr>
              <w:t>($)</w:t>
            </w:r>
            <w:r>
              <w:rPr>
                <w:rFonts w:ascii="Arial;sans-serif" w:hAnsi="Arial;sans-serif"/>
                <w:b/>
                <w:color w:val="000000"/>
                <w:sz w:val="10"/>
              </w:rPr>
              <w:t>(2)</w:t>
            </w:r>
          </w:p>
        </w:tc>
        <w:tc>
          <w:tcPr>
            <w:tcW w:w="378" w:type="dxa"/>
            <w:gridSpan w:val="3"/>
            <w:tcBorders>
              <w:top w:val="single" w:sz="8" w:space="0" w:color="74A33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36" w:type="dxa"/>
            <w:gridSpan w:val="3"/>
            <w:tcBorders/>
            <w:shd w:fill="ECECEE"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74A333"/>
                <w:sz w:val="16"/>
              </w:rPr>
            </w:pPr>
            <w:r>
              <w:rPr>
                <w:rFonts w:ascii="Arial;sans-serif" w:hAnsi="Arial;sans-serif"/>
                <w:b/>
                <w:color w:val="74A333"/>
                <w:sz w:val="16"/>
              </w:rPr>
              <w:t>Laura A. Francis</w:t>
            </w:r>
          </w:p>
        </w:tc>
        <w:tc>
          <w:tcPr>
            <w:tcW w:w="1821" w:type="dxa"/>
            <w:gridSpan w:val="2"/>
            <w:tcBorders/>
            <w:shd w:fill="ECEC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68,669 </w:t>
            </w:r>
          </w:p>
        </w:tc>
        <w:tc>
          <w:tcPr>
            <w:tcW w:w="902" w:type="dxa"/>
            <w:tcBorders/>
            <w:shd w:fill="ECEC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2"/>
            <w:tcBorders/>
            <w:shd w:fill="ECEC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568,640 </w:t>
            </w:r>
          </w:p>
        </w:tc>
        <w:tc>
          <w:tcPr>
            <w:tcW w:w="382" w:type="dxa"/>
            <w:tcBorders/>
            <w:shd w:fill="ECEC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CEC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1" w:type="dxa"/>
            <w:gridSpan w:val="2"/>
            <w:tcBorders/>
            <w:shd w:fill="ECEC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119,331 </w:t>
            </w:r>
          </w:p>
        </w:tc>
        <w:tc>
          <w:tcPr>
            <w:tcW w:w="885" w:type="dxa"/>
            <w:tcBorders/>
            <w:shd w:fill="ECEC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ECEC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2,099,440 </w:t>
            </w:r>
          </w:p>
        </w:tc>
        <w:tc>
          <w:tcPr>
            <w:tcW w:w="386" w:type="dxa"/>
            <w:tcBorders/>
            <w:shd w:fill="ECEC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ECEC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3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74A333"/>
                <w:sz w:val="16"/>
              </w:rPr>
            </w:pPr>
            <w:r>
              <w:rPr>
                <w:rFonts w:ascii="Arial;sans-serif" w:hAnsi="Arial;sans-serif"/>
                <w:b/>
                <w:color w:val="74A333"/>
                <w:sz w:val="16"/>
              </w:rPr>
              <w:t>Anshul Maheshwari</w:t>
            </w:r>
          </w:p>
        </w:tc>
        <w:tc>
          <w:tcPr>
            <w:tcW w:w="182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90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8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54,975 </w:t>
            </w:r>
          </w:p>
        </w:tc>
        <w:tc>
          <w:tcPr>
            <w:tcW w:w="88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910,611 </w:t>
            </w:r>
          </w:p>
        </w:tc>
        <w:tc>
          <w:tcPr>
            <w:tcW w:w="3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36" w:type="dxa"/>
            <w:gridSpan w:val="3"/>
            <w:tcBorders>
              <w:bottom w:val="single" w:sz="12" w:space="0" w:color="74A333"/>
            </w:tcBorders>
            <w:shd w:fill="ECECEE" w:val="clear"/>
            <w:tcMar>
              <w:top w:w="0" w:type="dxa"/>
              <w:left w:w="0" w:type="dxa"/>
              <w:bottom w:w="30" w:type="dxa"/>
              <w:right w:w="0" w:type="dxa"/>
            </w:tcMar>
            <w:vAlign w:val="center"/>
          </w:tcPr>
          <w:p>
            <w:pPr>
              <w:pStyle w:val="TableContents"/>
              <w:bidi w:val="0"/>
              <w:spacing w:lineRule="auto" w:line="288" w:before="0" w:after="283"/>
              <w:jc w:val="left"/>
              <w:rPr>
                <w:rFonts w:ascii="Arial;sans-serif" w:hAnsi="Arial;sans-serif"/>
                <w:b/>
                <w:color w:val="74A333"/>
                <w:sz w:val="16"/>
              </w:rPr>
            </w:pPr>
            <w:r>
              <w:rPr>
                <w:rFonts w:ascii="Arial;sans-serif" w:hAnsi="Arial;sans-serif"/>
                <w:b/>
                <w:color w:val="74A333"/>
                <w:sz w:val="16"/>
              </w:rPr>
              <w:t>Anthony J. Recupero</w:t>
            </w:r>
          </w:p>
        </w:tc>
        <w:tc>
          <w:tcPr>
            <w:tcW w:w="1821" w:type="dxa"/>
            <w:gridSpan w:val="2"/>
            <w:tcBorders>
              <w:bottom w:val="single" w:sz="12" w:space="0" w:color="74A333"/>
            </w:tcBorders>
            <w:shd w:fill="ECECEE" w:val="clear"/>
            <w:tcMar>
              <w:top w:w="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902" w:type="dxa"/>
            <w:tcBorders>
              <w:bottom w:val="single" w:sz="12" w:space="0" w:color="74A333"/>
            </w:tcBorders>
            <w:shd w:fill="ECECEE"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806" w:type="dxa"/>
            <w:gridSpan w:val="2"/>
            <w:tcBorders>
              <w:bottom w:val="single" w:sz="12" w:space="0" w:color="74A333"/>
            </w:tcBorders>
            <w:shd w:fill="ECECEE" w:val="clear"/>
            <w:tcMar>
              <w:top w:w="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382" w:type="dxa"/>
            <w:tcBorders>
              <w:bottom w:val="single" w:sz="12" w:space="0" w:color="74A333"/>
            </w:tcBorders>
            <w:shd w:fill="ECECEE"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12" w:space="0" w:color="74A333"/>
            </w:tcBorders>
            <w:shd w:fill="ECECEE"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811" w:type="dxa"/>
            <w:gridSpan w:val="2"/>
            <w:tcBorders>
              <w:bottom w:val="single" w:sz="12" w:space="0" w:color="74A333"/>
            </w:tcBorders>
            <w:shd w:fill="ECECEE"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64,314 </w:t>
            </w:r>
          </w:p>
        </w:tc>
        <w:tc>
          <w:tcPr>
            <w:tcW w:w="885" w:type="dxa"/>
            <w:tcBorders>
              <w:bottom w:val="single" w:sz="12" w:space="0" w:color="74A333"/>
            </w:tcBorders>
            <w:shd w:fill="ECECEE"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bottom w:val="single" w:sz="12" w:space="0" w:color="74A333"/>
            </w:tcBorders>
            <w:shd w:fill="ECECEE"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1,042,186 </w:t>
            </w:r>
          </w:p>
        </w:tc>
        <w:tc>
          <w:tcPr>
            <w:tcW w:w="386" w:type="dxa"/>
            <w:tcBorders>
              <w:bottom w:val="single" w:sz="12" w:space="0" w:color="74A333"/>
            </w:tcBorders>
            <w:shd w:fill="ECECEE"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bottom w:val="single" w:sz="12" w:space="0" w:color="74A333"/>
            </w:tcBorders>
            <w:shd w:fill="ECECEE"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ind w:left="0" w:right="0" w:hanging="360"/>
        <w:jc w:val="left"/>
        <w:rPr>
          <w:rFonts w:ascii="Arial;sans-serif" w:hAnsi="Arial;sans-serif"/>
          <w:b w:val="false"/>
          <w:color w:val="52575F"/>
          <w:sz w:val="16"/>
        </w:rPr>
      </w:pPr>
      <w:r>
        <w:rPr>
          <w:rFonts w:ascii="Arial;sans-serif" w:hAnsi="Arial;sans-serif"/>
          <w:b w:val="false"/>
          <w:color w:val="52575F"/>
          <w:sz w:val="16"/>
        </w:rPr>
        <w:t>1.The value realized on exercise is based on the difference between the closing price of our common stock on the date of exercise and the exercise price of the applicable options, and does not represent actual amounts received by our named executive officers as a result of the option exercises.</w:t>
      </w:r>
    </w:p>
    <w:p>
      <w:pPr>
        <w:pStyle w:val="TextBody"/>
        <w:bidi w:val="0"/>
        <w:spacing w:lineRule="auto" w:line="288" w:before="0" w:after="300"/>
        <w:ind w:left="0" w:right="0" w:hanging="360"/>
        <w:jc w:val="left"/>
        <w:rPr>
          <w:rFonts w:ascii="Arial;sans-serif" w:hAnsi="Arial;sans-serif"/>
          <w:b w:val="false"/>
          <w:color w:val="52575F"/>
          <w:sz w:val="16"/>
        </w:rPr>
      </w:pPr>
      <w:r>
        <w:rPr>
          <w:rFonts w:ascii="Arial;sans-serif" w:hAnsi="Arial;sans-serif"/>
          <w:b w:val="false"/>
          <w:color w:val="52575F"/>
          <w:sz w:val="16"/>
        </w:rPr>
        <w:t>2.The value realized on vesting is based on the total number of shares of common stock issued to each named executive officer upon the vesting of the RSU and PSU award multiplied by the closing price of our common stock on the vesting date, and does not represent actual amounts received by our named executive officers as a result of the vesting event.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80"/>
        <w:jc w:val="left"/>
        <w:rPr>
          <w:rFonts w:ascii="Arial;sans-serif" w:hAnsi="Arial;sans-serif"/>
          <w:b w:val="false"/>
          <w:color w:val="000000"/>
          <w:sz w:val="24"/>
        </w:rPr>
      </w:pPr>
      <w:r>
        <w:rPr>
          <w:rFonts w:ascii="Arial;sans-serif" w:hAnsi="Arial;sans-serif"/>
          <w:b w:val="false"/>
          <w:color w:val="000000"/>
          <w:sz w:val="24"/>
        </w:rPr>
        <w:t>SEVERANCE AND CHANGE IN CONTROL AGREEMENTS</w:t>
      </w:r>
    </w:p>
    <w:p>
      <w:pPr>
        <w:pStyle w:val="TextBody"/>
        <w:bidi w:val="0"/>
        <w:spacing w:lineRule="auto" w:line="312" w:before="0" w:after="180"/>
        <w:jc w:val="left"/>
        <w:rPr>
          <w:rFonts w:ascii="Arial;sans-serif" w:hAnsi="Arial;sans-serif"/>
          <w:b w:val="false"/>
          <w:color w:val="000000"/>
          <w:sz w:val="18"/>
        </w:rPr>
      </w:pPr>
      <w:r>
        <w:rPr>
          <w:rFonts w:ascii="Arial;sans-serif" w:hAnsi="Arial;sans-serif"/>
          <w:b w:val="false"/>
          <w:color w:val="000000"/>
          <w:sz w:val="18"/>
        </w:rPr>
        <w:t>On July 16, 2020, the Compensation Committee of our Board of Directors of SI-BONE, Inc. adopted the SI-BONE, Inc. Severance Benefit Plan (the “Severance Plan”), and form of Participation Agreement for use with the Severance Plan, pursuant to which participants in the Severance Plan, including our Named Executive Officers, will receive severance benefits if we terminate the participant’s employment with us without “cause” or the participant resigns his or her employment for “good reason” within three months prior to, or within 12 months following, a “change in control” of SI-BONE (as such terms are defined in the Severance Plan). Participants in the Severance Plan are those employees that have been designated as participants by the Board of Directors or Compensation Committee as participants in the Severance Plan and who have signed a Participation Agreement. All of our Named Executive Officers have been designated as participants in the Severance Plan.</w:t>
      </w:r>
    </w:p>
    <w:p>
      <w:pPr>
        <w:pStyle w:val="TextBody"/>
        <w:bidi w:val="0"/>
        <w:spacing w:lineRule="auto" w:line="312" w:before="0" w:after="180"/>
        <w:jc w:val="left"/>
        <w:rPr/>
      </w:pPr>
      <w:r>
        <w:rPr>
          <w:rFonts w:ascii="Arial;sans-serif" w:hAnsi="Arial;sans-serif"/>
          <w:b w:val="false"/>
          <w:color w:val="000000"/>
          <w:sz w:val="18"/>
        </w:rPr>
        <w:t>Severance payments to our Named Executive Officers in connection with a change in control are as follows: (1) a lump sum cash payment equal to 12 months base salary (</w:t>
      </w:r>
      <w:r>
        <w:rPr>
          <w:rFonts w:ascii="Arial;sans-serif" w:hAnsi="Arial;sans-serif"/>
          <w:b w:val="false"/>
          <w:color w:val="000000"/>
          <w:sz w:val="18"/>
          <w:shd w:fill="FFFFFF" w:val="clear"/>
        </w:rPr>
        <w:t>18</w:t>
      </w:r>
      <w:r>
        <w:rPr>
          <w:color w:val="000000"/>
        </w:rPr>
        <w:t xml:space="preserve"> </w:t>
      </w:r>
      <w:r>
        <w:rPr>
          <w:rFonts w:ascii="Arial;sans-serif" w:hAnsi="Arial;sans-serif"/>
          <w:b w:val="false"/>
          <w:color w:val="000000"/>
          <w:sz w:val="18"/>
        </w:rPr>
        <w:t xml:space="preserve">months in the case of Ms. Francis), (2) a lump sum cash payment of the then current annual target cash bonus (1.5 times annual target cash bonus in the case of Ms. Francis), (3) COBRA coverage for 12 months (18 months in the case of Ms. Francis), (4) full acceleration of vesting of all equity awards, and (5) extension of the post-termination option exercise period to two years (or the closing of the change in control if provided in the equity award or change in control agreement). </w:t>
      </w:r>
    </w:p>
    <w:p>
      <w:pPr>
        <w:pStyle w:val="TextBody"/>
        <w:bidi w:val="0"/>
        <w:spacing w:lineRule="auto" w:line="312" w:before="0" w:after="180"/>
        <w:jc w:val="left"/>
        <w:rPr>
          <w:rFonts w:ascii="Arial;sans-serif" w:hAnsi="Arial;sans-serif"/>
          <w:b w:val="false"/>
          <w:color w:val="000000"/>
          <w:sz w:val="18"/>
        </w:rPr>
      </w:pPr>
      <w:r>
        <w:rPr>
          <w:rFonts w:ascii="Arial;sans-serif" w:hAnsi="Arial;sans-serif"/>
          <w:b w:val="false"/>
          <w:color w:val="000000"/>
          <w:sz w:val="18"/>
        </w:rPr>
        <w:t>In addition, in the event SI-BONE terminates the employment of an executive officer without cause other than within three months prior to or 12 months following a change in control, the executive officer, including Ms. Francis will receive severance payments as follows: (1) a lump sum cash payment equal to 12 months base salary and (2) COBRA coverage for 12 months.</w:t>
      </w:r>
    </w:p>
    <w:p>
      <w:pPr>
        <w:pStyle w:val="TextBody"/>
        <w:bidi w:val="0"/>
        <w:spacing w:lineRule="auto" w:line="312" w:before="0" w:after="180"/>
        <w:jc w:val="left"/>
        <w:rPr>
          <w:rFonts w:ascii="Arial;sans-serif" w:hAnsi="Arial;sans-serif"/>
          <w:b w:val="false"/>
          <w:color w:val="000000"/>
          <w:sz w:val="18"/>
        </w:rPr>
      </w:pPr>
      <w:r>
        <w:rPr>
          <w:rFonts w:ascii="Arial;sans-serif" w:hAnsi="Arial;sans-serif"/>
          <w:b w:val="false"/>
          <w:color w:val="000000"/>
          <w:sz w:val="18"/>
        </w:rPr>
        <w:t>To obtain benefits under the Severance Plan the participant must sign and deliver to SI-BONE a release of liability in favor of SI-BONE.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480175" cy="739140"/>
                <wp:effectExtent l="0" t="0" r="0" b="0"/>
                <wp:wrapNone/>
                <wp:docPr id="68" name="Frame47"/>
                <a:graphic xmlns:a="http://schemas.openxmlformats.org/drawingml/2006/main">
                  <a:graphicData uri="http://schemas.microsoft.com/office/word/2010/wordprocessingShape">
                    <wps:wsp>
                      <wps:cNvSpPr txBox="1"/>
                      <wps:spPr>
                        <a:xfrm>
                          <a:off x="0" y="0"/>
                          <a:ext cx="6480175" cy="739140"/>
                        </a:xfrm>
                        <a:prstGeom prst="rect"/>
                        <a:solidFill>
                          <a:srgbClr val="FFFFFF"/>
                        </a:solidFill>
                      </wps:spPr>
                      <wps:txbx>
                        <w:txbxContent>
                          <w:tbl>
                            <w:tblPr>
                              <w:tblW w:w="3266" w:type="dxa"/>
                              <w:jc w:val="center"/>
                              <w:tblInd w:w="0" w:type="dxa"/>
                              <w:tblLayout w:type="fixed"/>
                              <w:tblCellMar>
                                <w:top w:w="28" w:type="dxa"/>
                                <w:left w:w="28" w:type="dxa"/>
                                <w:bottom w:w="28" w:type="dxa"/>
                                <w:right w:w="28" w:type="dxa"/>
                              </w:tblCellMar>
                            </w:tblPr>
                            <w:tblGrid>
                              <w:gridCol w:w="424"/>
                              <w:gridCol w:w="372"/>
                              <w:gridCol w:w="374"/>
                              <w:gridCol w:w="109"/>
                              <w:gridCol w:w="109"/>
                              <w:gridCol w:w="109"/>
                              <w:gridCol w:w="517"/>
                              <w:gridCol w:w="517"/>
                              <w:gridCol w:w="735"/>
                            </w:tblGrid>
                            <w:tr>
                              <w:trPr/>
                              <w:tc>
                                <w:tcPr>
                                  <w:tcW w:w="424"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r>
                            <w:tr>
                              <w:trPr/>
                              <w:tc>
                                <w:tcPr>
                                  <w:tcW w:w="1170"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6"/>
                                    </w:rPr>
                                  </w:pPr>
                                  <w:r>
                                    <w:rPr>
                                      <w:rFonts w:ascii="Arial;sans-serif" w:hAnsi="Arial;sans-serif"/>
                                      <w:b/>
                                      <w:color w:val="000000"/>
                                      <w:sz w:val="16"/>
                                    </w:rPr>
                                    <w:t>SI-BONE, Inc.</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000000"/>
                                      <w:sz w:val="16"/>
                                    </w:rPr>
                                  </w:pPr>
                                  <w:r>
                                    <w:rPr>
                                      <w:rFonts w:ascii="Arial;sans-serif" w:hAnsi="Arial;sans-serif"/>
                                      <w:b/>
                                      <w:color w:val="000000"/>
                                      <w:sz w:val="16"/>
                                    </w:rPr>
                                    <w:t>42</w:t>
                                  </w:r>
                                </w:p>
                              </w:tc>
                              <w:tc>
                                <w:tcPr>
                                  <w:tcW w:w="176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2025 Proxy Statement</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2pt;mso-wrap-distance-left:0pt;mso-wrap-distance-right:0pt;mso-wrap-distance-top:0pt;mso-wrap-distance-bottom:0pt;margin-top:0pt;mso-position-vertical:top;mso-position-vertical-relative:text;margin-left:0pt;mso-position-horizontal:left;mso-position-horizontal-relative:text">
                <v:textbox>
                  <w:txbxContent>
                    <w:tbl>
                      <w:tblPr>
                        <w:tblW w:w="3266" w:type="dxa"/>
                        <w:jc w:val="center"/>
                        <w:tblInd w:w="0" w:type="dxa"/>
                        <w:tblLayout w:type="fixed"/>
                        <w:tblCellMar>
                          <w:top w:w="28" w:type="dxa"/>
                          <w:left w:w="28" w:type="dxa"/>
                          <w:bottom w:w="28" w:type="dxa"/>
                          <w:right w:w="28" w:type="dxa"/>
                        </w:tblCellMar>
                      </w:tblPr>
                      <w:tblGrid>
                        <w:gridCol w:w="424"/>
                        <w:gridCol w:w="372"/>
                        <w:gridCol w:w="374"/>
                        <w:gridCol w:w="109"/>
                        <w:gridCol w:w="109"/>
                        <w:gridCol w:w="109"/>
                        <w:gridCol w:w="517"/>
                        <w:gridCol w:w="517"/>
                        <w:gridCol w:w="735"/>
                      </w:tblGrid>
                      <w:tr>
                        <w:trPr/>
                        <w:tc>
                          <w:tcPr>
                            <w:tcW w:w="424"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r>
                      <w:tr>
                        <w:trPr/>
                        <w:tc>
                          <w:tcPr>
                            <w:tcW w:w="1170"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6"/>
                              </w:rPr>
                            </w:pPr>
                            <w:r>
                              <w:rPr>
                                <w:rFonts w:ascii="Arial;sans-serif" w:hAnsi="Arial;sans-serif"/>
                                <w:b/>
                                <w:color w:val="000000"/>
                                <w:sz w:val="16"/>
                              </w:rPr>
                              <w:t>SI-BONE, Inc.</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000000"/>
                                <w:sz w:val="16"/>
                              </w:rPr>
                            </w:pPr>
                            <w:r>
                              <w:rPr>
                                <w:rFonts w:ascii="Arial;sans-serif" w:hAnsi="Arial;sans-serif"/>
                                <w:b/>
                                <w:color w:val="000000"/>
                                <w:sz w:val="16"/>
                              </w:rPr>
                              <w:t>42</w:t>
                            </w:r>
                          </w:p>
                        </w:tc>
                        <w:tc>
                          <w:tcPr>
                            <w:tcW w:w="176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2025 Proxy Statement</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right"/>
        <w:rPr>
          <w:rFonts w:ascii="Arial;sans-serif" w:hAnsi="Arial;sans-serif"/>
          <w:b w:val="false"/>
          <w:color w:val="000000"/>
          <w:sz w:val="16"/>
        </w:rPr>
      </w:pPr>
      <w:r>
        <w:rPr>
          <w:rFonts w:ascii="Arial;sans-serif" w:hAnsi="Arial;sans-serif"/>
          <w:b w:val="false"/>
          <w:color w:val="000000"/>
          <w:sz w:val="16"/>
        </w:rPr>
        <w:t>Table of Contents</w:t>
      </w:r>
    </w:p>
    <w:p>
      <w:pPr>
        <w:pStyle w:val="TextBody"/>
        <w:bidi w:val="0"/>
        <w:spacing w:lineRule="auto" w:line="312" w:before="0" w:after="120"/>
        <w:jc w:val="left"/>
        <w:rPr>
          <w:rFonts w:ascii="Arial;sans-serif" w:hAnsi="Arial;sans-serif"/>
          <w:b/>
          <w:color w:val="74A333"/>
          <w:sz w:val="18"/>
        </w:rPr>
      </w:pPr>
      <w:r>
        <w:rPr>
          <w:rFonts w:ascii="Arial;sans-serif" w:hAnsi="Arial;sans-serif"/>
          <w:b/>
          <w:color w:val="74A333"/>
          <w:sz w:val="18"/>
        </w:rPr>
        <w:t>Potential Payments Upon Termination In Connection with a Change in Control</w:t>
      </w:r>
    </w:p>
    <w:p>
      <w:pPr>
        <w:pStyle w:val="TextBody"/>
        <w:bidi w:val="0"/>
        <w:spacing w:lineRule="auto" w:line="312" w:before="0" w:after="180"/>
        <w:jc w:val="left"/>
        <w:rPr>
          <w:rFonts w:ascii="Arial;sans-serif" w:hAnsi="Arial;sans-serif"/>
          <w:b w:val="false"/>
          <w:color w:val="000000"/>
          <w:sz w:val="18"/>
        </w:rPr>
      </w:pPr>
      <w:r>
        <w:rPr>
          <w:rFonts w:ascii="Arial;sans-serif" w:hAnsi="Arial;sans-serif"/>
          <w:b w:val="false"/>
          <w:color w:val="000000"/>
          <w:sz w:val="18"/>
        </w:rPr>
        <w:t>Each of our named executive officers is eligible for severance benefits pursuant to the terms of our Severance Benefit Plan, as further described above under "Severance and Change in Control Agreements." The following table presents information concerning estimated payments and benefits that would be provided in the circumstances described above for each of the named executive officers serving as of December 31, 2024 (the last business day of our fiscal year ended December 31, 2024) using the closing market price of our stock on that date. Actual payments and benefits could be different if such events were to occur on any other date or at any other price or if any other assumptions are used to estimate potential payments and benefits.</w:t>
      </w:r>
    </w:p>
    <w:tbl>
      <w:tblPr>
        <w:tblW w:w="11450" w:type="dxa"/>
        <w:jc w:val="left"/>
        <w:tblInd w:w="0" w:type="dxa"/>
        <w:tblLayout w:type="fixed"/>
        <w:tblCellMar>
          <w:top w:w="28" w:type="dxa"/>
          <w:left w:w="28" w:type="dxa"/>
          <w:bottom w:w="28" w:type="dxa"/>
          <w:right w:w="28" w:type="dxa"/>
        </w:tblCellMar>
      </w:tblPr>
      <w:tblGrid>
        <w:gridCol w:w="509"/>
        <w:gridCol w:w="329"/>
        <w:gridCol w:w="228"/>
        <w:gridCol w:w="109"/>
        <w:gridCol w:w="368"/>
        <w:gridCol w:w="368"/>
        <w:gridCol w:w="186"/>
        <w:gridCol w:w="210"/>
        <w:gridCol w:w="210"/>
        <w:gridCol w:w="211"/>
        <w:gridCol w:w="365"/>
        <w:gridCol w:w="365"/>
        <w:gridCol w:w="366"/>
        <w:gridCol w:w="331"/>
        <w:gridCol w:w="315"/>
        <w:gridCol w:w="316"/>
        <w:gridCol w:w="368"/>
        <w:gridCol w:w="368"/>
        <w:gridCol w:w="111"/>
        <w:gridCol w:w="109"/>
        <w:gridCol w:w="109"/>
        <w:gridCol w:w="109"/>
        <w:gridCol w:w="368"/>
        <w:gridCol w:w="368"/>
        <w:gridCol w:w="196"/>
        <w:gridCol w:w="368"/>
        <w:gridCol w:w="368"/>
        <w:gridCol w:w="211"/>
        <w:gridCol w:w="506"/>
        <w:gridCol w:w="365"/>
        <w:gridCol w:w="366"/>
        <w:gridCol w:w="331"/>
        <w:gridCol w:w="315"/>
        <w:gridCol w:w="316"/>
        <w:gridCol w:w="435"/>
        <w:gridCol w:w="436"/>
        <w:gridCol w:w="169"/>
        <w:gridCol w:w="109"/>
        <w:gridCol w:w="109"/>
        <w:gridCol w:w="154"/>
      </w:tblGrid>
      <w:tr>
        <w:trPr/>
        <w:tc>
          <w:tcPr>
            <w:tcW w:w="509"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06"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58"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 xml:space="preserve">Involuntary termination that is not a </w:t>
              <w:br/>
              <w:t>Change in Control Termination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8"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Change in Control Termination</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6"/>
              </w:rPr>
            </w:pPr>
            <w:r>
              <w:rPr>
                <w:rFonts w:ascii="Arial;sans-serif" w:hAnsi="Arial;sans-serif"/>
                <w:b/>
                <w:color w:val="000000"/>
                <w:sz w:val="16"/>
              </w:rPr>
              <w:t>Name</w:t>
            </w:r>
          </w:p>
        </w:tc>
        <w:tc>
          <w:tcPr>
            <w:tcW w:w="109" w:type="dxa"/>
            <w:tcBorders/>
            <w:vAlign w:val="center"/>
          </w:tcPr>
          <w:p>
            <w:pPr>
              <w:pStyle w:val="TableContents"/>
              <w:bidi w:val="0"/>
              <w:spacing w:before="0" w:after="283"/>
              <w:jc w:val="left"/>
              <w:rPr>
                <w:sz w:val="4"/>
                <w:szCs w:val="4"/>
              </w:rPr>
            </w:pPr>
            <w:r>
              <w:rPr>
                <w:sz w:val="4"/>
                <w:szCs w:val="4"/>
              </w:rPr>
            </w:r>
          </w:p>
        </w:tc>
        <w:tc>
          <w:tcPr>
            <w:tcW w:w="922" w:type="dxa"/>
            <w:gridSpan w:val="3"/>
            <w:tcBorders>
              <w:top w:val="single" w:sz="8" w:space="0" w:color="74A333"/>
            </w:tcBorders>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6"/>
              </w:rPr>
            </w:pPr>
            <w:r>
              <w:rPr>
                <w:rFonts w:ascii="Arial;sans-serif" w:hAnsi="Arial;sans-serif"/>
                <w:b/>
                <w:color w:val="000000"/>
                <w:sz w:val="16"/>
              </w:rPr>
              <w:t xml:space="preserve">Base Salary </w:t>
              <w:br/>
              <w:t>($)</w:t>
            </w:r>
          </w:p>
        </w:tc>
        <w:tc>
          <w:tcPr>
            <w:tcW w:w="631" w:type="dxa"/>
            <w:gridSpan w:val="3"/>
            <w:tcBorders>
              <w:top w:val="single" w:sz="8" w:space="0" w:color="74A333"/>
            </w:tcBorders>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6"/>
              </w:rPr>
            </w:pPr>
            <w:r>
              <w:rPr>
                <w:rFonts w:ascii="Arial;sans-serif" w:hAnsi="Arial;sans-serif"/>
                <w:b/>
                <w:color w:val="000000"/>
                <w:sz w:val="16"/>
              </w:rPr>
              <w:t xml:space="preserve">Bonus </w:t>
              <w:br/>
              <w:t>($)</w:t>
            </w:r>
          </w:p>
        </w:tc>
        <w:tc>
          <w:tcPr>
            <w:tcW w:w="1096" w:type="dxa"/>
            <w:gridSpan w:val="3"/>
            <w:tcBorders>
              <w:top w:val="single" w:sz="8" w:space="0" w:color="74A333"/>
            </w:tcBorders>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6"/>
              </w:rPr>
            </w:pPr>
            <w:r>
              <w:rPr>
                <w:rFonts w:ascii="Arial;sans-serif" w:hAnsi="Arial;sans-serif"/>
                <w:b/>
                <w:color w:val="000000"/>
                <w:sz w:val="16"/>
              </w:rPr>
              <w:t>Equity Acceleration ($)</w:t>
            </w:r>
          </w:p>
        </w:tc>
        <w:tc>
          <w:tcPr>
            <w:tcW w:w="962" w:type="dxa"/>
            <w:gridSpan w:val="3"/>
            <w:tcBorders>
              <w:top w:val="single" w:sz="8" w:space="0" w:color="74A333"/>
            </w:tcBorders>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6"/>
              </w:rPr>
            </w:pPr>
            <w:r>
              <w:rPr>
                <w:rFonts w:ascii="Arial;sans-serif" w:hAnsi="Arial;sans-serif"/>
                <w:b/>
                <w:color w:val="000000"/>
                <w:sz w:val="16"/>
              </w:rPr>
              <w:t xml:space="preserve">Continued Benefits </w:t>
              <w:br/>
              <w:t>($)</w:t>
            </w:r>
          </w:p>
        </w:tc>
        <w:tc>
          <w:tcPr>
            <w:tcW w:w="847" w:type="dxa"/>
            <w:gridSpan w:val="3"/>
            <w:tcBorders>
              <w:top w:val="single" w:sz="8" w:space="0" w:color="74A333"/>
            </w:tcBorders>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6"/>
              </w:rPr>
            </w:pPr>
            <w:r>
              <w:rPr>
                <w:rFonts w:ascii="Arial;sans-serif" w:hAnsi="Arial;sans-serif"/>
                <w:b/>
                <w:color w:val="000000"/>
                <w:sz w:val="16"/>
              </w:rPr>
              <w:t xml:space="preserve">Total </w:t>
              <w:b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top w:val="single" w:sz="8" w:space="0" w:color="74A333"/>
            </w:tcBorders>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6"/>
              </w:rPr>
            </w:pPr>
            <w:r>
              <w:rPr>
                <w:rFonts w:ascii="Arial;sans-serif" w:hAnsi="Arial;sans-serif"/>
                <w:b/>
                <w:color w:val="000000"/>
                <w:sz w:val="16"/>
              </w:rPr>
              <w:t xml:space="preserve">Base Salary </w:t>
              <w:br/>
              <w:t>($)</w:t>
            </w:r>
          </w:p>
        </w:tc>
        <w:tc>
          <w:tcPr>
            <w:tcW w:w="947" w:type="dxa"/>
            <w:gridSpan w:val="3"/>
            <w:tcBorders>
              <w:top w:val="single" w:sz="8" w:space="0" w:color="74A333"/>
            </w:tcBorders>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6"/>
              </w:rPr>
            </w:pPr>
            <w:r>
              <w:rPr>
                <w:rFonts w:ascii="Arial;sans-serif" w:hAnsi="Arial;sans-serif"/>
                <w:b/>
                <w:color w:val="000000"/>
                <w:sz w:val="16"/>
              </w:rPr>
              <w:t xml:space="preserve">Bonus </w:t>
              <w:br/>
              <w:t>($)</w:t>
            </w:r>
          </w:p>
        </w:tc>
        <w:tc>
          <w:tcPr>
            <w:tcW w:w="1237" w:type="dxa"/>
            <w:gridSpan w:val="3"/>
            <w:tcBorders>
              <w:top w:val="single" w:sz="8" w:space="0" w:color="74A333"/>
            </w:tcBorders>
            <w:tcMar>
              <w:top w:w="30" w:type="dxa"/>
              <w:left w:w="0" w:type="dxa"/>
              <w:bottom w:w="0" w:type="dxa"/>
              <w:right w:w="0" w:type="dxa"/>
            </w:tcMar>
            <w:vAlign w:val="center"/>
          </w:tcPr>
          <w:p>
            <w:pPr>
              <w:pStyle w:val="TableContents"/>
              <w:bidi w:val="0"/>
              <w:spacing w:lineRule="auto" w:line="288" w:before="0" w:after="0"/>
              <w:jc w:val="right"/>
              <w:rPr>
                <w:rFonts w:ascii="Arial;sans-serif" w:hAnsi="Arial;sans-serif"/>
                <w:b/>
                <w:color w:val="000000"/>
                <w:sz w:val="16"/>
              </w:rPr>
            </w:pPr>
            <w:r>
              <w:rPr>
                <w:rFonts w:ascii="Arial;sans-serif" w:hAnsi="Arial;sans-serif"/>
                <w:b/>
                <w:color w:val="000000"/>
                <w:sz w:val="16"/>
              </w:rPr>
              <w:t xml:space="preserve">Equity Acceleration </w:t>
            </w:r>
          </w:p>
          <w:p>
            <w:pPr>
              <w:pStyle w:val="TableContents"/>
              <w:bidi w:val="0"/>
              <w:spacing w:lineRule="auto" w:line="288" w:before="0" w:after="0"/>
              <w:jc w:val="right"/>
              <w:rPr/>
            </w:pPr>
            <w:r>
              <w:rPr>
                <w:rFonts w:ascii="Arial;sans-serif" w:hAnsi="Arial;sans-serif"/>
                <w:b/>
                <w:color w:val="000000"/>
                <w:sz w:val="16"/>
              </w:rPr>
              <w:t>($)</w:t>
            </w:r>
            <w:r>
              <w:rPr>
                <w:rFonts w:ascii="Arial;sans-serif" w:hAnsi="Arial;sans-serif"/>
                <w:b/>
                <w:color w:val="000000"/>
                <w:sz w:val="10"/>
              </w:rPr>
              <w:t>(1)</w:t>
            </w:r>
          </w:p>
        </w:tc>
        <w:tc>
          <w:tcPr>
            <w:tcW w:w="962" w:type="dxa"/>
            <w:gridSpan w:val="3"/>
            <w:tcBorders>
              <w:top w:val="single" w:sz="8" w:space="0" w:color="74A333"/>
            </w:tcBorders>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6"/>
              </w:rPr>
            </w:pPr>
            <w:r>
              <w:rPr>
                <w:rFonts w:ascii="Arial;sans-serif" w:hAnsi="Arial;sans-serif"/>
                <w:b/>
                <w:color w:val="000000"/>
                <w:sz w:val="16"/>
              </w:rPr>
              <w:t xml:space="preserve">Continued Benefits </w:t>
              <w:br/>
              <w:t>($)</w:t>
            </w:r>
          </w:p>
        </w:tc>
        <w:tc>
          <w:tcPr>
            <w:tcW w:w="1040" w:type="dxa"/>
            <w:gridSpan w:val="3"/>
            <w:tcBorders>
              <w:top w:val="single" w:sz="8" w:space="0" w:color="74A333"/>
            </w:tcBorders>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6"/>
              </w:rPr>
            </w:pPr>
            <w:r>
              <w:rPr>
                <w:rFonts w:ascii="Arial;sans-serif" w:hAnsi="Arial;sans-serif"/>
                <w:b/>
                <w:color w:val="000000"/>
                <w:sz w:val="16"/>
              </w:rPr>
              <w:t xml:space="preserve">Total </w:t>
              <w:br/>
              <w:t>($)</w:t>
            </w:r>
          </w:p>
        </w:tc>
        <w:tc>
          <w:tcPr>
            <w:tcW w:w="372" w:type="dxa"/>
            <w:gridSpan w:val="3"/>
            <w:tcBorders>
              <w:top w:val="single" w:sz="8" w:space="0" w:color="74A33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EDEDEE"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74A333"/>
                <w:sz w:val="16"/>
              </w:rPr>
            </w:pPr>
            <w:r>
              <w:rPr>
                <w:rFonts w:ascii="Arial;sans-serif" w:hAnsi="Arial;sans-serif"/>
                <w:b/>
                <w:color w:val="74A333"/>
                <w:sz w:val="16"/>
              </w:rPr>
              <w:t>Laura A. Francis</w:t>
            </w:r>
          </w:p>
        </w:tc>
        <w:tc>
          <w:tcPr>
            <w:tcW w:w="109" w:type="dxa"/>
            <w:tcBorders/>
            <w:vAlign w:val="center"/>
          </w:tcPr>
          <w:p>
            <w:pPr>
              <w:pStyle w:val="TableContents"/>
              <w:bidi w:val="0"/>
              <w:spacing w:before="0" w:after="283"/>
              <w:jc w:val="left"/>
              <w:rPr>
                <w:sz w:val="4"/>
                <w:szCs w:val="4"/>
              </w:rPr>
            </w:pPr>
            <w:r>
              <w:rPr>
                <w:sz w:val="4"/>
                <w:szCs w:val="4"/>
              </w:rPr>
            </w:r>
          </w:p>
        </w:tc>
        <w:tc>
          <w:tcPr>
            <w:tcW w:w="736" w:type="dxa"/>
            <w:gridSpan w:val="2"/>
            <w:tcBorders/>
            <w:shd w:fill="EDEDEE"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652,000 </w:t>
            </w:r>
          </w:p>
        </w:tc>
        <w:tc>
          <w:tcPr>
            <w:tcW w:w="186"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shd w:fill="EDEDEE"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1"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 w:type="dxa"/>
            <w:gridSpan w:val="2"/>
            <w:tcBorders/>
            <w:shd w:fill="EDEDEE"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66"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EDEDEE"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23,760 </w:t>
            </w:r>
          </w:p>
        </w:tc>
        <w:tc>
          <w:tcPr>
            <w:tcW w:w="316"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EDEDEE"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675,760 </w:t>
            </w:r>
          </w:p>
        </w:tc>
        <w:tc>
          <w:tcPr>
            <w:tcW w:w="111"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EDEDEE"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978,000 </w:t>
            </w:r>
          </w:p>
        </w:tc>
        <w:tc>
          <w:tcPr>
            <w:tcW w:w="196"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EDEDEE"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880,200 </w:t>
            </w:r>
          </w:p>
        </w:tc>
        <w:tc>
          <w:tcPr>
            <w:tcW w:w="211"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EDEDEE"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7,440,428 </w:t>
            </w:r>
          </w:p>
        </w:tc>
        <w:tc>
          <w:tcPr>
            <w:tcW w:w="366"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EDEDEE"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35,640 </w:t>
            </w:r>
          </w:p>
        </w:tc>
        <w:tc>
          <w:tcPr>
            <w:tcW w:w="316"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EDEDEE"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9,334,268 </w:t>
            </w:r>
          </w:p>
        </w:tc>
        <w:tc>
          <w:tcPr>
            <w:tcW w:w="169"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74A333"/>
                <w:sz w:val="16"/>
              </w:rPr>
            </w:pPr>
            <w:r>
              <w:rPr>
                <w:rFonts w:ascii="Arial;sans-serif" w:hAnsi="Arial;sans-serif"/>
                <w:b/>
                <w:color w:val="74A333"/>
                <w:sz w:val="16"/>
              </w:rPr>
              <w:t>Anshul Maheshwari</w:t>
            </w:r>
          </w:p>
        </w:tc>
        <w:tc>
          <w:tcPr>
            <w:tcW w:w="109" w:type="dxa"/>
            <w:tcBorders/>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477,565 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27,680 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505,245 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477,565 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262,660 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2,446,602 </w:t>
            </w:r>
          </w:p>
        </w:tc>
        <w:tc>
          <w:tcPr>
            <w:tcW w:w="3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27,680 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3,214,507 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bottom w:val="single" w:sz="12" w:space="0" w:color="74A333"/>
            </w:tcBorders>
            <w:shd w:fill="EDEDEE" w:val="clear"/>
            <w:tcMar>
              <w:top w:w="0" w:type="dxa"/>
              <w:left w:w="0" w:type="dxa"/>
              <w:bottom w:w="30" w:type="dxa"/>
              <w:right w:w="0" w:type="dxa"/>
            </w:tcMar>
            <w:vAlign w:val="center"/>
          </w:tcPr>
          <w:p>
            <w:pPr>
              <w:pStyle w:val="TableContents"/>
              <w:bidi w:val="0"/>
              <w:spacing w:lineRule="auto" w:line="288" w:before="0" w:after="283"/>
              <w:jc w:val="left"/>
              <w:rPr>
                <w:rFonts w:ascii="Arial;sans-serif" w:hAnsi="Arial;sans-serif"/>
                <w:b/>
                <w:color w:val="74A333"/>
                <w:sz w:val="16"/>
              </w:rPr>
            </w:pPr>
            <w:r>
              <w:rPr>
                <w:rFonts w:ascii="Arial;sans-serif" w:hAnsi="Arial;sans-serif"/>
                <w:b/>
                <w:color w:val="74A333"/>
                <w:sz w:val="16"/>
              </w:rPr>
              <w:t>Anthony J. Recupero</w:t>
            </w:r>
          </w:p>
        </w:tc>
        <w:tc>
          <w:tcPr>
            <w:tcW w:w="109" w:type="dxa"/>
            <w:tcBorders/>
            <w:vAlign w:val="center"/>
          </w:tcPr>
          <w:p>
            <w:pPr>
              <w:pStyle w:val="TableContents"/>
              <w:bidi w:val="0"/>
              <w:spacing w:before="0" w:after="283"/>
              <w:jc w:val="left"/>
              <w:rPr>
                <w:sz w:val="4"/>
                <w:szCs w:val="4"/>
              </w:rPr>
            </w:pPr>
            <w:r>
              <w:rPr>
                <w:sz w:val="4"/>
                <w:szCs w:val="4"/>
              </w:rPr>
            </w:r>
          </w:p>
        </w:tc>
        <w:tc>
          <w:tcPr>
            <w:tcW w:w="736" w:type="dxa"/>
            <w:gridSpan w:val="2"/>
            <w:tcBorders>
              <w:bottom w:val="single" w:sz="12" w:space="0" w:color="74A333"/>
            </w:tcBorders>
            <w:shd w:fill="EDEDEE" w:val="clear"/>
            <w:tcMar>
              <w:top w:w="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486,000 </w:t>
            </w:r>
          </w:p>
        </w:tc>
        <w:tc>
          <w:tcPr>
            <w:tcW w:w="186" w:type="dxa"/>
            <w:tcBorders>
              <w:bottom w:val="single" w:sz="12" w:space="0" w:color="74A333"/>
            </w:tcBorders>
            <w:shd w:fill="EDEDEE"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bottom w:val="single" w:sz="12" w:space="0" w:color="74A333"/>
            </w:tcBorders>
            <w:shd w:fill="EDEDEE" w:val="clear"/>
            <w:tcMar>
              <w:top w:w="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211" w:type="dxa"/>
            <w:tcBorders>
              <w:bottom w:val="single" w:sz="12" w:space="0" w:color="74A333"/>
            </w:tcBorders>
            <w:shd w:fill="EDEDEE"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730" w:type="dxa"/>
            <w:gridSpan w:val="2"/>
            <w:tcBorders>
              <w:bottom w:val="single" w:sz="12" w:space="0" w:color="74A333"/>
            </w:tcBorders>
            <w:shd w:fill="EDEDEE" w:val="clear"/>
            <w:tcMar>
              <w:top w:w="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366" w:type="dxa"/>
            <w:tcBorders>
              <w:bottom w:val="single" w:sz="12" w:space="0" w:color="74A333"/>
            </w:tcBorders>
            <w:shd w:fill="EDEDEE"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bottom w:val="single" w:sz="12" w:space="0" w:color="74A333"/>
            </w:tcBorders>
            <w:shd w:fill="EDEDEE" w:val="clear"/>
            <w:tcMar>
              <w:top w:w="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33,591 </w:t>
            </w:r>
          </w:p>
        </w:tc>
        <w:tc>
          <w:tcPr>
            <w:tcW w:w="316" w:type="dxa"/>
            <w:tcBorders>
              <w:bottom w:val="single" w:sz="12" w:space="0" w:color="74A333"/>
            </w:tcBorders>
            <w:shd w:fill="EDEDEE"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bottom w:val="single" w:sz="12" w:space="0" w:color="74A333"/>
            </w:tcBorders>
            <w:shd w:fill="EDEDEE" w:val="clear"/>
            <w:tcMar>
              <w:top w:w="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519,591 </w:t>
            </w:r>
          </w:p>
        </w:tc>
        <w:tc>
          <w:tcPr>
            <w:tcW w:w="111" w:type="dxa"/>
            <w:tcBorders>
              <w:bottom w:val="single" w:sz="12" w:space="0" w:color="74A333"/>
            </w:tcBorders>
            <w:shd w:fill="EDEDEE"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12" w:space="0" w:color="74A333"/>
            </w:tcBorders>
            <w:shd w:fill="EDEDEE"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bottom w:val="single" w:sz="12" w:space="0" w:color="74A333"/>
            </w:tcBorders>
            <w:shd w:fill="EDEDEE" w:val="clear"/>
            <w:tcMar>
              <w:top w:w="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486,000 </w:t>
            </w:r>
          </w:p>
        </w:tc>
        <w:tc>
          <w:tcPr>
            <w:tcW w:w="196" w:type="dxa"/>
            <w:tcBorders>
              <w:bottom w:val="single" w:sz="12" w:space="0" w:color="74A333"/>
            </w:tcBorders>
            <w:shd w:fill="EDEDEE"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bottom w:val="single" w:sz="12" w:space="0" w:color="74A333"/>
            </w:tcBorders>
            <w:shd w:fill="EDEDEE" w:val="clear"/>
            <w:tcMar>
              <w:top w:w="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364,500 </w:t>
            </w:r>
          </w:p>
        </w:tc>
        <w:tc>
          <w:tcPr>
            <w:tcW w:w="211" w:type="dxa"/>
            <w:tcBorders>
              <w:bottom w:val="single" w:sz="12" w:space="0" w:color="74A333"/>
            </w:tcBorders>
            <w:shd w:fill="EDEDEE"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bottom w:val="single" w:sz="12" w:space="0" w:color="74A333"/>
            </w:tcBorders>
            <w:shd w:fill="EDEDEE" w:val="clear"/>
            <w:tcMar>
              <w:top w:w="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2,325,161 </w:t>
            </w:r>
          </w:p>
        </w:tc>
        <w:tc>
          <w:tcPr>
            <w:tcW w:w="366" w:type="dxa"/>
            <w:tcBorders>
              <w:bottom w:val="single" w:sz="12" w:space="0" w:color="74A333"/>
            </w:tcBorders>
            <w:shd w:fill="EDEDEE"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bottom w:val="single" w:sz="12" w:space="0" w:color="74A333"/>
            </w:tcBorders>
            <w:shd w:fill="EDEDEE" w:val="clear"/>
            <w:tcMar>
              <w:top w:w="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33,591 </w:t>
            </w:r>
          </w:p>
        </w:tc>
        <w:tc>
          <w:tcPr>
            <w:tcW w:w="316" w:type="dxa"/>
            <w:tcBorders>
              <w:bottom w:val="single" w:sz="12" w:space="0" w:color="74A333"/>
            </w:tcBorders>
            <w:shd w:fill="EDEDEE"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bottom w:val="single" w:sz="12" w:space="0" w:color="74A333"/>
            </w:tcBorders>
            <w:shd w:fill="EDEDEE" w:val="clear"/>
            <w:tcMar>
              <w:top w:w="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3,209,252 </w:t>
            </w:r>
          </w:p>
        </w:tc>
        <w:tc>
          <w:tcPr>
            <w:tcW w:w="169" w:type="dxa"/>
            <w:tcBorders>
              <w:bottom w:val="single" w:sz="12" w:space="0" w:color="74A333"/>
            </w:tcBorders>
            <w:shd w:fill="EDEDEE"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bottom w:val="single" w:sz="12" w:space="0" w:color="74A333"/>
            </w:tcBorders>
            <w:shd w:fill="EDEDEE"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22"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962" w:type="dxa"/>
            <w:gridSpan w:val="3"/>
            <w:tcBorders/>
            <w:vAlign w:val="center"/>
          </w:tcPr>
          <w:p>
            <w:pPr>
              <w:pStyle w:val="TableContents"/>
              <w:bidi w:val="0"/>
              <w:spacing w:before="0" w:after="283"/>
              <w:jc w:val="left"/>
              <w:rPr>
                <w:sz w:val="4"/>
                <w:szCs w:val="4"/>
              </w:rPr>
            </w:pPr>
            <w:r>
              <w:rPr>
                <w:sz w:val="4"/>
                <w:szCs w:val="4"/>
              </w:rPr>
            </w:r>
          </w:p>
        </w:tc>
        <w:tc>
          <w:tcPr>
            <w:tcW w:w="8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947" w:type="dxa"/>
            <w:gridSpan w:val="3"/>
            <w:tcBorders/>
            <w:vAlign w:val="center"/>
          </w:tcPr>
          <w:p>
            <w:pPr>
              <w:pStyle w:val="TableContents"/>
              <w:bidi w:val="0"/>
              <w:spacing w:before="0" w:after="283"/>
              <w:jc w:val="left"/>
              <w:rPr>
                <w:sz w:val="4"/>
                <w:szCs w:val="4"/>
              </w:rPr>
            </w:pPr>
            <w:r>
              <w:rPr>
                <w:sz w:val="4"/>
                <w:szCs w:val="4"/>
              </w:rPr>
            </w:r>
          </w:p>
        </w:tc>
        <w:tc>
          <w:tcPr>
            <w:tcW w:w="1237" w:type="dxa"/>
            <w:gridSpan w:val="3"/>
            <w:tcBorders/>
            <w:vAlign w:val="center"/>
          </w:tcPr>
          <w:p>
            <w:pPr>
              <w:pStyle w:val="TableContents"/>
              <w:bidi w:val="0"/>
              <w:spacing w:before="0" w:after="283"/>
              <w:jc w:val="left"/>
              <w:rPr>
                <w:sz w:val="4"/>
                <w:szCs w:val="4"/>
              </w:rPr>
            </w:pPr>
            <w:r>
              <w:rPr>
                <w:sz w:val="4"/>
                <w:szCs w:val="4"/>
              </w:rPr>
            </w:r>
          </w:p>
        </w:tc>
        <w:tc>
          <w:tcPr>
            <w:tcW w:w="962" w:type="dxa"/>
            <w:gridSpan w:val="3"/>
            <w:tcBorders/>
            <w:vAlign w:val="center"/>
          </w:tcPr>
          <w:p>
            <w:pPr>
              <w:pStyle w:val="TableContents"/>
              <w:bidi w:val="0"/>
              <w:spacing w:before="0" w:after="283"/>
              <w:jc w:val="left"/>
              <w:rPr>
                <w:sz w:val="4"/>
                <w:szCs w:val="4"/>
              </w:rPr>
            </w:pPr>
            <w:r>
              <w:rPr>
                <w:sz w:val="4"/>
                <w:szCs w:val="4"/>
              </w:rPr>
            </w:r>
          </w:p>
        </w:tc>
        <w:tc>
          <w:tcPr>
            <w:tcW w:w="1040"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106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22"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962" w:type="dxa"/>
            <w:gridSpan w:val="3"/>
            <w:tcBorders/>
            <w:vAlign w:val="center"/>
          </w:tcPr>
          <w:p>
            <w:pPr>
              <w:pStyle w:val="TableContents"/>
              <w:bidi w:val="0"/>
              <w:spacing w:before="0" w:after="283"/>
              <w:jc w:val="left"/>
              <w:rPr>
                <w:sz w:val="4"/>
                <w:szCs w:val="4"/>
              </w:rPr>
            </w:pPr>
            <w:r>
              <w:rPr>
                <w:sz w:val="4"/>
                <w:szCs w:val="4"/>
              </w:rPr>
            </w:r>
          </w:p>
        </w:tc>
        <w:tc>
          <w:tcPr>
            <w:tcW w:w="8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947" w:type="dxa"/>
            <w:gridSpan w:val="3"/>
            <w:tcBorders/>
            <w:vAlign w:val="center"/>
          </w:tcPr>
          <w:p>
            <w:pPr>
              <w:pStyle w:val="TableContents"/>
              <w:bidi w:val="0"/>
              <w:spacing w:before="0" w:after="283"/>
              <w:jc w:val="left"/>
              <w:rPr>
                <w:sz w:val="4"/>
                <w:szCs w:val="4"/>
              </w:rPr>
            </w:pPr>
            <w:r>
              <w:rPr>
                <w:sz w:val="4"/>
                <w:szCs w:val="4"/>
              </w:rPr>
            </w:r>
          </w:p>
        </w:tc>
        <w:tc>
          <w:tcPr>
            <w:tcW w:w="1237" w:type="dxa"/>
            <w:gridSpan w:val="3"/>
            <w:tcBorders/>
            <w:vAlign w:val="center"/>
          </w:tcPr>
          <w:p>
            <w:pPr>
              <w:pStyle w:val="TableContents"/>
              <w:bidi w:val="0"/>
              <w:spacing w:before="0" w:after="283"/>
              <w:jc w:val="left"/>
              <w:rPr>
                <w:sz w:val="4"/>
                <w:szCs w:val="4"/>
              </w:rPr>
            </w:pPr>
            <w:r>
              <w:rPr>
                <w:sz w:val="4"/>
                <w:szCs w:val="4"/>
              </w:rPr>
            </w:r>
          </w:p>
        </w:tc>
        <w:tc>
          <w:tcPr>
            <w:tcW w:w="962" w:type="dxa"/>
            <w:gridSpan w:val="3"/>
            <w:tcBorders/>
            <w:vAlign w:val="center"/>
          </w:tcPr>
          <w:p>
            <w:pPr>
              <w:pStyle w:val="TableContents"/>
              <w:bidi w:val="0"/>
              <w:spacing w:before="0" w:after="283"/>
              <w:jc w:val="left"/>
              <w:rPr>
                <w:sz w:val="4"/>
                <w:szCs w:val="4"/>
              </w:rPr>
            </w:pPr>
            <w:r>
              <w:rPr>
                <w:sz w:val="4"/>
                <w:szCs w:val="4"/>
              </w:rPr>
            </w:r>
          </w:p>
        </w:tc>
        <w:tc>
          <w:tcPr>
            <w:tcW w:w="1040"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106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22"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962" w:type="dxa"/>
            <w:gridSpan w:val="3"/>
            <w:tcBorders/>
            <w:vAlign w:val="center"/>
          </w:tcPr>
          <w:p>
            <w:pPr>
              <w:pStyle w:val="TableContents"/>
              <w:bidi w:val="0"/>
              <w:spacing w:before="0" w:after="283"/>
              <w:jc w:val="left"/>
              <w:rPr>
                <w:sz w:val="4"/>
                <w:szCs w:val="4"/>
              </w:rPr>
            </w:pPr>
            <w:r>
              <w:rPr>
                <w:sz w:val="4"/>
                <w:szCs w:val="4"/>
              </w:rPr>
            </w:r>
          </w:p>
        </w:tc>
        <w:tc>
          <w:tcPr>
            <w:tcW w:w="8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947" w:type="dxa"/>
            <w:gridSpan w:val="3"/>
            <w:tcBorders/>
            <w:vAlign w:val="center"/>
          </w:tcPr>
          <w:p>
            <w:pPr>
              <w:pStyle w:val="TableContents"/>
              <w:bidi w:val="0"/>
              <w:spacing w:before="0" w:after="283"/>
              <w:jc w:val="left"/>
              <w:rPr>
                <w:sz w:val="4"/>
                <w:szCs w:val="4"/>
              </w:rPr>
            </w:pPr>
            <w:r>
              <w:rPr>
                <w:sz w:val="4"/>
                <w:szCs w:val="4"/>
              </w:rPr>
            </w:r>
          </w:p>
        </w:tc>
        <w:tc>
          <w:tcPr>
            <w:tcW w:w="1237" w:type="dxa"/>
            <w:gridSpan w:val="3"/>
            <w:tcBorders/>
            <w:vAlign w:val="center"/>
          </w:tcPr>
          <w:p>
            <w:pPr>
              <w:pStyle w:val="TableContents"/>
              <w:bidi w:val="0"/>
              <w:spacing w:before="0" w:after="283"/>
              <w:jc w:val="left"/>
              <w:rPr>
                <w:sz w:val="4"/>
                <w:szCs w:val="4"/>
              </w:rPr>
            </w:pPr>
            <w:r>
              <w:rPr>
                <w:sz w:val="4"/>
                <w:szCs w:val="4"/>
              </w:rPr>
            </w:r>
          </w:p>
        </w:tc>
        <w:tc>
          <w:tcPr>
            <w:tcW w:w="962" w:type="dxa"/>
            <w:gridSpan w:val="3"/>
            <w:tcBorders/>
            <w:vAlign w:val="center"/>
          </w:tcPr>
          <w:p>
            <w:pPr>
              <w:pStyle w:val="TableContents"/>
              <w:bidi w:val="0"/>
              <w:spacing w:before="0" w:after="283"/>
              <w:jc w:val="left"/>
              <w:rPr>
                <w:sz w:val="4"/>
                <w:szCs w:val="4"/>
              </w:rPr>
            </w:pPr>
            <w:r>
              <w:rPr>
                <w:sz w:val="4"/>
                <w:szCs w:val="4"/>
              </w:rPr>
            </w:r>
          </w:p>
        </w:tc>
        <w:tc>
          <w:tcPr>
            <w:tcW w:w="1040"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300"/>
        <w:ind w:left="0" w:right="0" w:hanging="360"/>
        <w:jc w:val="left"/>
        <w:rPr>
          <w:rFonts w:ascii="Arial;sans-serif" w:hAnsi="Arial;sans-serif"/>
          <w:b w:val="false"/>
          <w:color w:val="52575F"/>
          <w:sz w:val="16"/>
        </w:rPr>
      </w:pPr>
      <w:r>
        <w:rPr>
          <w:rFonts w:ascii="Arial;sans-serif" w:hAnsi="Arial;sans-serif"/>
          <w:b w:val="false"/>
          <w:color w:val="52575F"/>
          <w:sz w:val="16"/>
        </w:rPr>
        <w:t>1.PSU shares calculated based on maximum payout less the accumulated shares distributed up to December 31, 2024.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80"/>
        <w:jc w:val="left"/>
        <w:rPr>
          <w:rFonts w:ascii="Arial;sans-serif" w:hAnsi="Arial;sans-serif"/>
          <w:b w:val="false"/>
          <w:color w:val="000000"/>
          <w:sz w:val="24"/>
        </w:rPr>
      </w:pPr>
      <w:r>
        <w:rPr>
          <w:rFonts w:ascii="Arial;sans-serif" w:hAnsi="Arial;sans-serif"/>
          <w:b w:val="false"/>
          <w:color w:val="000000"/>
          <w:sz w:val="24"/>
        </w:rPr>
        <w:t>PENSION BENEFITS</w:t>
      </w:r>
    </w:p>
    <w:p>
      <w:pPr>
        <w:pStyle w:val="TextBody"/>
        <w:bidi w:val="0"/>
        <w:spacing w:lineRule="auto" w:line="312" w:before="0" w:after="180"/>
        <w:jc w:val="left"/>
        <w:rPr>
          <w:rFonts w:ascii="Arial;sans-serif" w:hAnsi="Arial;sans-serif"/>
          <w:b w:val="false"/>
          <w:color w:val="000000"/>
          <w:sz w:val="18"/>
        </w:rPr>
      </w:pPr>
      <w:r>
        <w:rPr>
          <w:rFonts w:ascii="Arial;sans-serif" w:hAnsi="Arial;sans-serif"/>
          <w:b w:val="false"/>
          <w:color w:val="000000"/>
          <w:sz w:val="18"/>
        </w:rPr>
        <w:t>Our Named Executive Officers did not participate in, or otherwise receive any benefits under, any pension or retirement plan sponsored by us during 2024.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80"/>
        <w:jc w:val="left"/>
        <w:rPr>
          <w:rFonts w:ascii="Arial;sans-serif" w:hAnsi="Arial;sans-serif"/>
          <w:b w:val="false"/>
          <w:color w:val="000000"/>
          <w:sz w:val="24"/>
        </w:rPr>
      </w:pPr>
      <w:r>
        <w:rPr>
          <w:rFonts w:ascii="Arial;sans-serif" w:hAnsi="Arial;sans-serif"/>
          <w:b w:val="false"/>
          <w:color w:val="000000"/>
          <w:sz w:val="24"/>
        </w:rPr>
        <w:t>NONQUALIFIED DEFERRED COMPENSATION</w:t>
      </w:r>
    </w:p>
    <w:p>
      <w:pPr>
        <w:pStyle w:val="TextBody"/>
        <w:bidi w:val="0"/>
        <w:spacing w:lineRule="auto" w:line="312" w:before="0" w:after="180"/>
        <w:jc w:val="left"/>
        <w:rPr>
          <w:rFonts w:ascii="Arial;sans-serif" w:hAnsi="Arial;sans-serif"/>
          <w:b w:val="false"/>
          <w:color w:val="000000"/>
          <w:sz w:val="18"/>
        </w:rPr>
      </w:pPr>
      <w:r>
        <w:rPr>
          <w:rFonts w:ascii="Arial;sans-serif" w:hAnsi="Arial;sans-serif"/>
          <w:b w:val="false"/>
          <w:color w:val="000000"/>
          <w:sz w:val="18"/>
        </w:rPr>
        <w:t>Our Named Executive Officers did not participate in, or earn any benefits under, a nonqualified deferred compensation plan sponsored by us during 2024.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80"/>
        <w:jc w:val="left"/>
        <w:rPr>
          <w:rFonts w:ascii="Arial;sans-serif" w:hAnsi="Arial;sans-serif"/>
          <w:b w:val="false"/>
          <w:color w:val="000000"/>
          <w:sz w:val="24"/>
        </w:rPr>
      </w:pPr>
      <w:r>
        <w:rPr>
          <w:rFonts w:ascii="Arial;sans-serif" w:hAnsi="Arial;sans-serif"/>
          <w:b w:val="false"/>
          <w:color w:val="000000"/>
          <w:sz w:val="24"/>
        </w:rPr>
        <w:t>SECURITIES AUTHORIZED FOR ISSUANCE UNDER EQUITY COMPENSATION PLANS</w:t>
      </w:r>
    </w:p>
    <w:p>
      <w:pPr>
        <w:pStyle w:val="TextBody"/>
        <w:bidi w:val="0"/>
        <w:spacing w:lineRule="auto" w:line="312" w:before="0" w:after="180"/>
        <w:jc w:val="left"/>
        <w:rPr>
          <w:rFonts w:ascii="Arial;sans-serif" w:hAnsi="Arial;sans-serif"/>
          <w:b w:val="false"/>
          <w:color w:val="000000"/>
          <w:sz w:val="18"/>
        </w:rPr>
      </w:pPr>
      <w:r>
        <w:rPr>
          <w:rFonts w:ascii="Arial;sans-serif" w:hAnsi="Arial;sans-serif"/>
          <w:b w:val="false"/>
          <w:color w:val="000000"/>
          <w:sz w:val="18"/>
        </w:rPr>
        <w:t>The following table shows certain information with respect to all of our equity compensation plans in effect as of December 31, 2024.</w:t>
      </w:r>
    </w:p>
    <w:tbl>
      <w:tblPr>
        <w:tblW w:w="10205" w:type="dxa"/>
        <w:jc w:val="left"/>
        <w:tblInd w:w="0" w:type="dxa"/>
        <w:tblLayout w:type="fixed"/>
        <w:tblCellMar>
          <w:top w:w="28" w:type="dxa"/>
          <w:left w:w="28" w:type="dxa"/>
          <w:bottom w:w="28" w:type="dxa"/>
          <w:right w:w="28" w:type="dxa"/>
        </w:tblCellMar>
      </w:tblPr>
      <w:tblGrid>
        <w:gridCol w:w="647"/>
        <w:gridCol w:w="568"/>
        <w:gridCol w:w="570"/>
        <w:gridCol w:w="804"/>
        <w:gridCol w:w="799"/>
        <w:gridCol w:w="801"/>
        <w:gridCol w:w="109"/>
        <w:gridCol w:w="109"/>
        <w:gridCol w:w="109"/>
        <w:gridCol w:w="779"/>
        <w:gridCol w:w="779"/>
        <w:gridCol w:w="781"/>
        <w:gridCol w:w="109"/>
        <w:gridCol w:w="109"/>
        <w:gridCol w:w="109"/>
        <w:gridCol w:w="109"/>
        <w:gridCol w:w="708"/>
        <w:gridCol w:w="343"/>
        <w:gridCol w:w="343"/>
        <w:gridCol w:w="343"/>
        <w:gridCol w:w="343"/>
        <w:gridCol w:w="345"/>
        <w:gridCol w:w="109"/>
        <w:gridCol w:w="109"/>
        <w:gridCol w:w="109"/>
        <w:gridCol w:w="162"/>
      </w:tblGrid>
      <w:tr>
        <w:trPr/>
        <w:tc>
          <w:tcPr>
            <w:tcW w:w="647"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c>
          <w:tcPr>
            <w:tcW w:w="570" w:type="dxa"/>
            <w:tcBorders/>
            <w:vAlign w:val="center"/>
          </w:tcPr>
          <w:p>
            <w:pPr>
              <w:pStyle w:val="TableContents"/>
              <w:bidi w:val="0"/>
              <w:spacing w:before="0" w:after="283"/>
              <w:jc w:val="left"/>
              <w:rPr>
                <w:sz w:val="4"/>
                <w:szCs w:val="4"/>
              </w:rPr>
            </w:pPr>
            <w:r>
              <w:rPr>
                <w:sz w:val="4"/>
                <w:szCs w:val="4"/>
              </w:rPr>
            </w:r>
          </w:p>
        </w:tc>
        <w:tc>
          <w:tcPr>
            <w:tcW w:w="804" w:type="dxa"/>
            <w:tcBorders/>
            <w:vAlign w:val="center"/>
          </w:tcPr>
          <w:p>
            <w:pPr>
              <w:pStyle w:val="TableContents"/>
              <w:bidi w:val="0"/>
              <w:spacing w:before="0" w:after="283"/>
              <w:jc w:val="left"/>
              <w:rPr>
                <w:sz w:val="4"/>
                <w:szCs w:val="4"/>
              </w:rPr>
            </w:pPr>
            <w:r>
              <w:rPr>
                <w:sz w:val="4"/>
                <w:szCs w:val="4"/>
              </w:rPr>
            </w:r>
          </w:p>
        </w:tc>
        <w:tc>
          <w:tcPr>
            <w:tcW w:w="799"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79" w:type="dxa"/>
            <w:tcBorders/>
            <w:vAlign w:val="center"/>
          </w:tcPr>
          <w:p>
            <w:pPr>
              <w:pStyle w:val="TableContents"/>
              <w:bidi w:val="0"/>
              <w:spacing w:before="0" w:after="283"/>
              <w:jc w:val="left"/>
              <w:rPr>
                <w:sz w:val="4"/>
                <w:szCs w:val="4"/>
              </w:rPr>
            </w:pPr>
            <w:r>
              <w:rPr>
                <w:sz w:val="4"/>
                <w:szCs w:val="4"/>
              </w:rPr>
            </w:r>
          </w:p>
        </w:tc>
        <w:tc>
          <w:tcPr>
            <w:tcW w:w="779"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8"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785" w:type="dxa"/>
            <w:gridSpan w:val="3"/>
            <w:tcBorders/>
            <w:vAlign w:val="center"/>
          </w:tcPr>
          <w:p>
            <w:pPr>
              <w:pStyle w:val="TableContents"/>
              <w:bidi w:val="0"/>
              <w:spacing w:before="0" w:after="283"/>
              <w:jc w:val="left"/>
              <w:rPr>
                <w:sz w:val="4"/>
                <w:szCs w:val="4"/>
              </w:rPr>
            </w:pPr>
            <w:r>
              <w:rPr>
                <w:sz w:val="4"/>
                <w:szCs w:val="4"/>
              </w:rPr>
            </w:r>
          </w:p>
        </w:tc>
        <w:tc>
          <w:tcPr>
            <w:tcW w:w="24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3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4" w:type="dxa"/>
            <w:gridSpan w:val="3"/>
            <w:tcBorders/>
            <w:vAlign w:val="center"/>
          </w:tcPr>
          <w:p>
            <w:pPr>
              <w:pStyle w:val="TableContents"/>
              <w:bidi w:val="0"/>
              <w:spacing w:before="0" w:after="283"/>
              <w:jc w:val="left"/>
              <w:rPr>
                <w:sz w:val="4"/>
                <w:szCs w:val="4"/>
              </w:rPr>
            </w:pPr>
            <w:r>
              <w:rPr>
                <w:sz w:val="4"/>
                <w:szCs w:val="4"/>
              </w:rPr>
            </w:r>
          </w:p>
        </w:tc>
        <w:tc>
          <w:tcPr>
            <w:tcW w:w="10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78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6"/>
              </w:rPr>
            </w:pPr>
            <w:r>
              <w:rPr>
                <w:rFonts w:ascii="Arial;sans-serif" w:hAnsi="Arial;sans-serif"/>
                <w:b/>
                <w:color w:val="000000"/>
                <w:sz w:val="16"/>
              </w:rPr>
              <w:t>Plan Category</w:t>
            </w:r>
          </w:p>
        </w:tc>
        <w:tc>
          <w:tcPr>
            <w:tcW w:w="240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6"/>
              </w:rPr>
            </w:pPr>
            <w:r>
              <w:rPr>
                <w:rFonts w:ascii="Arial;sans-serif" w:hAnsi="Arial;sans-serif"/>
                <w:b/>
                <w:color w:val="000000"/>
                <w:sz w:val="16"/>
              </w:rPr>
              <w:t>Number of securities to be issued upon exercise of outstanding stock options and awards</w:t>
              <w:br/>
              <w:t>(a)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9"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6"/>
              </w:rPr>
            </w:pPr>
            <w:r>
              <w:rPr>
                <w:rFonts w:ascii="Arial;sans-serif" w:hAnsi="Arial;sans-serif"/>
                <w:b/>
                <w:color w:val="000000"/>
                <w:sz w:val="16"/>
              </w:rPr>
              <w:t>Weighted-average exercise price of outstanding stock options and awards</w:t>
              <w:br/>
              <w:t>(b) ($)</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5" w:type="dxa"/>
            <w:gridSpan w:val="6"/>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6"/>
              </w:rPr>
            </w:pPr>
            <w:r>
              <w:rPr>
                <w:rFonts w:ascii="Arial;sans-serif" w:hAnsi="Arial;sans-serif"/>
                <w:b/>
                <w:color w:val="000000"/>
                <w:sz w:val="16"/>
              </w:rPr>
              <w:t>Number of securities </w:t>
              <w:br/>
              <w:t>remaining available for issuance under equity compensation plans </w:t>
              <w:br/>
              <w:t>(excluding securities </w:t>
              <w:br/>
              <w:t>reflected in column </w:t>
              <w:br/>
              <w:t>(a)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7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785" w:type="dxa"/>
            <w:gridSpan w:val="3"/>
            <w:tcBorders/>
            <w:shd w:fill="EDEDEE" w:val="clear"/>
            <w:tcMar>
              <w:top w:w="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val="false"/>
                <w:color w:val="000000"/>
                <w:sz w:val="16"/>
              </w:rPr>
              <w:t>Equity compensation plans approved by stockholders</w:t>
            </w:r>
            <w:r>
              <w:rPr>
                <w:rFonts w:ascii="Arial;sans-serif" w:hAnsi="Arial;sans-serif"/>
                <w:b w:val="false"/>
                <w:color w:val="000000"/>
                <w:sz w:val="10"/>
              </w:rPr>
              <w:t>(1)(2)</w:t>
            </w:r>
          </w:p>
        </w:tc>
        <w:tc>
          <w:tcPr>
            <w:tcW w:w="1603" w:type="dxa"/>
            <w:gridSpan w:val="2"/>
            <w:tcBorders/>
            <w:shd w:fill="EDEDEE"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3,536,312 </w:t>
            </w:r>
          </w:p>
        </w:tc>
        <w:tc>
          <w:tcPr>
            <w:tcW w:w="801"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9" w:type="dxa"/>
            <w:gridSpan w:val="3"/>
            <w:tcBorders/>
            <w:shd w:fill="EDEDEE"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3.23</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EDEDEE"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7,010,627 </w:t>
            </w:r>
          </w:p>
        </w:tc>
        <w:tc>
          <w:tcPr>
            <w:tcW w:w="343"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3"/>
            <w:tcBorders/>
            <w:shd w:fill="EDEDEE"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0"/>
              </w:rPr>
            </w:pPr>
            <w:r>
              <w:rPr>
                <w:rFonts w:ascii="Arial;sans-serif" w:hAnsi="Arial;sans-serif"/>
                <w:b w:val="false"/>
                <w:color w:val="000000"/>
                <w:sz w:val="10"/>
              </w:rPr>
              <w:t>(3)(4)</w:t>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7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Equity compensation plans not approved by stockholders</w:t>
            </w:r>
          </w:p>
        </w:tc>
        <w:tc>
          <w:tcPr>
            <w:tcW w:w="160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8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785" w:type="dxa"/>
            <w:gridSpan w:val="3"/>
            <w:tcBorders/>
            <w:shd w:fill="EDEDEE"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6"/>
              </w:rPr>
            </w:pPr>
            <w:r>
              <w:rPr>
                <w:rFonts w:ascii="Arial;sans-serif" w:hAnsi="Arial;sans-serif"/>
                <w:b/>
                <w:color w:val="000000"/>
                <w:sz w:val="16"/>
              </w:rPr>
              <w:t xml:space="preserve">Total </w:t>
            </w:r>
          </w:p>
        </w:tc>
        <w:tc>
          <w:tcPr>
            <w:tcW w:w="1603" w:type="dxa"/>
            <w:gridSpan w:val="2"/>
            <w:tcBorders>
              <w:top w:val="single" w:sz="8" w:space="0" w:color="000000"/>
            </w:tcBorders>
            <w:shd w:fill="EDEDEE" w:val="clear"/>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16"/>
              </w:rPr>
              <w:t>3,536,312</w:t>
            </w:r>
            <w:r>
              <w:rPr>
                <w:color w:val="000000"/>
              </w:rPr>
              <w:t> </w:t>
            </w:r>
          </w:p>
        </w:tc>
        <w:tc>
          <w:tcPr>
            <w:tcW w:w="801" w:type="dxa"/>
            <w:tcBorders>
              <w:top w:val="single" w:sz="8" w:space="0" w:color="000000"/>
            </w:tcBorders>
            <w:shd w:fill="EDEDE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9" w:type="dxa"/>
            <w:gridSpan w:val="3"/>
            <w:tcBorders>
              <w:top w:val="sing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single" w:sz="8" w:space="0" w:color="000000"/>
            </w:tcBorders>
            <w:shd w:fill="EDEDEE" w:val="clear"/>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16"/>
              </w:rPr>
              <w:t>7,010,627</w:t>
            </w:r>
            <w:r>
              <w:rPr>
                <w:color w:val="000000"/>
              </w:rPr>
              <w:t> </w:t>
            </w:r>
          </w:p>
        </w:tc>
        <w:tc>
          <w:tcPr>
            <w:tcW w:w="343" w:type="dxa"/>
            <w:tcBorders>
              <w:top w:val="single" w:sz="8" w:space="0" w:color="000000"/>
            </w:tcBorders>
            <w:shd w:fill="EDEDE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3"/>
            <w:tcBorders>
              <w:top w:val="sing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785" w:type="dxa"/>
            <w:gridSpan w:val="3"/>
            <w:tcBorders>
              <w:bottom w:val="single" w:sz="12" w:space="0" w:color="74A333"/>
            </w:tcBorders>
            <w:shd w:fill="EDEDEE"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404" w:type="dxa"/>
            <w:gridSpan w:val="3"/>
            <w:tcBorders>
              <w:top w:val="double" w:sz="8" w:space="0" w:color="000000"/>
              <w:bottom w:val="single" w:sz="12" w:space="0" w:color="74A333"/>
            </w:tcBorders>
            <w:shd w:fill="EDEDEE" w:val="clear"/>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12" w:space="0" w:color="74A333"/>
            </w:tcBorders>
            <w:shd w:fill="EDEDEE"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339" w:type="dxa"/>
            <w:gridSpan w:val="3"/>
            <w:tcBorders>
              <w:bottom w:val="single" w:sz="12" w:space="0" w:color="74A333"/>
            </w:tcBorders>
            <w:shd w:fill="EDEDEE"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bottom w:val="single" w:sz="12" w:space="0" w:color="74A333"/>
            </w:tcBorders>
            <w:shd w:fill="EDEDEE"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top w:val="double" w:sz="8" w:space="0" w:color="000000"/>
              <w:bottom w:val="single" w:sz="12" w:space="0" w:color="74A333"/>
            </w:tcBorders>
            <w:shd w:fill="EDEDEE" w:val="clear"/>
            <w:tcMar>
              <w:left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3"/>
            <w:tcBorders>
              <w:top w:val="double" w:sz="8" w:space="0" w:color="000000"/>
              <w:bottom w:val="single" w:sz="12" w:space="0" w:color="74A333"/>
            </w:tcBorders>
            <w:shd w:fill="EDEDEE" w:val="clear"/>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bottom w:val="single" w:sz="12" w:space="0" w:color="74A333"/>
            </w:tcBorders>
            <w:shd w:fill="EDEDEE" w:val="clear"/>
            <w:tcMar>
              <w:left w:w="0" w:type="dxa"/>
              <w:right w:w="0" w:type="dxa"/>
            </w:tcMar>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ind w:left="0" w:right="0" w:hanging="360"/>
        <w:jc w:val="left"/>
        <w:rPr>
          <w:rFonts w:ascii="Arial;sans-serif" w:hAnsi="Arial;sans-serif"/>
          <w:b w:val="false"/>
          <w:color w:val="52575F"/>
          <w:sz w:val="16"/>
        </w:rPr>
      </w:pPr>
      <w:r>
        <w:rPr>
          <w:rFonts w:ascii="Arial;sans-serif" w:hAnsi="Arial;sans-serif"/>
          <w:b w:val="false"/>
          <w:color w:val="52575F"/>
          <w:sz w:val="16"/>
        </w:rPr>
        <w:t>1.The equity compensation plans approved by security holders are described in Note 10 to our financial statements included in our Annual Report on Form 10-K for the fiscal year ended December 31, 2024.</w:t>
      </w:r>
    </w:p>
    <w:p>
      <w:pPr>
        <w:pStyle w:val="TextBody"/>
        <w:bidi w:val="0"/>
        <w:spacing w:lineRule="auto" w:line="288" w:before="0" w:after="120"/>
        <w:ind w:left="0" w:right="0" w:hanging="360"/>
        <w:jc w:val="left"/>
        <w:rPr>
          <w:rFonts w:ascii="Arial;sans-serif" w:hAnsi="Arial;sans-serif"/>
          <w:b w:val="false"/>
          <w:color w:val="52575F"/>
          <w:sz w:val="16"/>
        </w:rPr>
      </w:pPr>
      <w:r>
        <w:rPr>
          <w:rFonts w:ascii="Arial;sans-serif" w:hAnsi="Arial;sans-serif"/>
          <w:b w:val="false"/>
          <w:color w:val="52575F"/>
          <w:sz w:val="16"/>
        </w:rPr>
        <w:t>2.The weighted-average exercise price includes 2,495,181 shares issuable upon vesting of outstanding awards of restricted stock units and performance-based restricted stock unit awards, which have no exercise price. Excluding these awards of restricted stock units, the weighted-average exercise price would be $10.98.</w:t>
      </w:r>
    </w:p>
    <w:p>
      <w:pPr>
        <w:pStyle w:val="TextBody"/>
        <w:bidi w:val="0"/>
        <w:spacing w:lineRule="auto" w:line="288" w:before="0" w:after="120"/>
        <w:ind w:left="0" w:right="0" w:hanging="360"/>
        <w:jc w:val="left"/>
        <w:rPr>
          <w:rFonts w:ascii="Arial;sans-serif" w:hAnsi="Arial;sans-serif"/>
          <w:b w:val="false"/>
          <w:color w:val="52575F"/>
          <w:sz w:val="16"/>
        </w:rPr>
      </w:pPr>
      <w:r>
        <w:rPr>
          <w:rFonts w:ascii="Arial;sans-serif" w:hAnsi="Arial;sans-serif"/>
          <w:b w:val="false"/>
          <w:color w:val="52575F"/>
          <w:sz w:val="16"/>
        </w:rPr>
        <w:t>3.Includes 5,208,332 and 1,802,295 shares of common stock available for issuance under the 2018 Equity Incentive Plan, or the 2018 Plan, and the 2018 Employee Stock Purchase Plan, or the ESPP, respectively, as of December 31, 2024. The shares issuable pursuant to our ESPP are not included in the number of shares to be issued pursuant to rights outstanding and the weighted-average exercise price of such rights as of December 31, 2024, as those numbers are not known.</w:t>
      </w:r>
    </w:p>
    <w:p>
      <w:pPr>
        <w:pStyle w:val="TextBody"/>
        <w:bidi w:val="0"/>
        <w:spacing w:lineRule="auto" w:line="288" w:before="0" w:after="300"/>
        <w:ind w:left="0" w:right="0" w:hanging="360"/>
        <w:jc w:val="left"/>
        <w:rPr>
          <w:rFonts w:ascii="Arial;sans-serif" w:hAnsi="Arial;sans-serif"/>
          <w:b w:val="false"/>
          <w:color w:val="52575F"/>
          <w:sz w:val="16"/>
        </w:rPr>
      </w:pPr>
      <w:r>
        <w:rPr>
          <w:rFonts w:ascii="Arial;sans-serif" w:hAnsi="Arial;sans-serif"/>
          <w:b w:val="false"/>
          <w:color w:val="52575F"/>
          <w:sz w:val="16"/>
        </w:rPr>
        <w:t>4.The reserve for shares available under the 2018 Plan automatically increases on January 1st each year, through and including January 1, 2028, in an amount equal to 5% of the total number of shares of our capital stock outstanding on the last day of the preceding fiscal year, or a lesser number of shares as determined by the Board of Directors. The reserve for shares available under the ESPP automatically increases on January 1st of each year through and including January 1, 2028, in an amount equal to the lesser of (i) 1% of the total number of shares of common stock outstanding on such December 31, (ii) 555,000 shares of common stock, or (iii) a number of shares as determined by the Board prior to the beginning of each year.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80"/>
        <w:jc w:val="left"/>
        <w:rPr>
          <w:rFonts w:ascii="Arial;sans-serif" w:hAnsi="Arial;sans-serif"/>
          <w:b w:val="false"/>
          <w:color w:val="000000"/>
          <w:sz w:val="24"/>
        </w:rPr>
      </w:pPr>
      <w:r>
        <w:rPr>
          <w:rFonts w:ascii="Arial;sans-serif" w:hAnsi="Arial;sans-serif"/>
          <w:b w:val="false"/>
          <w:color w:val="000000"/>
          <w:sz w:val="24"/>
        </w:rPr>
        <w:t>NON-EMPLOYEE DIRECTOR COMPENSATION POLICY</w:t>
      </w:r>
    </w:p>
    <w:p>
      <w:pPr>
        <w:pStyle w:val="TextBody"/>
        <w:bidi w:val="0"/>
        <w:spacing w:lineRule="auto" w:line="312" w:before="0" w:after="180"/>
        <w:jc w:val="left"/>
        <w:rPr>
          <w:rFonts w:ascii="Arial;sans-serif" w:hAnsi="Arial;sans-serif"/>
          <w:b w:val="false"/>
          <w:color w:val="000000"/>
          <w:sz w:val="18"/>
        </w:rPr>
      </w:pPr>
      <w:r>
        <w:rPr>
          <w:rFonts w:ascii="Arial;sans-serif" w:hAnsi="Arial;sans-serif"/>
          <w:b w:val="false"/>
          <w:color w:val="000000"/>
          <w:sz w:val="18"/>
        </w:rPr>
        <w:t>We have adopted a non-employee director compensation policy, pursuant to which our non-employee directors will be eligible to receive cash compensation for service on our Board and committees of our Board.</w:t>
      </w:r>
    </w:p>
    <w:p>
      <w:pPr>
        <w:pStyle w:val="TextBody"/>
        <w:bidi w:val="0"/>
        <w:spacing w:lineRule="auto" w:line="312" w:before="0" w:after="180"/>
        <w:jc w:val="left"/>
        <w:rPr>
          <w:rFonts w:ascii="Arial;sans-serif" w:hAnsi="Arial;sans-serif"/>
          <w:b w:val="false"/>
          <w:color w:val="000000"/>
          <w:sz w:val="18"/>
        </w:rPr>
      </w:pPr>
      <w:r>
        <w:rPr>
          <w:rFonts w:ascii="Arial;sans-serif" w:hAnsi="Arial;sans-serif"/>
          <w:b w:val="false"/>
          <w:color w:val="000000"/>
          <w:sz w:val="18"/>
        </w:rPr>
        <w:t>Each non-employee director receives an annual cash retainer of $45,000 for serving on our Board.</w:t>
      </w:r>
    </w:p>
    <w:p>
      <w:pPr>
        <w:pStyle w:val="TextBody"/>
        <w:bidi w:val="0"/>
        <w:spacing w:lineRule="auto" w:line="312" w:before="0" w:after="180"/>
        <w:jc w:val="left"/>
        <w:rPr>
          <w:rFonts w:ascii="Arial;sans-serif" w:hAnsi="Arial;sans-serif"/>
          <w:b w:val="false"/>
          <w:color w:val="000000"/>
          <w:sz w:val="18"/>
        </w:rPr>
      </w:pPr>
      <w:r>
        <w:rPr>
          <w:rFonts w:ascii="Arial;sans-serif" w:hAnsi="Arial;sans-serif"/>
          <w:b w:val="false"/>
          <w:color w:val="000000"/>
          <w:sz w:val="18"/>
        </w:rPr>
        <w:t>The chairperson and members of the three committees of our Board are entitled to the following annual cash retainers:</w:t>
      </w:r>
    </w:p>
    <w:tbl>
      <w:tblPr>
        <w:tblW w:w="6703" w:type="dxa"/>
        <w:jc w:val="left"/>
        <w:tblInd w:w="0" w:type="dxa"/>
        <w:tblLayout w:type="fixed"/>
        <w:tblCellMar>
          <w:top w:w="28" w:type="dxa"/>
          <w:left w:w="28" w:type="dxa"/>
          <w:bottom w:w="28" w:type="dxa"/>
          <w:right w:w="28" w:type="dxa"/>
        </w:tblCellMar>
      </w:tblPr>
      <w:tblGrid>
        <w:gridCol w:w="1398"/>
        <w:gridCol w:w="1224"/>
        <w:gridCol w:w="1232"/>
        <w:gridCol w:w="470"/>
        <w:gridCol w:w="470"/>
        <w:gridCol w:w="471"/>
        <w:gridCol w:w="355"/>
        <w:gridCol w:w="355"/>
        <w:gridCol w:w="356"/>
        <w:gridCol w:w="109"/>
        <w:gridCol w:w="109"/>
        <w:gridCol w:w="154"/>
      </w:tblGrid>
      <w:tr>
        <w:trPr/>
        <w:tc>
          <w:tcPr>
            <w:tcW w:w="1398" w:type="dxa"/>
            <w:tcBorders/>
            <w:vAlign w:val="center"/>
          </w:tcPr>
          <w:p>
            <w:pPr>
              <w:pStyle w:val="TableContents"/>
              <w:bidi w:val="0"/>
              <w:spacing w:before="0" w:after="283"/>
              <w:jc w:val="left"/>
              <w:rPr>
                <w:sz w:val="4"/>
                <w:szCs w:val="4"/>
              </w:rPr>
            </w:pPr>
            <w:r>
              <w:rPr>
                <w:sz w:val="4"/>
                <w:szCs w:val="4"/>
              </w:rPr>
            </w:r>
          </w:p>
        </w:tc>
        <w:tc>
          <w:tcPr>
            <w:tcW w:w="1224" w:type="dxa"/>
            <w:tcBorders/>
            <w:vAlign w:val="center"/>
          </w:tcPr>
          <w:p>
            <w:pPr>
              <w:pStyle w:val="TableContents"/>
              <w:bidi w:val="0"/>
              <w:spacing w:before="0" w:after="283"/>
              <w:jc w:val="left"/>
              <w:rPr>
                <w:sz w:val="4"/>
                <w:szCs w:val="4"/>
              </w:rPr>
            </w:pPr>
            <w:r>
              <w:rPr>
                <w:sz w:val="4"/>
                <w:szCs w:val="4"/>
              </w:rPr>
            </w:r>
          </w:p>
        </w:tc>
        <w:tc>
          <w:tcPr>
            <w:tcW w:w="1232"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5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6"/>
              </w:rPr>
            </w:pPr>
            <w:r>
              <w:rPr>
                <w:rFonts w:ascii="Arial;sans-serif" w:hAnsi="Arial;sans-serif"/>
                <w:b/>
                <w:color w:val="000000"/>
                <w:sz w:val="16"/>
              </w:rPr>
              <w:t>Board Committee</w:t>
            </w:r>
          </w:p>
        </w:tc>
        <w:tc>
          <w:tcPr>
            <w:tcW w:w="1411"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6"/>
              </w:rPr>
            </w:pPr>
            <w:r>
              <w:rPr>
                <w:rFonts w:ascii="Arial;sans-serif" w:hAnsi="Arial;sans-serif"/>
                <w:b/>
                <w:color w:val="000000"/>
                <w:sz w:val="16"/>
              </w:rPr>
              <w:t>Chairperson Fee</w:t>
              <w:br/>
              <w:t>($)</w:t>
            </w:r>
          </w:p>
        </w:tc>
        <w:tc>
          <w:tcPr>
            <w:tcW w:w="1066"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6"/>
              </w:rPr>
            </w:pPr>
            <w:r>
              <w:rPr>
                <w:rFonts w:ascii="Arial;sans-serif" w:hAnsi="Arial;sans-serif"/>
                <w:b/>
                <w:color w:val="000000"/>
                <w:sz w:val="16"/>
              </w:rPr>
              <w:t>Member Fee</w:t>
              <w:br/>
              <w:t>($)</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4" w:type="dxa"/>
            <w:gridSpan w:val="3"/>
            <w:tcBorders/>
            <w:shd w:fill="EDEDEE"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 xml:space="preserve">Audit Committee </w:t>
            </w:r>
          </w:p>
        </w:tc>
        <w:tc>
          <w:tcPr>
            <w:tcW w:w="940" w:type="dxa"/>
            <w:gridSpan w:val="2"/>
            <w:tcBorders/>
            <w:shd w:fill="EDEDEE"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20,000 </w:t>
            </w:r>
          </w:p>
        </w:tc>
        <w:tc>
          <w:tcPr>
            <w:tcW w:w="471"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 w:type="dxa"/>
            <w:gridSpan w:val="2"/>
            <w:tcBorders/>
            <w:shd w:fill="EDEDEE"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10,000 </w:t>
            </w:r>
          </w:p>
        </w:tc>
        <w:tc>
          <w:tcPr>
            <w:tcW w:w="356"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 xml:space="preserve">Compensation Committee </w:t>
            </w:r>
          </w:p>
        </w:tc>
        <w:tc>
          <w:tcPr>
            <w:tcW w:w="141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15,000</w:t>
            </w:r>
          </w:p>
        </w:tc>
        <w:tc>
          <w:tcPr>
            <w:tcW w:w="106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7,000</w:t>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4" w:type="dxa"/>
            <w:gridSpan w:val="3"/>
            <w:tcBorders/>
            <w:shd w:fill="EDEDEE"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 xml:space="preserve">Nominating and Corporate Governance Committee </w:t>
            </w:r>
          </w:p>
        </w:tc>
        <w:tc>
          <w:tcPr>
            <w:tcW w:w="1411" w:type="dxa"/>
            <w:gridSpan w:val="3"/>
            <w:tcBorders/>
            <w:shd w:fill="EDEDEE"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10,000</w:t>
            </w:r>
          </w:p>
        </w:tc>
        <w:tc>
          <w:tcPr>
            <w:tcW w:w="1066" w:type="dxa"/>
            <w:gridSpan w:val="3"/>
            <w:tcBorders/>
            <w:shd w:fill="EDEDEE"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5,000</w:t>
            </w:r>
          </w:p>
        </w:tc>
        <w:tc>
          <w:tcPr>
            <w:tcW w:w="372"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Lead Independent Director</w:t>
            </w:r>
          </w:p>
        </w:tc>
        <w:tc>
          <w:tcPr>
            <w:tcW w:w="141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5,000</w:t>
            </w:r>
          </w:p>
        </w:tc>
        <w:tc>
          <w:tcPr>
            <w:tcW w:w="71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4" w:type="dxa"/>
            <w:gridSpan w:val="3"/>
            <w:tcBorders>
              <w:bottom w:val="single" w:sz="12" w:space="0" w:color="74A333"/>
            </w:tcBorders>
            <w:shd w:fill="EDEDEE" w:val="clear"/>
            <w:tcMar>
              <w:top w:w="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Chair of the Board</w:t>
            </w:r>
          </w:p>
        </w:tc>
        <w:tc>
          <w:tcPr>
            <w:tcW w:w="1411" w:type="dxa"/>
            <w:gridSpan w:val="3"/>
            <w:tcBorders>
              <w:bottom w:val="single" w:sz="12" w:space="0" w:color="74A333"/>
            </w:tcBorders>
            <w:shd w:fill="EDEDEE" w:val="clear"/>
            <w:tcMar>
              <w:top w:w="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45,000</w:t>
            </w:r>
          </w:p>
        </w:tc>
        <w:tc>
          <w:tcPr>
            <w:tcW w:w="710" w:type="dxa"/>
            <w:gridSpan w:val="2"/>
            <w:tcBorders>
              <w:bottom w:val="single" w:sz="12" w:space="0" w:color="74A333"/>
            </w:tcBorders>
            <w:shd w:fill="EDEDEE" w:val="clear"/>
            <w:tcMar>
              <w:top w:w="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356" w:type="dxa"/>
            <w:tcBorders>
              <w:bottom w:val="single" w:sz="12" w:space="0" w:color="74A333"/>
            </w:tcBorders>
            <w:shd w:fill="EDEDEE"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bottom w:val="single" w:sz="12" w:space="0" w:color="74A333"/>
            </w:tcBorders>
            <w:shd w:fill="EDEDEE"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12" w:before="0" w:after="180"/>
        <w:jc w:val="left"/>
        <w:rPr>
          <w:rFonts w:ascii="Arial;sans-serif" w:hAnsi="Arial;sans-serif"/>
          <w:b w:val="false"/>
          <w:color w:val="000000"/>
          <w:sz w:val="18"/>
        </w:rPr>
      </w:pPr>
      <w:r>
        <w:rPr>
          <w:rFonts w:ascii="Arial;sans-serif" w:hAnsi="Arial;sans-serif"/>
          <w:b w:val="false"/>
          <w:color w:val="000000"/>
          <w:sz w:val="18"/>
        </w:rPr>
        <w:t>All annual cash compensation amounts are payable in equal quarterly installments in arrears, on the last day of each fiscal quarter for which the service occurred, pro-rated based on the days served in the applicable fiscal quarter.</w:t>
      </w:r>
    </w:p>
    <w:p>
      <w:pPr>
        <w:pStyle w:val="TextBody"/>
        <w:bidi w:val="0"/>
        <w:spacing w:lineRule="auto" w:line="312" w:before="0" w:after="180"/>
        <w:jc w:val="left"/>
        <w:rPr>
          <w:rFonts w:ascii="Arial;sans-serif" w:hAnsi="Arial;sans-serif"/>
          <w:b w:val="false"/>
          <w:color w:val="000000"/>
          <w:sz w:val="18"/>
        </w:rPr>
      </w:pPr>
      <w:r>
        <w:rPr>
          <w:rFonts w:ascii="Arial;sans-serif" w:hAnsi="Arial;sans-serif"/>
          <w:b w:val="false"/>
          <w:color w:val="000000"/>
          <w:sz w:val="18"/>
        </w:rPr>
        <w:t>Each new non-employee director who joins our Board will receive a restricted stock unit award with a value of $250,000. The shares subject to these equity awards will vest ratably over 36 months, subject to the non-employee director’s continuous service with us on each applicable vesting date.</w:t>
      </w:r>
    </w:p>
    <w:p>
      <w:pPr>
        <w:pStyle w:val="TextBody"/>
        <w:bidi w:val="0"/>
        <w:spacing w:lineRule="auto" w:line="312" w:before="0" w:after="180"/>
        <w:jc w:val="left"/>
        <w:rPr>
          <w:rFonts w:ascii="Arial;sans-serif" w:hAnsi="Arial;sans-serif"/>
          <w:b w:val="false"/>
          <w:color w:val="000000"/>
          <w:sz w:val="18"/>
        </w:rPr>
      </w:pPr>
      <w:r>
        <w:rPr>
          <w:rFonts w:ascii="Arial;sans-serif" w:hAnsi="Arial;sans-serif"/>
          <w:b w:val="false"/>
          <w:color w:val="000000"/>
          <w:sz w:val="18"/>
        </w:rPr>
        <w:t>In addition, under the policy, on the date of each annual meeting of our stockholders, each continuing non-employee director may receive a restricted stock unit award with a value of $120,000, vesting approximately one year from the grant date, subject to the non-employee director’s continuous service with us on each applicable vesting date.</w:t>
      </w:r>
    </w:p>
    <w:p>
      <w:pPr>
        <w:pStyle w:val="TextBody"/>
        <w:bidi w:val="0"/>
        <w:spacing w:lineRule="auto" w:line="312" w:before="0" w:after="180"/>
        <w:jc w:val="left"/>
        <w:rPr>
          <w:rFonts w:ascii="Arial;sans-serif" w:hAnsi="Arial;sans-serif"/>
          <w:b w:val="false"/>
          <w:color w:val="000000"/>
          <w:sz w:val="18"/>
        </w:rPr>
      </w:pPr>
      <w:r>
        <w:rPr>
          <w:rFonts w:ascii="Arial;sans-serif" w:hAnsi="Arial;sans-serif"/>
          <w:b w:val="false"/>
          <w:color w:val="000000"/>
          <w:sz w:val="18"/>
        </w:rPr>
        <w:t>In the event of a change of control (as defined in the 2018 Plan), any unvested shares subject to these equity awards will fully vest and, in the case of stock options become exercisable, immediately prior to the effective date of such change of control, subject to the non-employee director’s continuous service with us on the effective date of the change of control.</w:t>
      </w:r>
    </w:p>
    <w:p>
      <w:pPr>
        <w:pStyle w:val="TextBody"/>
        <w:bidi w:val="0"/>
        <w:spacing w:lineRule="auto" w:line="312" w:before="0" w:after="120"/>
        <w:jc w:val="left"/>
        <w:rPr>
          <w:rFonts w:ascii="Arial;sans-serif" w:hAnsi="Arial;sans-serif"/>
          <w:b/>
          <w:color w:val="74A333"/>
          <w:sz w:val="18"/>
        </w:rPr>
      </w:pPr>
      <w:r>
        <w:rPr>
          <w:rFonts w:ascii="Arial;sans-serif" w:hAnsi="Arial;sans-serif"/>
          <w:b/>
          <w:color w:val="74A333"/>
          <w:sz w:val="18"/>
        </w:rPr>
        <w:t>Compensation of Executive Chair</w:t>
      </w:r>
    </w:p>
    <w:p>
      <w:pPr>
        <w:pStyle w:val="TextBody"/>
        <w:bidi w:val="0"/>
        <w:spacing w:lineRule="auto" w:line="312" w:before="0" w:after="180"/>
        <w:jc w:val="left"/>
        <w:rPr>
          <w:rFonts w:ascii="Arial;sans-serif" w:hAnsi="Arial;sans-serif"/>
          <w:b w:val="false"/>
          <w:color w:val="000000"/>
          <w:sz w:val="18"/>
        </w:rPr>
      </w:pPr>
      <w:r>
        <w:rPr>
          <w:rFonts w:ascii="Arial;sans-serif" w:hAnsi="Arial;sans-serif"/>
          <w:b w:val="false"/>
          <w:color w:val="000000"/>
          <w:sz w:val="18"/>
        </w:rPr>
        <w:t xml:space="preserve">On May 1, 2023, Jeffrey Dunn became our Chair of the Board and was compensated according to our non-employee director compensation policy described below. Prior to May 1, 2023, Jeffrey Dunn served as our Executive Chairman, pursuant to the Amendment dated January 5, 2021 to the Offer Letter Agreement dated December 15, 2009 and the Severance Plan Participation (the "Executive Chairman Agreement"). Pursuant to the Executive Chairman Agreement, Mr. Dunn devoted 50% of his business time to the affairs of the company, including leadership of our Board, and was paid a salary equal to approximately 50% of his salary effective immediately prior to his transition from Chief Executive Officer of the company to Executive Chair of the company in April 2021. In addition, in January 2023, our Compensation Committee approved the grant </w:t>
      </w:r>
    </w:p>
    <w:p>
      <w:pPr>
        <w:pStyle w:val="TextBody"/>
        <w:bidi w:val="0"/>
        <w:spacing w:lineRule="auto" w:line="312" w:before="0" w:after="180"/>
        <w:jc w:val="left"/>
        <w:rPr>
          <w:rFonts w:ascii="Arial;sans-serif" w:hAnsi="Arial;sans-serif"/>
          <w:b w:val="false"/>
          <w:color w:val="000000"/>
          <w:sz w:val="18"/>
        </w:rPr>
      </w:pPr>
      <w:r>
        <w:rPr>
          <w:rFonts w:ascii="Arial;sans-serif" w:hAnsi="Arial;sans-serif"/>
          <w:b w:val="false"/>
          <w:color w:val="000000"/>
          <w:sz w:val="18"/>
        </w:rPr>
        <w:t xml:space="preserve">of a restricted stock unit to Mr. Dunn, vesting quarterly over the four years following the date of grant. Mr. Dunn was also eligible to participate in our annual Corporate Bonus Plan in 2023, with a target bonus amount of 100% of the salary earned in the same period, with achievement based on corporate performance, consistent with our Named Executive Officers.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80"/>
        <w:jc w:val="left"/>
        <w:rPr>
          <w:rFonts w:ascii="Arial;sans-serif" w:hAnsi="Arial;sans-serif"/>
          <w:b w:val="false"/>
          <w:color w:val="000000"/>
          <w:sz w:val="24"/>
        </w:rPr>
      </w:pPr>
      <w:r>
        <w:rPr>
          <w:rFonts w:ascii="Arial;sans-serif" w:hAnsi="Arial;sans-serif"/>
          <w:b w:val="false"/>
          <w:color w:val="000000"/>
          <w:sz w:val="24"/>
        </w:rPr>
        <w:t>PAY VERSUS PERFORMANCE</w:t>
      </w:r>
    </w:p>
    <w:p>
      <w:pPr>
        <w:pStyle w:val="TextBody"/>
        <w:bidi w:val="0"/>
        <w:spacing w:lineRule="auto" w:line="312" w:before="0" w:after="180"/>
        <w:jc w:val="left"/>
        <w:rPr>
          <w:rFonts w:ascii="Arial;sans-serif" w:hAnsi="Arial;sans-serif"/>
          <w:b w:val="false"/>
          <w:color w:val="000000"/>
          <w:sz w:val="18"/>
        </w:rPr>
      </w:pPr>
      <w:r>
        <w:rPr>
          <w:rFonts w:ascii="Arial;sans-serif" w:hAnsi="Arial;sans-serif"/>
          <w:b w:val="false"/>
          <w:color w:val="000000"/>
          <w:sz w:val="18"/>
        </w:rPr>
        <w:t>The compensation actually paid disclosed below for our Principal Executive Officer (“PEO”) and the average of our non-PEO Named Executive Officers “Non-PEO NEOs” was calculated in accordance with the requirements of Item 402(v) of Regulation S-K. The compensation actually paid figures presented in the table below incorporate total executive compensation as reported in the Summary Compensation Table adjusted for changes in the fair value of equity awards (we do not have any pension benefits). Accordingly, compensation actually paid does not equate to the amount that is actually paid to any executive in a given year and is merely a measurement determined by the SEC in an effort to identify the relationship between executive compensation and our financial performance.</w:t>
      </w:r>
    </w:p>
    <w:p>
      <w:pPr>
        <w:pStyle w:val="TextBody"/>
        <w:bidi w:val="0"/>
        <w:spacing w:lineRule="auto" w:line="312" w:before="0" w:after="180"/>
        <w:jc w:val="left"/>
        <w:rPr>
          <w:rFonts w:ascii="Arial;sans-serif" w:hAnsi="Arial;sans-serif"/>
          <w:b w:val="false"/>
          <w:color w:val="000000"/>
          <w:sz w:val="18"/>
        </w:rPr>
      </w:pPr>
      <w:r>
        <w:rPr>
          <w:rFonts w:ascii="Arial;sans-serif" w:hAnsi="Arial;sans-serif"/>
          <w:b w:val="false"/>
          <w:color w:val="000000"/>
          <w:sz w:val="18"/>
        </w:rPr>
        <w:t>The following table sets forth the compensation actually paid to our PEO and average of our Non-PEO NEOs, serving in such capacity, along with certain measures of our performance in each of the five years ended December 31, 2024, December 31, 2023, December 31, 2022, December 31, 2021, and December 31, 2020:</w:t>
      </w:r>
    </w:p>
    <w:tbl>
      <w:tblPr>
        <w:tblW w:w="10435" w:type="dxa"/>
        <w:jc w:val="left"/>
        <w:tblInd w:w="0" w:type="dxa"/>
        <w:tblLayout w:type="fixed"/>
        <w:tblCellMar>
          <w:top w:w="28" w:type="dxa"/>
          <w:left w:w="28" w:type="dxa"/>
          <w:bottom w:w="28" w:type="dxa"/>
          <w:right w:w="28" w:type="dxa"/>
        </w:tblCellMar>
      </w:tblPr>
      <w:tblGrid>
        <w:gridCol w:w="152"/>
        <w:gridCol w:w="134"/>
        <w:gridCol w:w="135"/>
        <w:gridCol w:w="431"/>
        <w:gridCol w:w="335"/>
        <w:gridCol w:w="336"/>
        <w:gridCol w:w="431"/>
        <w:gridCol w:w="335"/>
        <w:gridCol w:w="336"/>
        <w:gridCol w:w="431"/>
        <w:gridCol w:w="335"/>
        <w:gridCol w:w="336"/>
        <w:gridCol w:w="431"/>
        <w:gridCol w:w="335"/>
        <w:gridCol w:w="336"/>
        <w:gridCol w:w="431"/>
        <w:gridCol w:w="335"/>
        <w:gridCol w:w="336"/>
        <w:gridCol w:w="431"/>
        <w:gridCol w:w="335"/>
        <w:gridCol w:w="336"/>
        <w:gridCol w:w="539"/>
        <w:gridCol w:w="212"/>
        <w:gridCol w:w="135"/>
        <w:gridCol w:w="539"/>
        <w:gridCol w:w="211"/>
        <w:gridCol w:w="136"/>
        <w:gridCol w:w="231"/>
        <w:gridCol w:w="190"/>
        <w:gridCol w:w="191"/>
        <w:gridCol w:w="215"/>
        <w:gridCol w:w="215"/>
        <w:gridCol w:w="216"/>
        <w:gridCol w:w="109"/>
        <w:gridCol w:w="109"/>
        <w:gridCol w:w="154"/>
      </w:tblGrid>
      <w:tr>
        <w:trPr/>
        <w:tc>
          <w:tcPr>
            <w:tcW w:w="152"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1"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3"/>
              </w:rPr>
            </w:pPr>
            <w:r>
              <w:rPr>
                <w:rFonts w:ascii="Arial;sans-serif" w:hAnsi="Arial;sans-serif"/>
                <w:b/>
                <w:color w:val="000000"/>
                <w:sz w:val="13"/>
              </w:rPr>
              <w:t>Year</w:t>
            </w:r>
          </w:p>
        </w:tc>
        <w:tc>
          <w:tcPr>
            <w:tcW w:w="1102" w:type="dxa"/>
            <w:gridSpan w:val="3"/>
            <w:vMerge w:val="restart"/>
            <w:tcBorders/>
            <w:tcMar>
              <w:top w:w="0" w:type="dxa"/>
              <w:left w:w="0" w:type="dxa"/>
              <w:bottom w:w="0" w:type="dxa"/>
              <w:right w:w="0" w:type="dxa"/>
            </w:tcMar>
            <w:vAlign w:val="center"/>
          </w:tcPr>
          <w:p>
            <w:pPr>
              <w:pStyle w:val="TableContents"/>
              <w:bidi w:val="0"/>
              <w:spacing w:lineRule="auto" w:line="288" w:before="0" w:after="0"/>
              <w:jc w:val="right"/>
              <w:rPr/>
            </w:pPr>
            <w:r>
              <w:rPr>
                <w:rFonts w:ascii="Arial;sans-serif" w:hAnsi="Arial;sans-serif"/>
                <w:b/>
                <w:color w:val="000000"/>
                <w:sz w:val="13"/>
              </w:rPr>
              <w:t>Summary Compensation Table Total for PEO#1</w:t>
            </w:r>
            <w:r>
              <w:rPr>
                <w:rFonts w:ascii="Arial;sans-serif" w:hAnsi="Arial;sans-serif"/>
                <w:b/>
                <w:color w:val="000000"/>
                <w:sz w:val="8"/>
              </w:rPr>
              <w:t>(1)</w:t>
            </w:r>
          </w:p>
          <w:p>
            <w:pPr>
              <w:pStyle w:val="TableContents"/>
              <w:bidi w:val="0"/>
              <w:spacing w:lineRule="auto" w:line="288" w:before="0" w:after="0"/>
              <w:jc w:val="right"/>
              <w:rPr>
                <w:rFonts w:ascii="Arial;sans-serif" w:hAnsi="Arial;sans-serif"/>
                <w:b/>
                <w:color w:val="000000"/>
                <w:sz w:val="13"/>
              </w:rPr>
            </w:pPr>
            <w:r>
              <w:rPr>
                <w:rFonts w:ascii="Arial;sans-serif" w:hAnsi="Arial;sans-serif"/>
                <w:b/>
                <w:color w:val="000000"/>
                <w:sz w:val="13"/>
              </w:rPr>
              <w:t>($)</w:t>
            </w:r>
          </w:p>
        </w:tc>
        <w:tc>
          <w:tcPr>
            <w:tcW w:w="1102" w:type="dxa"/>
            <w:gridSpan w:val="3"/>
            <w:vMerge w:val="restart"/>
            <w:tcBorders/>
            <w:tcMar>
              <w:top w:w="0" w:type="dxa"/>
              <w:left w:w="0" w:type="dxa"/>
              <w:bottom w:w="0" w:type="dxa"/>
              <w:right w:w="0" w:type="dxa"/>
            </w:tcMar>
            <w:vAlign w:val="center"/>
          </w:tcPr>
          <w:p>
            <w:pPr>
              <w:pStyle w:val="TableContents"/>
              <w:bidi w:val="0"/>
              <w:spacing w:lineRule="auto" w:line="288" w:before="0" w:after="0"/>
              <w:jc w:val="right"/>
              <w:rPr>
                <w:rFonts w:ascii="Arial;sans-serif" w:hAnsi="Arial;sans-serif"/>
                <w:b/>
                <w:color w:val="000000"/>
                <w:sz w:val="13"/>
              </w:rPr>
            </w:pPr>
            <w:r>
              <w:rPr>
                <w:rFonts w:ascii="Arial;sans-serif" w:hAnsi="Arial;sans-serif"/>
                <w:b/>
                <w:color w:val="000000"/>
                <w:sz w:val="13"/>
              </w:rPr>
              <w:t>Compensation Actually Paid to PEO#1</w:t>
            </w:r>
          </w:p>
          <w:p>
            <w:pPr>
              <w:pStyle w:val="TableContents"/>
              <w:bidi w:val="0"/>
              <w:spacing w:lineRule="auto" w:line="288" w:before="0" w:after="0"/>
              <w:jc w:val="right"/>
              <w:rPr>
                <w:rFonts w:ascii="Arial;sans-serif" w:hAnsi="Arial;sans-serif"/>
                <w:b/>
                <w:color w:val="000000"/>
                <w:sz w:val="13"/>
              </w:rPr>
            </w:pPr>
            <w:r>
              <w:rPr>
                <w:rFonts w:ascii="Arial;sans-serif" w:hAnsi="Arial;sans-serif"/>
                <w:b/>
                <w:color w:val="000000"/>
                <w:sz w:val="13"/>
              </w:rPr>
              <w:t>($)</w:t>
            </w:r>
          </w:p>
        </w:tc>
        <w:tc>
          <w:tcPr>
            <w:tcW w:w="1102" w:type="dxa"/>
            <w:gridSpan w:val="3"/>
            <w:vMerge w:val="restart"/>
            <w:tcBorders/>
            <w:tcMar>
              <w:top w:w="0" w:type="dxa"/>
              <w:left w:w="0" w:type="dxa"/>
              <w:bottom w:w="0" w:type="dxa"/>
              <w:right w:w="0" w:type="dxa"/>
            </w:tcMar>
            <w:vAlign w:val="center"/>
          </w:tcPr>
          <w:p>
            <w:pPr>
              <w:pStyle w:val="TableContents"/>
              <w:bidi w:val="0"/>
              <w:spacing w:lineRule="auto" w:line="288" w:before="0" w:after="0"/>
              <w:jc w:val="right"/>
              <w:rPr/>
            </w:pPr>
            <w:r>
              <w:rPr>
                <w:rFonts w:ascii="Arial;sans-serif" w:hAnsi="Arial;sans-serif"/>
                <w:b/>
                <w:color w:val="000000"/>
                <w:sz w:val="13"/>
              </w:rPr>
              <w:t>Summary Compensation Table Total for PEO#2</w:t>
            </w:r>
            <w:r>
              <w:rPr>
                <w:rFonts w:ascii="Arial;sans-serif" w:hAnsi="Arial;sans-serif"/>
                <w:b/>
                <w:color w:val="000000"/>
                <w:sz w:val="8"/>
              </w:rPr>
              <w:t>(2)</w:t>
            </w:r>
          </w:p>
          <w:p>
            <w:pPr>
              <w:pStyle w:val="TableContents"/>
              <w:bidi w:val="0"/>
              <w:spacing w:lineRule="auto" w:line="288" w:before="0" w:after="0"/>
              <w:jc w:val="right"/>
              <w:rPr>
                <w:rFonts w:ascii="Arial;sans-serif" w:hAnsi="Arial;sans-serif"/>
                <w:b/>
                <w:color w:val="000000"/>
                <w:sz w:val="13"/>
              </w:rPr>
            </w:pPr>
            <w:r>
              <w:rPr>
                <w:rFonts w:ascii="Arial;sans-serif" w:hAnsi="Arial;sans-serif"/>
                <w:b/>
                <w:color w:val="000000"/>
                <w:sz w:val="13"/>
              </w:rPr>
              <w:t>($)</w:t>
            </w:r>
          </w:p>
        </w:tc>
        <w:tc>
          <w:tcPr>
            <w:tcW w:w="1102" w:type="dxa"/>
            <w:gridSpan w:val="3"/>
            <w:vMerge w:val="restart"/>
            <w:tcBorders/>
            <w:tcMar>
              <w:top w:w="0" w:type="dxa"/>
              <w:left w:w="0" w:type="dxa"/>
              <w:bottom w:w="0" w:type="dxa"/>
              <w:right w:w="0" w:type="dxa"/>
            </w:tcMar>
            <w:vAlign w:val="center"/>
          </w:tcPr>
          <w:p>
            <w:pPr>
              <w:pStyle w:val="TableContents"/>
              <w:bidi w:val="0"/>
              <w:spacing w:lineRule="auto" w:line="288" w:before="0" w:after="0"/>
              <w:jc w:val="right"/>
              <w:rPr>
                <w:rFonts w:ascii="Arial;sans-serif" w:hAnsi="Arial;sans-serif"/>
                <w:b/>
                <w:color w:val="000000"/>
                <w:sz w:val="13"/>
              </w:rPr>
            </w:pPr>
            <w:r>
              <w:rPr>
                <w:rFonts w:ascii="Arial;sans-serif" w:hAnsi="Arial;sans-serif"/>
                <w:b/>
                <w:color w:val="000000"/>
                <w:sz w:val="13"/>
              </w:rPr>
              <w:t>Compensation Actually Paid</w:t>
            </w:r>
          </w:p>
          <w:p>
            <w:pPr>
              <w:pStyle w:val="TableContents"/>
              <w:bidi w:val="0"/>
              <w:spacing w:lineRule="auto" w:line="288" w:before="0" w:after="0"/>
              <w:jc w:val="right"/>
              <w:rPr/>
            </w:pPr>
            <w:r>
              <w:rPr>
                <w:color w:val="000000"/>
              </w:rPr>
              <w:t> </w:t>
            </w:r>
            <w:r>
              <w:rPr>
                <w:rFonts w:ascii="Arial;sans-serif" w:hAnsi="Arial;sans-serif"/>
                <w:b/>
                <w:color w:val="000000"/>
                <w:sz w:val="13"/>
              </w:rPr>
              <w:t>to PEO#2</w:t>
            </w:r>
            <w:r>
              <w:rPr>
                <w:rFonts w:ascii="Arial;sans-serif" w:hAnsi="Arial;sans-serif"/>
                <w:b/>
                <w:color w:val="000000"/>
                <w:sz w:val="8"/>
              </w:rPr>
              <w:t>(3)</w:t>
            </w:r>
            <w:r>
              <w:rPr>
                <w:color w:val="000000"/>
              </w:rPr>
              <w:t xml:space="preserve"> </w:t>
            </w:r>
          </w:p>
          <w:p>
            <w:pPr>
              <w:pStyle w:val="TableContents"/>
              <w:bidi w:val="0"/>
              <w:spacing w:lineRule="auto" w:line="288" w:before="0" w:after="0"/>
              <w:jc w:val="right"/>
              <w:rPr>
                <w:rFonts w:ascii="Arial;sans-serif" w:hAnsi="Arial;sans-serif"/>
                <w:b/>
                <w:color w:val="000000"/>
                <w:sz w:val="13"/>
              </w:rPr>
            </w:pPr>
            <w:r>
              <w:rPr>
                <w:rFonts w:ascii="Arial;sans-serif" w:hAnsi="Arial;sans-serif"/>
                <w:b/>
                <w:color w:val="000000"/>
                <w:sz w:val="13"/>
              </w:rPr>
              <w:t>($)</w:t>
            </w:r>
          </w:p>
        </w:tc>
        <w:tc>
          <w:tcPr>
            <w:tcW w:w="1102" w:type="dxa"/>
            <w:gridSpan w:val="3"/>
            <w:vMerge w:val="restart"/>
            <w:tcBorders/>
            <w:tcMar>
              <w:top w:w="0" w:type="dxa"/>
              <w:left w:w="0" w:type="dxa"/>
              <w:bottom w:w="0" w:type="dxa"/>
              <w:right w:w="0" w:type="dxa"/>
            </w:tcMar>
            <w:vAlign w:val="center"/>
          </w:tcPr>
          <w:p>
            <w:pPr>
              <w:pStyle w:val="TableContents"/>
              <w:bidi w:val="0"/>
              <w:spacing w:lineRule="auto" w:line="288" w:before="0" w:after="0"/>
              <w:jc w:val="right"/>
              <w:rPr/>
            </w:pPr>
            <w:r>
              <w:rPr>
                <w:rFonts w:ascii="Arial;sans-serif" w:hAnsi="Arial;sans-serif"/>
                <w:b/>
                <w:color w:val="000000"/>
                <w:sz w:val="13"/>
              </w:rPr>
              <w:t>Average Summary Compensation Table Total for Non-PEO NEOs</w:t>
            </w:r>
            <w:r>
              <w:rPr>
                <w:rFonts w:ascii="Arial;sans-serif" w:hAnsi="Arial;sans-serif"/>
                <w:b/>
                <w:color w:val="000000"/>
                <w:sz w:val="8"/>
              </w:rPr>
              <w:t>(4)</w:t>
            </w:r>
          </w:p>
          <w:p>
            <w:pPr>
              <w:pStyle w:val="TableContents"/>
              <w:bidi w:val="0"/>
              <w:spacing w:lineRule="auto" w:line="288" w:before="0" w:after="0"/>
              <w:jc w:val="right"/>
              <w:rPr>
                <w:rFonts w:ascii="Arial;sans-serif" w:hAnsi="Arial;sans-serif"/>
                <w:b/>
                <w:color w:val="000000"/>
                <w:sz w:val="13"/>
              </w:rPr>
            </w:pPr>
            <w:r>
              <w:rPr>
                <w:rFonts w:ascii="Arial;sans-serif" w:hAnsi="Arial;sans-serif"/>
                <w:b/>
                <w:color w:val="000000"/>
                <w:sz w:val="13"/>
              </w:rPr>
              <w:t>($)</w:t>
            </w:r>
          </w:p>
        </w:tc>
        <w:tc>
          <w:tcPr>
            <w:tcW w:w="1102" w:type="dxa"/>
            <w:gridSpan w:val="3"/>
            <w:vMerge w:val="restart"/>
            <w:tcBorders/>
            <w:tcMar>
              <w:top w:w="0" w:type="dxa"/>
              <w:left w:w="0" w:type="dxa"/>
              <w:bottom w:w="0" w:type="dxa"/>
              <w:right w:w="0" w:type="dxa"/>
            </w:tcMar>
            <w:vAlign w:val="center"/>
          </w:tcPr>
          <w:p>
            <w:pPr>
              <w:pStyle w:val="TableContents"/>
              <w:bidi w:val="0"/>
              <w:spacing w:lineRule="auto" w:line="288" w:before="0" w:after="0"/>
              <w:jc w:val="right"/>
              <w:rPr/>
            </w:pPr>
            <w:r>
              <w:rPr>
                <w:rFonts w:ascii="Arial;sans-serif" w:hAnsi="Arial;sans-serif"/>
                <w:b/>
                <w:color w:val="000000"/>
                <w:sz w:val="13"/>
              </w:rPr>
              <w:t>Average Compensation Actually Paid to Non-PEO NEOs</w:t>
            </w:r>
            <w:r>
              <w:rPr>
                <w:rFonts w:ascii="Arial;sans-serif" w:hAnsi="Arial;sans-serif"/>
                <w:b/>
                <w:color w:val="000000"/>
                <w:sz w:val="8"/>
              </w:rPr>
              <w:t>(5)</w:t>
            </w:r>
          </w:p>
          <w:p>
            <w:pPr>
              <w:pStyle w:val="TableContents"/>
              <w:bidi w:val="0"/>
              <w:spacing w:lineRule="auto" w:line="288" w:before="0" w:after="0"/>
              <w:jc w:val="right"/>
              <w:rPr>
                <w:rFonts w:ascii="Arial;sans-serif" w:hAnsi="Arial;sans-serif"/>
                <w:b/>
                <w:color w:val="000000"/>
                <w:sz w:val="13"/>
              </w:rPr>
            </w:pPr>
            <w:r>
              <w:rPr>
                <w:rFonts w:ascii="Arial;sans-serif" w:hAnsi="Arial;sans-serif"/>
                <w:b/>
                <w:color w:val="000000"/>
                <w:sz w:val="13"/>
              </w:rPr>
              <w:t>($)</w:t>
            </w:r>
          </w:p>
        </w:tc>
        <w:tc>
          <w:tcPr>
            <w:tcW w:w="1772" w:type="dxa"/>
            <w:gridSpan w:val="6"/>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3"/>
              </w:rPr>
            </w:pPr>
            <w:r>
              <w:rPr>
                <w:rFonts w:ascii="Arial;sans-serif" w:hAnsi="Arial;sans-serif"/>
                <w:b/>
                <w:color w:val="000000"/>
                <w:sz w:val="13"/>
              </w:rPr>
              <w:t>Value of Initial Fixed $100 Investment Based On:</w:t>
            </w:r>
          </w:p>
        </w:tc>
        <w:tc>
          <w:tcPr>
            <w:tcW w:w="612" w:type="dxa"/>
            <w:gridSpan w:val="3"/>
            <w:vMerge w:val="restart"/>
            <w:tcBorders/>
            <w:tcMar>
              <w:top w:w="0" w:type="dxa"/>
              <w:left w:w="0" w:type="dxa"/>
              <w:bottom w:w="0" w:type="dxa"/>
              <w:right w:w="0" w:type="dxa"/>
            </w:tcMar>
            <w:vAlign w:val="center"/>
          </w:tcPr>
          <w:p>
            <w:pPr>
              <w:pStyle w:val="TableContents"/>
              <w:bidi w:val="0"/>
              <w:spacing w:lineRule="auto" w:line="288" w:before="0" w:after="0"/>
              <w:jc w:val="right"/>
              <w:rPr/>
            </w:pPr>
            <w:r>
              <w:rPr>
                <w:rFonts w:ascii="Arial;sans-serif" w:hAnsi="Arial;sans-serif"/>
                <w:b/>
                <w:color w:val="000000"/>
                <w:sz w:val="13"/>
              </w:rPr>
              <w:t>Net Income (Loss) (millions)</w:t>
            </w:r>
            <w:r>
              <w:rPr>
                <w:rFonts w:ascii="Arial;sans-serif" w:hAnsi="Arial;sans-serif"/>
                <w:b/>
                <w:color w:val="000000"/>
                <w:sz w:val="8"/>
              </w:rPr>
              <w:t>(7)</w:t>
            </w:r>
          </w:p>
          <w:p>
            <w:pPr>
              <w:pStyle w:val="TableContents"/>
              <w:bidi w:val="0"/>
              <w:spacing w:lineRule="auto" w:line="288" w:before="0" w:after="0"/>
              <w:jc w:val="right"/>
              <w:rPr>
                <w:rFonts w:ascii="Arial;sans-serif" w:hAnsi="Arial;sans-serif"/>
                <w:b/>
                <w:color w:val="000000"/>
                <w:sz w:val="13"/>
              </w:rPr>
            </w:pPr>
            <w:r>
              <w:rPr>
                <w:rFonts w:ascii="Arial;sans-serif" w:hAnsi="Arial;sans-serif"/>
                <w:b/>
                <w:color w:val="000000"/>
                <w:sz w:val="13"/>
              </w:rPr>
              <w:t>($)</w:t>
            </w:r>
          </w:p>
        </w:tc>
        <w:tc>
          <w:tcPr>
            <w:tcW w:w="646" w:type="dxa"/>
            <w:gridSpan w:val="3"/>
            <w:vMerge w:val="restart"/>
            <w:tcBorders/>
            <w:tcMar>
              <w:top w:w="0" w:type="dxa"/>
              <w:left w:w="0" w:type="dxa"/>
              <w:bottom w:w="0" w:type="dxa"/>
              <w:right w:w="0" w:type="dxa"/>
            </w:tcMar>
            <w:vAlign w:val="center"/>
          </w:tcPr>
          <w:p>
            <w:pPr>
              <w:pStyle w:val="TableContents"/>
              <w:bidi w:val="0"/>
              <w:spacing w:lineRule="auto" w:line="288" w:before="0" w:after="0"/>
              <w:jc w:val="right"/>
              <w:rPr/>
            </w:pPr>
            <w:r>
              <w:rPr>
                <w:rFonts w:ascii="Arial;sans-serif" w:hAnsi="Arial;sans-serif"/>
                <w:b/>
                <w:color w:val="000000"/>
                <w:sz w:val="13"/>
              </w:rPr>
              <w:t>Revenue Growth</w:t>
            </w:r>
            <w:r>
              <w:rPr>
                <w:rFonts w:ascii="Arial;sans-serif" w:hAnsi="Arial;sans-serif"/>
                <w:b/>
                <w:color w:val="000000"/>
                <w:sz w:val="8"/>
              </w:rPr>
              <w:t>(8)</w:t>
            </w:r>
          </w:p>
          <w:p>
            <w:pPr>
              <w:pStyle w:val="TableContents"/>
              <w:bidi w:val="0"/>
              <w:spacing w:lineRule="auto" w:line="288" w:before="0" w:after="0"/>
              <w:jc w:val="right"/>
              <w:rPr>
                <w:rFonts w:ascii="Arial;sans-serif" w:hAnsi="Arial;sans-serif"/>
                <w:b/>
                <w:color w:val="000000"/>
                <w:sz w:val="13"/>
              </w:rPr>
            </w:pPr>
            <w:r>
              <w:rPr>
                <w:rFonts w:ascii="Arial;sans-serif" w:hAnsi="Arial;sans-serif"/>
                <w:b/>
                <w:color w:val="000000"/>
                <w:sz w:val="13"/>
              </w:rPr>
              <w:t>(%)</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 w:type="dxa"/>
            <w:gridSpan w:val="3"/>
            <w:vMerge w:val="continue"/>
            <w:tcBorders/>
            <w:tcMar>
              <w:top w:w="0" w:type="dxa"/>
              <w:left w:w="0" w:type="dxa"/>
              <w:bottom w:w="0" w:type="dxa"/>
              <w:right w:w="0" w:type="dxa"/>
            </w:tcMar>
            <w:vAlign w:val="center"/>
          </w:tcPr>
          <w:p>
            <w:pPr>
              <w:pStyle w:val="Normal"/>
              <w:bidi w:val="0"/>
              <w:jc w:val="left"/>
              <w:rPr/>
            </w:pPr>
            <w:r>
              <w:rPr/>
            </w:r>
          </w:p>
        </w:tc>
        <w:tc>
          <w:tcPr>
            <w:tcW w:w="1102" w:type="dxa"/>
            <w:gridSpan w:val="3"/>
            <w:vMerge w:val="continue"/>
            <w:tcBorders/>
            <w:tcMar>
              <w:top w:w="0" w:type="dxa"/>
              <w:left w:w="0" w:type="dxa"/>
              <w:bottom w:w="0" w:type="dxa"/>
              <w:right w:w="0" w:type="dxa"/>
            </w:tcMar>
            <w:vAlign w:val="center"/>
          </w:tcPr>
          <w:p>
            <w:pPr>
              <w:pStyle w:val="Normal"/>
              <w:bidi w:val="0"/>
              <w:jc w:val="left"/>
              <w:rPr/>
            </w:pPr>
            <w:r>
              <w:rPr/>
            </w:r>
          </w:p>
        </w:tc>
        <w:tc>
          <w:tcPr>
            <w:tcW w:w="1102" w:type="dxa"/>
            <w:gridSpan w:val="3"/>
            <w:vMerge w:val="continue"/>
            <w:tcBorders/>
            <w:tcMar>
              <w:top w:w="0" w:type="dxa"/>
              <w:left w:w="0" w:type="dxa"/>
              <w:bottom w:w="0" w:type="dxa"/>
              <w:right w:w="0" w:type="dxa"/>
            </w:tcMar>
            <w:vAlign w:val="center"/>
          </w:tcPr>
          <w:p>
            <w:pPr>
              <w:pStyle w:val="Normal"/>
              <w:bidi w:val="0"/>
              <w:jc w:val="left"/>
              <w:rPr/>
            </w:pPr>
            <w:r>
              <w:rPr/>
            </w:r>
          </w:p>
        </w:tc>
        <w:tc>
          <w:tcPr>
            <w:tcW w:w="1102" w:type="dxa"/>
            <w:gridSpan w:val="3"/>
            <w:vMerge w:val="continue"/>
            <w:tcBorders/>
            <w:tcMar>
              <w:top w:w="0" w:type="dxa"/>
              <w:left w:w="0" w:type="dxa"/>
              <w:bottom w:w="0" w:type="dxa"/>
              <w:right w:w="0" w:type="dxa"/>
            </w:tcMar>
            <w:vAlign w:val="center"/>
          </w:tcPr>
          <w:p>
            <w:pPr>
              <w:pStyle w:val="Normal"/>
              <w:bidi w:val="0"/>
              <w:jc w:val="left"/>
              <w:rPr/>
            </w:pPr>
            <w:r>
              <w:rPr/>
            </w:r>
          </w:p>
        </w:tc>
        <w:tc>
          <w:tcPr>
            <w:tcW w:w="1102" w:type="dxa"/>
            <w:gridSpan w:val="3"/>
            <w:vMerge w:val="continue"/>
            <w:tcBorders/>
            <w:tcMar>
              <w:top w:w="0" w:type="dxa"/>
              <w:left w:w="0" w:type="dxa"/>
              <w:bottom w:w="0" w:type="dxa"/>
              <w:right w:w="0" w:type="dxa"/>
            </w:tcMar>
            <w:vAlign w:val="center"/>
          </w:tcPr>
          <w:p>
            <w:pPr>
              <w:pStyle w:val="Normal"/>
              <w:bidi w:val="0"/>
              <w:jc w:val="left"/>
              <w:rPr/>
            </w:pPr>
            <w:r>
              <w:rPr/>
            </w:r>
          </w:p>
        </w:tc>
        <w:tc>
          <w:tcPr>
            <w:tcW w:w="1102" w:type="dxa"/>
            <w:gridSpan w:val="3"/>
            <w:vMerge w:val="continue"/>
            <w:tcBorders/>
            <w:tcMar>
              <w:top w:w="0" w:type="dxa"/>
              <w:left w:w="0" w:type="dxa"/>
              <w:bottom w:w="0" w:type="dxa"/>
              <w:right w:w="0" w:type="dxa"/>
            </w:tcMar>
            <w:vAlign w:val="center"/>
          </w:tcPr>
          <w:p>
            <w:pPr>
              <w:pStyle w:val="Normal"/>
              <w:bidi w:val="0"/>
              <w:jc w:val="left"/>
              <w:rPr/>
            </w:pPr>
            <w:r>
              <w:rPr/>
            </w:r>
          </w:p>
        </w:tc>
        <w:tc>
          <w:tcPr>
            <w:tcW w:w="1102" w:type="dxa"/>
            <w:gridSpan w:val="3"/>
            <w:vMerge w:val="continue"/>
            <w:tcBorders/>
            <w:tcMar>
              <w:top w:w="0" w:type="dxa"/>
              <w:left w:w="0" w:type="dxa"/>
              <w:bottom w:w="0" w:type="dxa"/>
              <w:right w:w="0" w:type="dxa"/>
            </w:tcMar>
            <w:vAlign w:val="center"/>
          </w:tcPr>
          <w:p>
            <w:pPr>
              <w:pStyle w:val="Normal"/>
              <w:bidi w:val="0"/>
              <w:jc w:val="left"/>
              <w:rPr/>
            </w:pPr>
            <w:r>
              <w:rPr/>
            </w:r>
          </w:p>
        </w:tc>
        <w:tc>
          <w:tcPr>
            <w:tcW w:w="886" w:type="dxa"/>
            <w:gridSpan w:val="3"/>
            <w:tcBorders>
              <w:top w:val="single" w:sz="8" w:space="0" w:color="74A333"/>
            </w:tcBorders>
            <w:tcMar>
              <w:top w:w="30" w:type="dxa"/>
              <w:left w:w="0" w:type="dxa"/>
              <w:bottom w:w="0" w:type="dxa"/>
              <w:right w:w="0" w:type="dxa"/>
            </w:tcMar>
            <w:vAlign w:val="center"/>
          </w:tcPr>
          <w:p>
            <w:pPr>
              <w:pStyle w:val="TableContents"/>
              <w:bidi w:val="0"/>
              <w:spacing w:lineRule="auto" w:line="288" w:before="0" w:after="0"/>
              <w:jc w:val="right"/>
              <w:rPr/>
            </w:pPr>
            <w:r>
              <w:rPr>
                <w:rFonts w:ascii="Arial;sans-serif" w:hAnsi="Arial;sans-serif"/>
                <w:b/>
                <w:color w:val="000000"/>
                <w:sz w:val="13"/>
              </w:rPr>
              <w:t>Total Shareholder Return</w:t>
            </w:r>
            <w:r>
              <w:rPr>
                <w:rFonts w:ascii="Arial;sans-serif" w:hAnsi="Arial;sans-serif"/>
                <w:b/>
                <w:color w:val="000000"/>
                <w:sz w:val="8"/>
              </w:rPr>
              <w:t>(6)</w:t>
            </w:r>
          </w:p>
          <w:p>
            <w:pPr>
              <w:pStyle w:val="TableContents"/>
              <w:bidi w:val="0"/>
              <w:spacing w:lineRule="auto" w:line="288" w:before="0" w:after="0"/>
              <w:jc w:val="right"/>
              <w:rPr>
                <w:rFonts w:ascii="Arial;sans-serif" w:hAnsi="Arial;sans-serif"/>
                <w:b/>
                <w:color w:val="000000"/>
                <w:sz w:val="13"/>
              </w:rPr>
            </w:pPr>
            <w:r>
              <w:rPr>
                <w:rFonts w:ascii="Arial;sans-serif" w:hAnsi="Arial;sans-serif"/>
                <w:b/>
                <w:color w:val="000000"/>
                <w:sz w:val="13"/>
              </w:rPr>
              <w:t>($)</w:t>
            </w:r>
          </w:p>
        </w:tc>
        <w:tc>
          <w:tcPr>
            <w:tcW w:w="886" w:type="dxa"/>
            <w:gridSpan w:val="3"/>
            <w:tcBorders>
              <w:top w:val="single" w:sz="8" w:space="0" w:color="74A333"/>
            </w:tcBorders>
            <w:tcMar>
              <w:top w:w="30" w:type="dxa"/>
              <w:left w:w="0" w:type="dxa"/>
              <w:bottom w:w="0" w:type="dxa"/>
              <w:right w:w="0" w:type="dxa"/>
            </w:tcMar>
            <w:vAlign w:val="center"/>
          </w:tcPr>
          <w:p>
            <w:pPr>
              <w:pStyle w:val="TableContents"/>
              <w:bidi w:val="0"/>
              <w:spacing w:lineRule="auto" w:line="288" w:before="0" w:after="0"/>
              <w:jc w:val="right"/>
              <w:rPr/>
            </w:pPr>
            <w:r>
              <w:rPr>
                <w:rFonts w:ascii="Arial;sans-serif" w:hAnsi="Arial;sans-serif"/>
                <w:b/>
                <w:color w:val="000000"/>
                <w:sz w:val="13"/>
              </w:rPr>
              <w:t>Peer Group Total Shareholder Return</w:t>
            </w:r>
            <w:r>
              <w:rPr>
                <w:rFonts w:ascii="Arial;sans-serif" w:hAnsi="Arial;sans-serif"/>
                <w:b/>
                <w:color w:val="000000"/>
                <w:sz w:val="8"/>
              </w:rPr>
              <w:t>(6)</w:t>
            </w:r>
          </w:p>
          <w:p>
            <w:pPr>
              <w:pStyle w:val="TableContents"/>
              <w:bidi w:val="0"/>
              <w:spacing w:lineRule="auto" w:line="288" w:before="0" w:after="0"/>
              <w:jc w:val="right"/>
              <w:rPr>
                <w:rFonts w:ascii="Arial;sans-serif" w:hAnsi="Arial;sans-serif"/>
                <w:b/>
                <w:color w:val="000000"/>
                <w:sz w:val="13"/>
              </w:rPr>
            </w:pPr>
            <w:r>
              <w:rPr>
                <w:rFonts w:ascii="Arial;sans-serif" w:hAnsi="Arial;sans-serif"/>
                <w:b/>
                <w:color w:val="000000"/>
                <w:sz w:val="13"/>
              </w:rPr>
              <w:t>$</w:t>
            </w:r>
          </w:p>
        </w:tc>
        <w:tc>
          <w:tcPr>
            <w:tcW w:w="612" w:type="dxa"/>
            <w:gridSpan w:val="3"/>
            <w:vMerge w:val="continue"/>
            <w:tcBorders/>
            <w:tcMar>
              <w:top w:w="0" w:type="dxa"/>
              <w:left w:w="0" w:type="dxa"/>
              <w:bottom w:w="0" w:type="dxa"/>
              <w:right w:w="0" w:type="dxa"/>
            </w:tcMar>
            <w:vAlign w:val="center"/>
          </w:tcPr>
          <w:p>
            <w:pPr>
              <w:pStyle w:val="Normal"/>
              <w:bidi w:val="0"/>
              <w:jc w:val="left"/>
              <w:rPr/>
            </w:pPr>
            <w:r>
              <w:rPr/>
            </w:r>
          </w:p>
        </w:tc>
        <w:tc>
          <w:tcPr>
            <w:tcW w:w="646" w:type="dxa"/>
            <w:gridSpan w:val="3"/>
            <w:vMerge w:val="continue"/>
            <w:tcBorders/>
            <w:tcMar>
              <w:top w:w="0" w:type="dxa"/>
              <w:left w:w="0" w:type="dxa"/>
              <w:bottom w:w="0" w:type="dxa"/>
              <w:right w:w="0" w:type="dxa"/>
            </w:tcMar>
            <w:vAlign w:val="center"/>
          </w:tcPr>
          <w:p>
            <w:pPr>
              <w:pStyle w:val="Normal"/>
              <w:bidi w:val="0"/>
              <w:jc w:val="left"/>
              <w:rPr/>
            </w:pPr>
            <w:r>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 w:type="dxa"/>
            <w:gridSpan w:val="3"/>
            <w:tcBorders/>
            <w:shd w:fill="EDEDEE"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4"/>
              </w:rPr>
            </w:pPr>
            <w:r>
              <w:rPr>
                <w:rFonts w:ascii="Arial;sans-serif" w:hAnsi="Arial;sans-serif"/>
                <w:b/>
                <w:color w:val="000000"/>
                <w:sz w:val="14"/>
              </w:rPr>
              <w:t>2024</w:t>
            </w:r>
          </w:p>
        </w:tc>
        <w:tc>
          <w:tcPr>
            <w:tcW w:w="766" w:type="dxa"/>
            <w:gridSpan w:val="2"/>
            <w:tcBorders/>
            <w:shd w:fill="EDEDEE"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36"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EDEDEE"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36"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EDEDEE"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7,087,404 </w:t>
            </w:r>
          </w:p>
        </w:tc>
        <w:tc>
          <w:tcPr>
            <w:tcW w:w="336"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EDEDEE"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2,489,030 </w:t>
            </w:r>
          </w:p>
        </w:tc>
        <w:tc>
          <w:tcPr>
            <w:tcW w:w="336"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EDEDEE"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2,516,945 </w:t>
            </w:r>
          </w:p>
        </w:tc>
        <w:tc>
          <w:tcPr>
            <w:tcW w:w="336"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EDEDEE"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951,594 </w:t>
            </w:r>
          </w:p>
        </w:tc>
        <w:tc>
          <w:tcPr>
            <w:tcW w:w="336"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EDEDEE"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65.21 </w:t>
            </w:r>
          </w:p>
        </w:tc>
        <w:tc>
          <w:tcPr>
            <w:tcW w:w="135"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2"/>
            <w:tcBorders/>
            <w:shd w:fill="EDEDEE"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140.47 </w:t>
            </w:r>
          </w:p>
        </w:tc>
        <w:tc>
          <w:tcPr>
            <w:tcW w:w="136"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EDEDEE"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(30.9)</w:t>
            </w:r>
          </w:p>
        </w:tc>
        <w:tc>
          <w:tcPr>
            <w:tcW w:w="191"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20 </w:t>
            </w:r>
          </w:p>
        </w:tc>
        <w:tc>
          <w:tcPr>
            <w:tcW w:w="216"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4"/>
              </w:rPr>
            </w:pPr>
            <w:r>
              <w:rPr>
                <w:rFonts w:ascii="Arial;sans-serif" w:hAnsi="Arial;sans-serif"/>
                <w:b/>
                <w:color w:val="000000"/>
                <w:sz w:val="14"/>
              </w:rPr>
              <w:t>2023</w:t>
            </w:r>
          </w:p>
        </w:tc>
        <w:tc>
          <w:tcPr>
            <w:tcW w:w="7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3,713,871 </w:t>
            </w:r>
          </w:p>
        </w:tc>
        <w:tc>
          <w:tcPr>
            <w:tcW w:w="3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7,085,626 </w:t>
            </w:r>
          </w:p>
        </w:tc>
        <w:tc>
          <w:tcPr>
            <w:tcW w:w="3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1,958,890 </w:t>
            </w:r>
          </w:p>
        </w:tc>
        <w:tc>
          <w:tcPr>
            <w:tcW w:w="3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3,453,403 </w:t>
            </w:r>
          </w:p>
        </w:tc>
        <w:tc>
          <w:tcPr>
            <w:tcW w:w="3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97.63 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129.40 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(43.3)</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31 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 w:type="dxa"/>
            <w:gridSpan w:val="3"/>
            <w:tcBorders/>
            <w:shd w:fill="EDEDEE"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4"/>
              </w:rPr>
            </w:pPr>
            <w:r>
              <w:rPr>
                <w:rFonts w:ascii="Arial;sans-serif" w:hAnsi="Arial;sans-serif"/>
                <w:b/>
                <w:color w:val="000000"/>
                <w:sz w:val="14"/>
              </w:rPr>
              <w:t>2022</w:t>
            </w:r>
          </w:p>
        </w:tc>
        <w:tc>
          <w:tcPr>
            <w:tcW w:w="766" w:type="dxa"/>
            <w:gridSpan w:val="2"/>
            <w:tcBorders/>
            <w:shd w:fill="EDEDEE"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36"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EDEDEE"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36"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EDEDEE"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4,893,959 </w:t>
            </w:r>
          </w:p>
        </w:tc>
        <w:tc>
          <w:tcPr>
            <w:tcW w:w="336"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EDEDEE"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2,616,198 </w:t>
            </w:r>
          </w:p>
        </w:tc>
        <w:tc>
          <w:tcPr>
            <w:tcW w:w="336"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EDEDEE"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2,243,715 </w:t>
            </w:r>
          </w:p>
        </w:tc>
        <w:tc>
          <w:tcPr>
            <w:tcW w:w="336"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EDEDEE"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1,185,889 </w:t>
            </w:r>
          </w:p>
        </w:tc>
        <w:tc>
          <w:tcPr>
            <w:tcW w:w="336"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EDEDEE"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63.26 </w:t>
            </w:r>
          </w:p>
        </w:tc>
        <w:tc>
          <w:tcPr>
            <w:tcW w:w="135"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2"/>
            <w:tcBorders/>
            <w:shd w:fill="EDEDEE"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124.27 </w:t>
            </w:r>
          </w:p>
        </w:tc>
        <w:tc>
          <w:tcPr>
            <w:tcW w:w="136"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EDEDEE"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(61.3)</w:t>
            </w:r>
          </w:p>
        </w:tc>
        <w:tc>
          <w:tcPr>
            <w:tcW w:w="191"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18 </w:t>
            </w:r>
          </w:p>
        </w:tc>
        <w:tc>
          <w:tcPr>
            <w:tcW w:w="216"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4"/>
              </w:rPr>
            </w:pPr>
            <w:r>
              <w:rPr>
                <w:rFonts w:ascii="Arial;sans-serif" w:hAnsi="Arial;sans-serif"/>
                <w:b/>
                <w:color w:val="000000"/>
                <w:sz w:val="14"/>
              </w:rPr>
              <w:t>2021</w:t>
            </w:r>
          </w:p>
        </w:tc>
        <w:tc>
          <w:tcPr>
            <w:tcW w:w="7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4,347,631 </w:t>
            </w:r>
          </w:p>
        </w:tc>
        <w:tc>
          <w:tcPr>
            <w:tcW w:w="3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1,058,832 </w:t>
            </w:r>
          </w:p>
        </w:tc>
        <w:tc>
          <w:tcPr>
            <w:tcW w:w="3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3,430,641 </w:t>
            </w:r>
          </w:p>
        </w:tc>
        <w:tc>
          <w:tcPr>
            <w:tcW w:w="3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2,203,680 </w:t>
            </w:r>
          </w:p>
        </w:tc>
        <w:tc>
          <w:tcPr>
            <w:tcW w:w="3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2,075,023 </w:t>
            </w:r>
          </w:p>
        </w:tc>
        <w:tc>
          <w:tcPr>
            <w:tcW w:w="3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1,418,469 </w:t>
            </w:r>
          </w:p>
        </w:tc>
        <w:tc>
          <w:tcPr>
            <w:tcW w:w="3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103.30 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153.48 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(56.6)</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23 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 w:type="dxa"/>
            <w:gridSpan w:val="3"/>
            <w:tcBorders>
              <w:bottom w:val="single" w:sz="12" w:space="0" w:color="74A333"/>
            </w:tcBorders>
            <w:shd w:fill="EDEDEE" w:val="clear"/>
            <w:tcMar>
              <w:top w:w="0" w:type="dxa"/>
              <w:left w:w="0" w:type="dxa"/>
              <w:bottom w:w="30" w:type="dxa"/>
              <w:right w:w="0" w:type="dxa"/>
            </w:tcMar>
            <w:vAlign w:val="center"/>
          </w:tcPr>
          <w:p>
            <w:pPr>
              <w:pStyle w:val="TableContents"/>
              <w:bidi w:val="0"/>
              <w:spacing w:lineRule="auto" w:line="288" w:before="0" w:after="283"/>
              <w:jc w:val="left"/>
              <w:rPr>
                <w:rFonts w:ascii="Arial;sans-serif" w:hAnsi="Arial;sans-serif"/>
                <w:b/>
                <w:color w:val="000000"/>
                <w:sz w:val="14"/>
              </w:rPr>
            </w:pPr>
            <w:r>
              <w:rPr>
                <w:rFonts w:ascii="Arial;sans-serif" w:hAnsi="Arial;sans-serif"/>
                <w:b/>
                <w:color w:val="000000"/>
                <w:sz w:val="14"/>
              </w:rPr>
              <w:t>2020</w:t>
            </w:r>
          </w:p>
        </w:tc>
        <w:tc>
          <w:tcPr>
            <w:tcW w:w="766" w:type="dxa"/>
            <w:gridSpan w:val="2"/>
            <w:tcBorders>
              <w:bottom w:val="single" w:sz="12" w:space="0" w:color="74A333"/>
            </w:tcBorders>
            <w:shd w:fill="EDEDEE" w:val="clear"/>
            <w:tcMar>
              <w:top w:w="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4,218,458 </w:t>
            </w:r>
          </w:p>
        </w:tc>
        <w:tc>
          <w:tcPr>
            <w:tcW w:w="336" w:type="dxa"/>
            <w:tcBorders>
              <w:bottom w:val="single" w:sz="12" w:space="0" w:color="74A333"/>
            </w:tcBorders>
            <w:shd w:fill="EDEDEE"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bottom w:val="single" w:sz="12" w:space="0" w:color="74A333"/>
            </w:tcBorders>
            <w:shd w:fill="EDEDEE" w:val="clear"/>
            <w:tcMar>
              <w:top w:w="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5,943,055 </w:t>
            </w:r>
          </w:p>
        </w:tc>
        <w:tc>
          <w:tcPr>
            <w:tcW w:w="336" w:type="dxa"/>
            <w:tcBorders>
              <w:bottom w:val="single" w:sz="12" w:space="0" w:color="74A333"/>
            </w:tcBorders>
            <w:shd w:fill="EDEDEE"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bottom w:val="single" w:sz="12" w:space="0" w:color="74A333"/>
            </w:tcBorders>
            <w:shd w:fill="EDEDEE" w:val="clear"/>
            <w:tcMar>
              <w:top w:w="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1,778,752 </w:t>
            </w:r>
          </w:p>
        </w:tc>
        <w:tc>
          <w:tcPr>
            <w:tcW w:w="336" w:type="dxa"/>
            <w:tcBorders>
              <w:bottom w:val="single" w:sz="12" w:space="0" w:color="74A333"/>
            </w:tcBorders>
            <w:shd w:fill="EDEDEE"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bottom w:val="single" w:sz="12" w:space="0" w:color="74A333"/>
            </w:tcBorders>
            <w:shd w:fill="EDEDEE" w:val="clear"/>
            <w:tcMar>
              <w:top w:w="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2,534,526 </w:t>
            </w:r>
          </w:p>
        </w:tc>
        <w:tc>
          <w:tcPr>
            <w:tcW w:w="336" w:type="dxa"/>
            <w:tcBorders>
              <w:bottom w:val="single" w:sz="12" w:space="0" w:color="74A333"/>
            </w:tcBorders>
            <w:shd w:fill="EDEDEE"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bottom w:val="single" w:sz="12" w:space="0" w:color="74A333"/>
            </w:tcBorders>
            <w:shd w:fill="EDEDEE" w:val="clear"/>
            <w:tcMar>
              <w:top w:w="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1,753,639 </w:t>
            </w:r>
          </w:p>
        </w:tc>
        <w:tc>
          <w:tcPr>
            <w:tcW w:w="336" w:type="dxa"/>
            <w:tcBorders>
              <w:bottom w:val="single" w:sz="12" w:space="0" w:color="74A333"/>
            </w:tcBorders>
            <w:shd w:fill="EDEDEE"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bottom w:val="single" w:sz="12" w:space="0" w:color="74A333"/>
            </w:tcBorders>
            <w:shd w:fill="EDEDEE" w:val="clear"/>
            <w:tcMar>
              <w:top w:w="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2,329,418 </w:t>
            </w:r>
          </w:p>
        </w:tc>
        <w:tc>
          <w:tcPr>
            <w:tcW w:w="336" w:type="dxa"/>
            <w:tcBorders>
              <w:bottom w:val="single" w:sz="12" w:space="0" w:color="74A333"/>
            </w:tcBorders>
            <w:shd w:fill="EDEDEE"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bottom w:val="single" w:sz="12" w:space="0" w:color="74A333"/>
            </w:tcBorders>
            <w:shd w:fill="EDEDEE" w:val="clear"/>
            <w:tcMar>
              <w:top w:w="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139.07 </w:t>
            </w:r>
          </w:p>
        </w:tc>
        <w:tc>
          <w:tcPr>
            <w:tcW w:w="135" w:type="dxa"/>
            <w:tcBorders>
              <w:bottom w:val="single" w:sz="12" w:space="0" w:color="74A333"/>
            </w:tcBorders>
            <w:shd w:fill="EDEDEE"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750" w:type="dxa"/>
            <w:gridSpan w:val="2"/>
            <w:tcBorders>
              <w:bottom w:val="single" w:sz="12" w:space="0" w:color="74A333"/>
            </w:tcBorders>
            <w:shd w:fill="EDEDEE" w:val="clear"/>
            <w:tcMar>
              <w:top w:w="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123.22 </w:t>
            </w:r>
          </w:p>
        </w:tc>
        <w:tc>
          <w:tcPr>
            <w:tcW w:w="136" w:type="dxa"/>
            <w:tcBorders>
              <w:bottom w:val="single" w:sz="12" w:space="0" w:color="74A333"/>
            </w:tcBorders>
            <w:shd w:fill="EDEDEE"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bottom w:val="single" w:sz="12" w:space="0" w:color="74A333"/>
            </w:tcBorders>
            <w:shd w:fill="EDEDEE" w:val="clear"/>
            <w:tcMar>
              <w:top w:w="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(43.7)</w:t>
            </w:r>
          </w:p>
        </w:tc>
        <w:tc>
          <w:tcPr>
            <w:tcW w:w="191" w:type="dxa"/>
            <w:tcBorders>
              <w:bottom w:val="single" w:sz="12" w:space="0" w:color="74A333"/>
            </w:tcBorders>
            <w:shd w:fill="EDEDEE"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30" w:type="dxa"/>
            <w:gridSpan w:val="2"/>
            <w:tcBorders>
              <w:bottom w:val="single" w:sz="12" w:space="0" w:color="74A333"/>
            </w:tcBorders>
            <w:shd w:fill="EDEDEE"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9 </w:t>
            </w:r>
          </w:p>
        </w:tc>
        <w:tc>
          <w:tcPr>
            <w:tcW w:w="216" w:type="dxa"/>
            <w:tcBorders>
              <w:bottom w:val="single" w:sz="12" w:space="0" w:color="74A333"/>
            </w:tcBorders>
            <w:shd w:fill="EDEDEE"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bottom w:val="single" w:sz="12" w:space="0" w:color="74A333"/>
            </w:tcBorders>
            <w:shd w:fill="EDEDEE"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ind w:left="0" w:right="0" w:hanging="360"/>
        <w:jc w:val="left"/>
        <w:rPr>
          <w:rFonts w:ascii="Arial;sans-serif" w:hAnsi="Arial;sans-serif"/>
          <w:b w:val="false"/>
          <w:color w:val="52575F"/>
          <w:sz w:val="16"/>
        </w:rPr>
      </w:pPr>
      <w:r>
        <w:rPr>
          <w:rFonts w:ascii="Arial;sans-serif" w:hAnsi="Arial;sans-serif"/>
          <w:b w:val="false"/>
          <w:color w:val="52575F"/>
          <w:sz w:val="16"/>
        </w:rPr>
        <w:t>1.The dollar amounts represent the amounts of total compensation reported for Mr. Dunn (our former CEO) for 2020 and 2021 in the “Total” column of the Summary Compensation Table in our 2021 and 2022 proxy statements, respectively.</w:t>
      </w:r>
    </w:p>
    <w:p>
      <w:pPr>
        <w:pStyle w:val="TextBody"/>
        <w:bidi w:val="0"/>
        <w:spacing w:lineRule="auto" w:line="288" w:before="0" w:after="120"/>
        <w:ind w:left="0" w:right="0" w:hanging="360"/>
        <w:jc w:val="left"/>
        <w:rPr>
          <w:rFonts w:ascii="Arial;sans-serif" w:hAnsi="Arial;sans-serif"/>
          <w:b w:val="false"/>
          <w:color w:val="52575F"/>
          <w:sz w:val="16"/>
        </w:rPr>
      </w:pPr>
      <w:r>
        <w:rPr>
          <w:rFonts w:ascii="Arial;sans-serif" w:hAnsi="Arial;sans-serif"/>
          <w:b w:val="false"/>
          <w:color w:val="52575F"/>
          <w:sz w:val="16"/>
        </w:rPr>
        <w:t>2.The dollar amounts represent the amounts of total compensation reported for Ms. Francis (our current CEO) for each corresponding year in the “Total” column of the Summary Compensation Table. Refer to “Executive Compensation—Summary Compensation Table.”</w:t>
      </w:r>
    </w:p>
    <w:p>
      <w:pPr>
        <w:pStyle w:val="TextBody"/>
        <w:bidi w:val="0"/>
        <w:spacing w:lineRule="auto" w:line="288" w:before="0" w:after="120"/>
        <w:ind w:left="0" w:right="0" w:hanging="360"/>
        <w:jc w:val="left"/>
        <w:rPr>
          <w:rFonts w:ascii="Arial;sans-serif" w:hAnsi="Arial;sans-serif"/>
          <w:b w:val="false"/>
          <w:color w:val="52575F"/>
          <w:sz w:val="16"/>
        </w:rPr>
      </w:pPr>
      <w:r>
        <w:rPr>
          <w:rFonts w:ascii="Arial;sans-serif" w:hAnsi="Arial;sans-serif"/>
          <w:b w:val="false"/>
          <w:color w:val="52575F"/>
          <w:sz w:val="16"/>
        </w:rPr>
        <w:t xml:space="preserve">3.The dollar amounts represent the amount of “compensation actually paid” to Ms. Francis, as computed in accordance with Item 402(v) of Regulation S-K. The dollar amounts do not reflect the actual amount of compensation earned by or paid to Ms. Francis during the applicable year. In accordance with the requirements of Item 402(v) of Regulation S-K, the following adjustments were made to Ms. Francis’s total compensation for 2024 to determine the compensation actually paid: </w:t>
      </w:r>
    </w:p>
    <w:tbl>
      <w:tblPr>
        <w:tblW w:w="10205" w:type="dxa"/>
        <w:jc w:val="left"/>
        <w:tblInd w:w="0" w:type="dxa"/>
        <w:tblLayout w:type="fixed"/>
        <w:tblCellMar>
          <w:top w:w="28" w:type="dxa"/>
          <w:left w:w="28" w:type="dxa"/>
          <w:bottom w:w="28" w:type="dxa"/>
          <w:right w:w="28" w:type="dxa"/>
        </w:tblCellMar>
      </w:tblPr>
      <w:tblGrid>
        <w:gridCol w:w="173"/>
        <w:gridCol w:w="152"/>
        <w:gridCol w:w="156"/>
        <w:gridCol w:w="476"/>
        <w:gridCol w:w="456"/>
        <w:gridCol w:w="457"/>
        <w:gridCol w:w="525"/>
        <w:gridCol w:w="505"/>
        <w:gridCol w:w="506"/>
        <w:gridCol w:w="639"/>
        <w:gridCol w:w="355"/>
        <w:gridCol w:w="356"/>
        <w:gridCol w:w="644"/>
        <w:gridCol w:w="345"/>
        <w:gridCol w:w="347"/>
        <w:gridCol w:w="540"/>
        <w:gridCol w:w="317"/>
        <w:gridCol w:w="319"/>
        <w:gridCol w:w="602"/>
        <w:gridCol w:w="298"/>
        <w:gridCol w:w="300"/>
        <w:gridCol w:w="464"/>
        <w:gridCol w:w="444"/>
        <w:gridCol w:w="445"/>
        <w:gridCol w:w="109"/>
        <w:gridCol w:w="109"/>
        <w:gridCol w:w="166"/>
      </w:tblGrid>
      <w:tr>
        <w:trPr/>
        <w:tc>
          <w:tcPr>
            <w:tcW w:w="173"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457"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sz w:val="4"/>
                <w:szCs w:val="4"/>
              </w:rPr>
            </w:pPr>
            <w:r>
              <w:rPr>
                <w:sz w:val="4"/>
                <w:szCs w:val="4"/>
              </w:rPr>
            </w:r>
          </w:p>
        </w:tc>
        <w:tc>
          <w:tcPr>
            <w:tcW w:w="506" w:type="dxa"/>
            <w:tcBorders/>
            <w:vAlign w:val="center"/>
          </w:tcPr>
          <w:p>
            <w:pPr>
              <w:pStyle w:val="TableContents"/>
              <w:bidi w:val="0"/>
              <w:spacing w:before="0" w:after="283"/>
              <w:jc w:val="left"/>
              <w:rPr>
                <w:sz w:val="4"/>
                <w:szCs w:val="4"/>
              </w:rPr>
            </w:pPr>
            <w:r>
              <w:rPr>
                <w:sz w:val="4"/>
                <w:szCs w:val="4"/>
              </w:rPr>
            </w:r>
          </w:p>
        </w:tc>
        <w:tc>
          <w:tcPr>
            <w:tcW w:w="639"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644"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602"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4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48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6"/>
              </w:rPr>
            </w:pPr>
            <w:r>
              <w:rPr>
                <w:rFonts w:ascii="Arial;sans-serif" w:hAnsi="Arial;sans-serif"/>
                <w:b/>
                <w:color w:val="000000"/>
                <w:sz w:val="16"/>
              </w:rPr>
              <w:t>Year</w:t>
            </w:r>
          </w:p>
        </w:tc>
        <w:tc>
          <w:tcPr>
            <w:tcW w:w="1389"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6"/>
              </w:rPr>
            </w:pPr>
            <w:r>
              <w:rPr>
                <w:rFonts w:ascii="Arial;sans-serif" w:hAnsi="Arial;sans-serif"/>
                <w:b/>
                <w:color w:val="000000"/>
                <w:sz w:val="16"/>
              </w:rPr>
              <w:t>Summary Compensation Table Total</w:t>
              <w:br/>
              <w:t xml:space="preserve">($) </w:t>
            </w:r>
          </w:p>
        </w:tc>
        <w:tc>
          <w:tcPr>
            <w:tcW w:w="1536"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6"/>
              </w:rPr>
            </w:pPr>
            <w:r>
              <w:rPr>
                <w:rFonts w:ascii="Arial;sans-serif" w:hAnsi="Arial;sans-serif"/>
                <w:b/>
                <w:color w:val="000000"/>
                <w:sz w:val="16"/>
              </w:rPr>
              <w:t>Minus: Stock and Option Awards from Summary Compensation Table</w:t>
              <w:br/>
              <w:t>($)</w:t>
            </w:r>
          </w:p>
        </w:tc>
        <w:tc>
          <w:tcPr>
            <w:tcW w:w="1350"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6"/>
              </w:rPr>
            </w:pPr>
            <w:r>
              <w:rPr>
                <w:rFonts w:ascii="Arial;sans-serif" w:hAnsi="Arial;sans-serif"/>
                <w:b/>
                <w:color w:val="000000"/>
                <w:sz w:val="16"/>
              </w:rPr>
              <w:t xml:space="preserve">Plus: Year-End Equity Value of Unvested Awards Granted </w:t>
              <w:br/>
              <w:t>During Year</w:t>
              <w:br/>
              <w:t>($)</w:t>
            </w:r>
          </w:p>
        </w:tc>
        <w:tc>
          <w:tcPr>
            <w:tcW w:w="1336"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6"/>
              </w:rPr>
            </w:pPr>
            <w:r>
              <w:rPr>
                <w:rFonts w:ascii="Arial;sans-serif" w:hAnsi="Arial;sans-serif"/>
                <w:b/>
                <w:color w:val="000000"/>
                <w:sz w:val="16"/>
              </w:rPr>
              <w:t xml:space="preserve">Plus: Change </w:t>
              <w:br/>
              <w:t>in Value of Unvested Awards Granted in Prior Years</w:t>
              <w:br/>
              <w:t>($)</w:t>
            </w:r>
          </w:p>
        </w:tc>
        <w:tc>
          <w:tcPr>
            <w:tcW w:w="1176"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6"/>
              </w:rPr>
            </w:pPr>
            <w:r>
              <w:rPr>
                <w:rFonts w:ascii="Arial;sans-serif" w:hAnsi="Arial;sans-serif"/>
                <w:b/>
                <w:color w:val="000000"/>
                <w:sz w:val="16"/>
              </w:rPr>
              <w:t>Plus: Value of Awards Granted and Vested During Year</w:t>
              <w:br/>
              <w:t>($)</w:t>
            </w:r>
          </w:p>
        </w:tc>
        <w:tc>
          <w:tcPr>
            <w:tcW w:w="1200"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6"/>
              </w:rPr>
            </w:pPr>
            <w:r>
              <w:rPr>
                <w:rFonts w:ascii="Arial;sans-serif" w:hAnsi="Arial;sans-serif"/>
                <w:b/>
                <w:color w:val="000000"/>
                <w:sz w:val="16"/>
              </w:rPr>
              <w:t>Plus: Change in Value of Prior Years' Awards Vested During Year</w:t>
              <w:br/>
              <w:t>($)</w:t>
            </w:r>
          </w:p>
        </w:tc>
        <w:tc>
          <w:tcPr>
            <w:tcW w:w="1353"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6"/>
              </w:rPr>
            </w:pPr>
            <w:r>
              <w:rPr>
                <w:rFonts w:ascii="Arial;sans-serif" w:hAnsi="Arial;sans-serif"/>
                <w:b/>
                <w:color w:val="000000"/>
                <w:sz w:val="16"/>
              </w:rPr>
              <w:t>Compensation Actually Paid</w:t>
              <w:br/>
              <w:t>($)</w:t>
            </w:r>
          </w:p>
        </w:tc>
        <w:tc>
          <w:tcPr>
            <w:tcW w:w="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 w:type="dxa"/>
            <w:gridSpan w:val="3"/>
            <w:tcBorders>
              <w:bottom w:val="single" w:sz="12" w:space="0" w:color="74A333"/>
            </w:tcBorders>
            <w:shd w:fill="EDEDEE" w:val="clear"/>
            <w:tcMar>
              <w:top w:w="0" w:type="dxa"/>
              <w:left w:w="0" w:type="dxa"/>
              <w:bottom w:w="30" w:type="dxa"/>
              <w:right w:w="0" w:type="dxa"/>
            </w:tcMar>
            <w:vAlign w:val="center"/>
          </w:tcPr>
          <w:p>
            <w:pPr>
              <w:pStyle w:val="TableContents"/>
              <w:bidi w:val="0"/>
              <w:spacing w:lineRule="auto" w:line="288" w:before="0" w:after="283"/>
              <w:jc w:val="left"/>
              <w:rPr>
                <w:rFonts w:ascii="Arial;sans-serif" w:hAnsi="Arial;sans-serif"/>
                <w:b/>
                <w:color w:val="000000"/>
                <w:sz w:val="16"/>
              </w:rPr>
            </w:pPr>
            <w:r>
              <w:rPr>
                <w:rFonts w:ascii="Arial;sans-serif" w:hAnsi="Arial;sans-serif"/>
                <w:b/>
                <w:color w:val="000000"/>
                <w:sz w:val="16"/>
              </w:rPr>
              <w:t>2024</w:t>
            </w:r>
          </w:p>
        </w:tc>
        <w:tc>
          <w:tcPr>
            <w:tcW w:w="932" w:type="dxa"/>
            <w:gridSpan w:val="2"/>
            <w:tcBorders>
              <w:bottom w:val="single" w:sz="12" w:space="0" w:color="74A333"/>
            </w:tcBorders>
            <w:shd w:fill="EDEDEE" w:val="clear"/>
            <w:tcMar>
              <w:top w:w="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7,087,404 </w:t>
            </w:r>
          </w:p>
        </w:tc>
        <w:tc>
          <w:tcPr>
            <w:tcW w:w="457" w:type="dxa"/>
            <w:tcBorders>
              <w:bottom w:val="single" w:sz="12" w:space="0" w:color="74A333"/>
            </w:tcBorders>
            <w:shd w:fill="EDEDEE"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30" w:type="dxa"/>
            <w:gridSpan w:val="2"/>
            <w:tcBorders>
              <w:bottom w:val="single" w:sz="12" w:space="0" w:color="74A333"/>
            </w:tcBorders>
            <w:shd w:fill="EDEDEE" w:val="clear"/>
            <w:tcMar>
              <w:top w:w="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5,793,445 </w:t>
            </w:r>
          </w:p>
        </w:tc>
        <w:tc>
          <w:tcPr>
            <w:tcW w:w="506" w:type="dxa"/>
            <w:tcBorders>
              <w:bottom w:val="single" w:sz="12" w:space="0" w:color="74A333"/>
            </w:tcBorders>
            <w:shd w:fill="EDEDEE"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bottom w:val="single" w:sz="12" w:space="0" w:color="74A333"/>
            </w:tcBorders>
            <w:shd w:fill="EDEDEE" w:val="clear"/>
            <w:tcMar>
              <w:top w:w="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2,950,273 </w:t>
            </w:r>
          </w:p>
        </w:tc>
        <w:tc>
          <w:tcPr>
            <w:tcW w:w="356" w:type="dxa"/>
            <w:tcBorders>
              <w:bottom w:val="single" w:sz="12" w:space="0" w:color="74A333"/>
            </w:tcBorders>
            <w:shd w:fill="EDEDEE"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bottom w:val="single" w:sz="12" w:space="0" w:color="74A333"/>
            </w:tcBorders>
            <w:shd w:fill="EDEDEE" w:val="clear"/>
            <w:tcMar>
              <w:top w:w="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(1,746,007)</w:t>
            </w:r>
          </w:p>
        </w:tc>
        <w:tc>
          <w:tcPr>
            <w:tcW w:w="347" w:type="dxa"/>
            <w:tcBorders>
              <w:bottom w:val="single" w:sz="12" w:space="0" w:color="74A333"/>
            </w:tcBorders>
            <w:shd w:fill="EDEDEE"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bottom w:val="single" w:sz="12" w:space="0" w:color="74A333"/>
            </w:tcBorders>
            <w:shd w:fill="EDEDEE" w:val="clear"/>
            <w:tcMar>
              <w:top w:w="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266,096 </w:t>
            </w:r>
          </w:p>
        </w:tc>
        <w:tc>
          <w:tcPr>
            <w:tcW w:w="319" w:type="dxa"/>
            <w:tcBorders>
              <w:bottom w:val="single" w:sz="12" w:space="0" w:color="74A333"/>
            </w:tcBorders>
            <w:shd w:fill="EDEDEE"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bottom w:val="single" w:sz="12" w:space="0" w:color="74A333"/>
            </w:tcBorders>
            <w:shd w:fill="EDEDEE" w:val="clear"/>
            <w:tcMar>
              <w:top w:w="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(275,291)</w:t>
            </w:r>
          </w:p>
        </w:tc>
        <w:tc>
          <w:tcPr>
            <w:tcW w:w="300" w:type="dxa"/>
            <w:tcBorders>
              <w:bottom w:val="single" w:sz="12" w:space="0" w:color="74A333"/>
            </w:tcBorders>
            <w:shd w:fill="EDEDEE"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908" w:type="dxa"/>
            <w:gridSpan w:val="2"/>
            <w:tcBorders>
              <w:bottom w:val="single" w:sz="12" w:space="0" w:color="74A333"/>
            </w:tcBorders>
            <w:shd w:fill="EDEDEE" w:val="clear"/>
            <w:tcMar>
              <w:top w:w="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2,489,030 </w:t>
            </w:r>
          </w:p>
        </w:tc>
        <w:tc>
          <w:tcPr>
            <w:tcW w:w="445" w:type="dxa"/>
            <w:tcBorders>
              <w:bottom w:val="single" w:sz="12" w:space="0" w:color="74A333"/>
            </w:tcBorders>
            <w:shd w:fill="EDEDEE"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bottom w:val="single" w:sz="12" w:space="0" w:color="74A333"/>
            </w:tcBorders>
            <w:shd w:fill="EDEDEE"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ind w:left="0" w:right="0" w:hanging="360"/>
        <w:jc w:val="left"/>
        <w:rPr>
          <w:rFonts w:ascii="Arial;sans-serif" w:hAnsi="Arial;sans-serif"/>
          <w:b w:val="false"/>
          <w:color w:val="52575F"/>
          <w:sz w:val="16"/>
        </w:rPr>
      </w:pPr>
      <w:r>
        <w:rPr>
          <w:rFonts w:ascii="Arial;sans-serif" w:hAnsi="Arial;sans-serif"/>
          <w:b w:val="false"/>
          <w:color w:val="52575F"/>
          <w:sz w:val="16"/>
        </w:rPr>
        <w:t>4.The dollar amounts represent the average of the amounts reported for our non-PEO NEOs as a group in the “Total” column of the Summary Compensation Table in each applicable year. The Non-PEO NEOs included for purposes of calculating the average amounts in each applicable year were Mr. Maheshwari and Mr. Recupero.</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480175" cy="739140"/>
                <wp:effectExtent l="0" t="0" r="0" b="0"/>
                <wp:wrapNone/>
                <wp:docPr id="69" name="Frame48"/>
                <a:graphic xmlns:a="http://schemas.openxmlformats.org/drawingml/2006/main">
                  <a:graphicData uri="http://schemas.microsoft.com/office/word/2010/wordprocessingShape">
                    <wps:wsp>
                      <wps:cNvSpPr txBox="1"/>
                      <wps:spPr>
                        <a:xfrm>
                          <a:off x="0" y="0"/>
                          <a:ext cx="6480175" cy="739140"/>
                        </a:xfrm>
                        <a:prstGeom prst="rect"/>
                        <a:solidFill>
                          <a:srgbClr val="FFFFFF"/>
                        </a:solidFill>
                      </wps:spPr>
                      <wps:txbx>
                        <w:txbxContent>
                          <w:tbl>
                            <w:tblPr>
                              <w:tblW w:w="3266" w:type="dxa"/>
                              <w:jc w:val="center"/>
                              <w:tblInd w:w="0" w:type="dxa"/>
                              <w:tblLayout w:type="fixed"/>
                              <w:tblCellMar>
                                <w:top w:w="28" w:type="dxa"/>
                                <w:left w:w="28" w:type="dxa"/>
                                <w:bottom w:w="28" w:type="dxa"/>
                                <w:right w:w="28" w:type="dxa"/>
                              </w:tblCellMar>
                            </w:tblPr>
                            <w:tblGrid>
                              <w:gridCol w:w="424"/>
                              <w:gridCol w:w="372"/>
                              <w:gridCol w:w="374"/>
                              <w:gridCol w:w="109"/>
                              <w:gridCol w:w="109"/>
                              <w:gridCol w:w="109"/>
                              <w:gridCol w:w="517"/>
                              <w:gridCol w:w="517"/>
                              <w:gridCol w:w="735"/>
                            </w:tblGrid>
                            <w:tr>
                              <w:trPr/>
                              <w:tc>
                                <w:tcPr>
                                  <w:tcW w:w="424"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r>
                            <w:tr>
                              <w:trPr/>
                              <w:tc>
                                <w:tcPr>
                                  <w:tcW w:w="1170"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6"/>
                                    </w:rPr>
                                  </w:pPr>
                                  <w:r>
                                    <w:rPr>
                                      <w:rFonts w:ascii="Arial;sans-serif" w:hAnsi="Arial;sans-serif"/>
                                      <w:b/>
                                      <w:color w:val="000000"/>
                                      <w:sz w:val="16"/>
                                    </w:rPr>
                                    <w:t>SI-BONE, Inc.</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000000"/>
                                      <w:sz w:val="16"/>
                                    </w:rPr>
                                  </w:pPr>
                                  <w:r>
                                    <w:rPr>
                                      <w:rFonts w:ascii="Arial;sans-serif" w:hAnsi="Arial;sans-serif"/>
                                      <w:b/>
                                      <w:color w:val="000000"/>
                                      <w:sz w:val="16"/>
                                    </w:rPr>
                                    <w:t>43</w:t>
                                  </w:r>
                                </w:p>
                              </w:tc>
                              <w:tc>
                                <w:tcPr>
                                  <w:tcW w:w="176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2025 Proxy Statement</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2pt;mso-wrap-distance-left:0pt;mso-wrap-distance-right:0pt;mso-wrap-distance-top:0pt;mso-wrap-distance-bottom:0pt;margin-top:0pt;mso-position-vertical:top;mso-position-vertical-relative:text;margin-left:0pt;mso-position-horizontal:left;mso-position-horizontal-relative:text">
                <v:textbox>
                  <w:txbxContent>
                    <w:tbl>
                      <w:tblPr>
                        <w:tblW w:w="3266" w:type="dxa"/>
                        <w:jc w:val="center"/>
                        <w:tblInd w:w="0" w:type="dxa"/>
                        <w:tblLayout w:type="fixed"/>
                        <w:tblCellMar>
                          <w:top w:w="28" w:type="dxa"/>
                          <w:left w:w="28" w:type="dxa"/>
                          <w:bottom w:w="28" w:type="dxa"/>
                          <w:right w:w="28" w:type="dxa"/>
                        </w:tblCellMar>
                      </w:tblPr>
                      <w:tblGrid>
                        <w:gridCol w:w="424"/>
                        <w:gridCol w:w="372"/>
                        <w:gridCol w:w="374"/>
                        <w:gridCol w:w="109"/>
                        <w:gridCol w:w="109"/>
                        <w:gridCol w:w="109"/>
                        <w:gridCol w:w="517"/>
                        <w:gridCol w:w="517"/>
                        <w:gridCol w:w="735"/>
                      </w:tblGrid>
                      <w:tr>
                        <w:trPr/>
                        <w:tc>
                          <w:tcPr>
                            <w:tcW w:w="424"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r>
                      <w:tr>
                        <w:trPr/>
                        <w:tc>
                          <w:tcPr>
                            <w:tcW w:w="1170"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6"/>
                              </w:rPr>
                            </w:pPr>
                            <w:r>
                              <w:rPr>
                                <w:rFonts w:ascii="Arial;sans-serif" w:hAnsi="Arial;sans-serif"/>
                                <w:b/>
                                <w:color w:val="000000"/>
                                <w:sz w:val="16"/>
                              </w:rPr>
                              <w:t>SI-BONE, Inc.</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000000"/>
                                <w:sz w:val="16"/>
                              </w:rPr>
                            </w:pPr>
                            <w:r>
                              <w:rPr>
                                <w:rFonts w:ascii="Arial;sans-serif" w:hAnsi="Arial;sans-serif"/>
                                <w:b/>
                                <w:color w:val="000000"/>
                                <w:sz w:val="16"/>
                              </w:rPr>
                              <w:t>43</w:t>
                            </w:r>
                          </w:p>
                        </w:tc>
                        <w:tc>
                          <w:tcPr>
                            <w:tcW w:w="176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2025 Proxy Statement</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right"/>
        <w:rPr>
          <w:rFonts w:ascii="Arial;sans-serif" w:hAnsi="Arial;sans-serif"/>
          <w:b w:val="false"/>
          <w:color w:val="000000"/>
          <w:sz w:val="16"/>
        </w:rPr>
      </w:pPr>
      <w:r>
        <w:rPr>
          <w:rFonts w:ascii="Arial;sans-serif" w:hAnsi="Arial;sans-serif"/>
          <w:b w:val="false"/>
          <w:color w:val="000000"/>
          <w:sz w:val="16"/>
        </w:rPr>
        <w:t>Table of Contents</w:t>
      </w:r>
    </w:p>
    <w:p>
      <w:pPr>
        <w:pStyle w:val="TextBody"/>
        <w:bidi w:val="0"/>
        <w:spacing w:lineRule="auto" w:line="288" w:before="0" w:after="120"/>
        <w:ind w:left="0" w:right="0" w:hanging="360"/>
        <w:jc w:val="left"/>
        <w:rPr>
          <w:rFonts w:ascii="Arial;sans-serif" w:hAnsi="Arial;sans-serif"/>
          <w:b w:val="false"/>
          <w:color w:val="52575F"/>
          <w:sz w:val="16"/>
        </w:rPr>
      </w:pPr>
      <w:r>
        <w:rPr>
          <w:rFonts w:ascii="Arial;sans-serif" w:hAnsi="Arial;sans-serif"/>
          <w:b w:val="false"/>
          <w:color w:val="52575F"/>
          <w:sz w:val="16"/>
        </w:rPr>
        <w:t>5.The dollar amounts represent the average amount of “compensation actually paid” to the Non-PEO NEOs as a group, as computed in accordance with Item 402(v) of Regulation S-K. The dollar amounts do not reflect the actual average amount of compensation earned by or paid to the Non-PEO NEOs as a group during the applicable year. In accordance with the requirements of Item 402(v) of Regulation S-K, the following adjustments were made to average total compensation for the Non-PEO NEOs as a group for 2024 to determine the compensation actually paid, using the same methodology described above in footnote 4:</w:t>
      </w:r>
    </w:p>
    <w:tbl>
      <w:tblPr>
        <w:tblW w:w="10205" w:type="dxa"/>
        <w:jc w:val="left"/>
        <w:tblInd w:w="0" w:type="dxa"/>
        <w:tblLayout w:type="fixed"/>
        <w:tblCellMar>
          <w:top w:w="28" w:type="dxa"/>
          <w:left w:w="28" w:type="dxa"/>
          <w:bottom w:w="28" w:type="dxa"/>
          <w:right w:w="28" w:type="dxa"/>
        </w:tblCellMar>
      </w:tblPr>
      <w:tblGrid>
        <w:gridCol w:w="173"/>
        <w:gridCol w:w="152"/>
        <w:gridCol w:w="156"/>
        <w:gridCol w:w="502"/>
        <w:gridCol w:w="482"/>
        <w:gridCol w:w="484"/>
        <w:gridCol w:w="572"/>
        <w:gridCol w:w="553"/>
        <w:gridCol w:w="554"/>
        <w:gridCol w:w="480"/>
        <w:gridCol w:w="328"/>
        <w:gridCol w:w="329"/>
        <w:gridCol w:w="580"/>
        <w:gridCol w:w="414"/>
        <w:gridCol w:w="416"/>
        <w:gridCol w:w="525"/>
        <w:gridCol w:w="309"/>
        <w:gridCol w:w="310"/>
        <w:gridCol w:w="535"/>
        <w:gridCol w:w="286"/>
        <w:gridCol w:w="288"/>
        <w:gridCol w:w="465"/>
        <w:gridCol w:w="465"/>
        <w:gridCol w:w="466"/>
        <w:gridCol w:w="109"/>
        <w:gridCol w:w="109"/>
        <w:gridCol w:w="163"/>
      </w:tblGrid>
      <w:tr>
        <w:trPr/>
        <w:tc>
          <w:tcPr>
            <w:tcW w:w="173"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502"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572" w:type="dxa"/>
            <w:tcBorders/>
            <w:vAlign w:val="center"/>
          </w:tcPr>
          <w:p>
            <w:pPr>
              <w:pStyle w:val="TableContents"/>
              <w:bidi w:val="0"/>
              <w:spacing w:before="0" w:after="283"/>
              <w:jc w:val="left"/>
              <w:rPr>
                <w:sz w:val="4"/>
                <w:szCs w:val="4"/>
              </w:rPr>
            </w:pPr>
            <w:r>
              <w:rPr>
                <w:sz w:val="4"/>
                <w:szCs w:val="4"/>
              </w:rPr>
            </w:r>
          </w:p>
        </w:tc>
        <w:tc>
          <w:tcPr>
            <w:tcW w:w="553"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580"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535"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48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6"/>
              </w:rPr>
            </w:pPr>
            <w:r>
              <w:rPr>
                <w:rFonts w:ascii="Arial;sans-serif" w:hAnsi="Arial;sans-serif"/>
                <w:b/>
                <w:color w:val="000000"/>
                <w:sz w:val="16"/>
              </w:rPr>
              <w:t>Year</w:t>
            </w:r>
          </w:p>
        </w:tc>
        <w:tc>
          <w:tcPr>
            <w:tcW w:w="1468"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6"/>
              </w:rPr>
            </w:pPr>
            <w:r>
              <w:rPr>
                <w:rFonts w:ascii="Arial;sans-serif" w:hAnsi="Arial;sans-serif"/>
                <w:b/>
                <w:color w:val="000000"/>
                <w:sz w:val="16"/>
              </w:rPr>
              <w:t>Avg. Summary Compensation Table Total</w:t>
              <w:br/>
              <w:t>($)</w:t>
            </w:r>
          </w:p>
        </w:tc>
        <w:tc>
          <w:tcPr>
            <w:tcW w:w="1679"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6"/>
              </w:rPr>
            </w:pPr>
            <w:r>
              <w:rPr>
                <w:rFonts w:ascii="Arial;sans-serif" w:hAnsi="Arial;sans-serif"/>
                <w:b/>
                <w:color w:val="000000"/>
                <w:sz w:val="16"/>
              </w:rPr>
              <w:t>Minus Avg. Stock and Option Awards from Summary Compensation Table</w:t>
              <w:br/>
              <w:t>($)</w:t>
            </w:r>
          </w:p>
        </w:tc>
        <w:tc>
          <w:tcPr>
            <w:tcW w:w="1137"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6"/>
              </w:rPr>
            </w:pPr>
            <w:r>
              <w:rPr>
                <w:rFonts w:ascii="Arial;sans-serif" w:hAnsi="Arial;sans-serif"/>
                <w:b/>
                <w:color w:val="000000"/>
                <w:sz w:val="16"/>
              </w:rPr>
              <w:t xml:space="preserve">Plus Avg. </w:t>
              <w:br/>
              <w:t xml:space="preserve">Year-End Equity Value </w:t>
              <w:br/>
              <w:t xml:space="preserve">of Unvested Awards Granted </w:t>
              <w:br/>
              <w:t>During Year</w:t>
              <w:br/>
              <w:t>($)</w:t>
            </w:r>
          </w:p>
        </w:tc>
        <w:tc>
          <w:tcPr>
            <w:tcW w:w="1410"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6"/>
              </w:rPr>
            </w:pPr>
            <w:r>
              <w:rPr>
                <w:rFonts w:ascii="Arial;sans-serif" w:hAnsi="Arial;sans-serif"/>
                <w:b/>
                <w:color w:val="000000"/>
                <w:sz w:val="16"/>
              </w:rPr>
              <w:t>Plus Avg. Change in Value of Unvested Awards Granted in Prior Years</w:t>
              <w:br/>
              <w:t>($)</w:t>
            </w:r>
          </w:p>
        </w:tc>
        <w:tc>
          <w:tcPr>
            <w:tcW w:w="114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6"/>
              </w:rPr>
            </w:pPr>
            <w:r>
              <w:rPr>
                <w:rFonts w:ascii="Arial;sans-serif" w:hAnsi="Arial;sans-serif"/>
                <w:b/>
                <w:color w:val="000000"/>
                <w:sz w:val="16"/>
              </w:rPr>
              <w:t xml:space="preserve">Plus Avg. Value of Awards Granted </w:t>
              <w:br/>
              <w:t xml:space="preserve">and Vested </w:t>
              <w:br/>
              <w:t>During Year</w:t>
              <w:br/>
              <w:t>($)</w:t>
            </w:r>
          </w:p>
        </w:tc>
        <w:tc>
          <w:tcPr>
            <w:tcW w:w="1109"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6"/>
              </w:rPr>
            </w:pPr>
            <w:r>
              <w:rPr>
                <w:rFonts w:ascii="Arial;sans-serif" w:hAnsi="Arial;sans-serif"/>
                <w:b/>
                <w:color w:val="000000"/>
                <w:sz w:val="16"/>
              </w:rPr>
              <w:t xml:space="preserve">Plus Avg. Change in Value of </w:t>
              <w:br/>
              <w:t xml:space="preserve">Prior Years' </w:t>
              <w:br/>
              <w:t xml:space="preserve">Awards Vested </w:t>
              <w:br/>
              <w:t>During Year</w:t>
              <w:br/>
              <w:t>($)</w:t>
            </w:r>
          </w:p>
        </w:tc>
        <w:tc>
          <w:tcPr>
            <w:tcW w:w="1396"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6"/>
              </w:rPr>
            </w:pPr>
            <w:r>
              <w:rPr>
                <w:rFonts w:ascii="Arial;sans-serif" w:hAnsi="Arial;sans-serif"/>
                <w:b/>
                <w:color w:val="000000"/>
                <w:sz w:val="16"/>
              </w:rPr>
              <w:t>Avg. Compensation Actually Paid</w:t>
              <w:br/>
              <w:t>($)</w:t>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 w:type="dxa"/>
            <w:gridSpan w:val="3"/>
            <w:tcBorders>
              <w:bottom w:val="single" w:sz="12" w:space="0" w:color="74A333"/>
            </w:tcBorders>
            <w:shd w:fill="EDEDEE" w:val="clear"/>
            <w:tcMar>
              <w:top w:w="0" w:type="dxa"/>
              <w:left w:w="0" w:type="dxa"/>
              <w:bottom w:w="30" w:type="dxa"/>
              <w:right w:w="0" w:type="dxa"/>
            </w:tcMar>
            <w:vAlign w:val="center"/>
          </w:tcPr>
          <w:p>
            <w:pPr>
              <w:pStyle w:val="TableContents"/>
              <w:bidi w:val="0"/>
              <w:spacing w:lineRule="auto" w:line="288" w:before="0" w:after="283"/>
              <w:jc w:val="left"/>
              <w:rPr>
                <w:rFonts w:ascii="Arial;sans-serif" w:hAnsi="Arial;sans-serif"/>
                <w:b/>
                <w:color w:val="000000"/>
                <w:sz w:val="16"/>
              </w:rPr>
            </w:pPr>
            <w:r>
              <w:rPr>
                <w:rFonts w:ascii="Arial;sans-serif" w:hAnsi="Arial;sans-serif"/>
                <w:b/>
                <w:color w:val="000000"/>
                <w:sz w:val="16"/>
              </w:rPr>
              <w:t>2024</w:t>
            </w:r>
          </w:p>
        </w:tc>
        <w:tc>
          <w:tcPr>
            <w:tcW w:w="984" w:type="dxa"/>
            <w:gridSpan w:val="2"/>
            <w:tcBorders>
              <w:bottom w:val="single" w:sz="12" w:space="0" w:color="74A333"/>
            </w:tcBorders>
            <w:shd w:fill="EDEDEE" w:val="clear"/>
            <w:tcMar>
              <w:top w:w="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2,516,945 </w:t>
            </w:r>
          </w:p>
        </w:tc>
        <w:tc>
          <w:tcPr>
            <w:tcW w:w="484" w:type="dxa"/>
            <w:tcBorders>
              <w:bottom w:val="single" w:sz="12" w:space="0" w:color="74A333"/>
            </w:tcBorders>
            <w:shd w:fill="EDEDEE"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125" w:type="dxa"/>
            <w:gridSpan w:val="2"/>
            <w:tcBorders>
              <w:bottom w:val="single" w:sz="12" w:space="0" w:color="74A333"/>
            </w:tcBorders>
            <w:shd w:fill="EDEDEE" w:val="clear"/>
            <w:tcMar>
              <w:top w:w="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1,702,836 </w:t>
            </w:r>
          </w:p>
        </w:tc>
        <w:tc>
          <w:tcPr>
            <w:tcW w:w="554" w:type="dxa"/>
            <w:tcBorders>
              <w:bottom w:val="single" w:sz="12" w:space="0" w:color="74A333"/>
            </w:tcBorders>
            <w:shd w:fill="EDEDEE"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808" w:type="dxa"/>
            <w:gridSpan w:val="2"/>
            <w:tcBorders>
              <w:bottom w:val="single" w:sz="12" w:space="0" w:color="74A333"/>
            </w:tcBorders>
            <w:shd w:fill="EDEDEE" w:val="clear"/>
            <w:tcMar>
              <w:top w:w="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906,870 </w:t>
            </w:r>
          </w:p>
        </w:tc>
        <w:tc>
          <w:tcPr>
            <w:tcW w:w="329" w:type="dxa"/>
            <w:tcBorders>
              <w:bottom w:val="single" w:sz="12" w:space="0" w:color="74A333"/>
            </w:tcBorders>
            <w:shd w:fill="EDEDEE"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bottom w:val="single" w:sz="12" w:space="0" w:color="74A333"/>
            </w:tcBorders>
            <w:shd w:fill="EDEDEE" w:val="clear"/>
            <w:tcMar>
              <w:top w:w="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(694,594)</w:t>
            </w:r>
          </w:p>
        </w:tc>
        <w:tc>
          <w:tcPr>
            <w:tcW w:w="416" w:type="dxa"/>
            <w:tcBorders>
              <w:bottom w:val="single" w:sz="12" w:space="0" w:color="74A333"/>
            </w:tcBorders>
            <w:shd w:fill="EDEDEE"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834" w:type="dxa"/>
            <w:gridSpan w:val="2"/>
            <w:tcBorders>
              <w:bottom w:val="single" w:sz="12" w:space="0" w:color="74A333"/>
            </w:tcBorders>
            <w:shd w:fill="EDEDEE" w:val="clear"/>
            <w:tcMar>
              <w:top w:w="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134,852 </w:t>
            </w:r>
          </w:p>
        </w:tc>
        <w:tc>
          <w:tcPr>
            <w:tcW w:w="310" w:type="dxa"/>
            <w:tcBorders>
              <w:bottom w:val="single" w:sz="12" w:space="0" w:color="74A333"/>
            </w:tcBorders>
            <w:shd w:fill="EDEDEE"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821" w:type="dxa"/>
            <w:gridSpan w:val="2"/>
            <w:tcBorders>
              <w:bottom w:val="single" w:sz="12" w:space="0" w:color="74A333"/>
            </w:tcBorders>
            <w:shd w:fill="EDEDEE" w:val="clear"/>
            <w:tcMar>
              <w:top w:w="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(209,643)</w:t>
            </w:r>
          </w:p>
        </w:tc>
        <w:tc>
          <w:tcPr>
            <w:tcW w:w="288" w:type="dxa"/>
            <w:tcBorders>
              <w:bottom w:val="single" w:sz="12" w:space="0" w:color="74A333"/>
            </w:tcBorders>
            <w:shd w:fill="EDEDEE"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bottom w:val="single" w:sz="12" w:space="0" w:color="74A333"/>
            </w:tcBorders>
            <w:shd w:fill="EDEDEE" w:val="clear"/>
            <w:tcMar>
              <w:top w:w="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951,594 </w:t>
            </w:r>
          </w:p>
        </w:tc>
        <w:tc>
          <w:tcPr>
            <w:tcW w:w="466" w:type="dxa"/>
            <w:tcBorders>
              <w:bottom w:val="single" w:sz="12" w:space="0" w:color="74A333"/>
            </w:tcBorders>
            <w:shd w:fill="EDEDEE"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bottom w:val="single" w:sz="12" w:space="0" w:color="74A333"/>
            </w:tcBorders>
            <w:shd w:fill="EDEDEE"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ind w:left="0" w:right="0" w:hanging="360"/>
        <w:jc w:val="left"/>
        <w:rPr>
          <w:rFonts w:ascii="Arial;sans-serif" w:hAnsi="Arial;sans-serif"/>
          <w:b w:val="false"/>
          <w:color w:val="52575F"/>
          <w:sz w:val="16"/>
        </w:rPr>
      </w:pPr>
      <w:r>
        <w:rPr>
          <w:rFonts w:ascii="Arial;sans-serif" w:hAnsi="Arial;sans-serif"/>
          <w:b w:val="false"/>
          <w:color w:val="52575F"/>
          <w:sz w:val="16"/>
        </w:rPr>
        <w:t xml:space="preserve">6.For the relevant fiscal year, represents the cumulative TSR of our common stock and the NASDAQ Medical Equipment Index at the end of each fiscal year. Cumulative TSR is calculated by dividing a fixed investment of $100 at the beginning of the measurement period (December 31, 2019) into a number of shares by the value of that investment at the end of the respective year plus the cumulative amount of dividends for the period, assuming dividend reinvestment. </w:t>
      </w:r>
    </w:p>
    <w:p>
      <w:pPr>
        <w:pStyle w:val="TextBody"/>
        <w:bidi w:val="0"/>
        <w:spacing w:lineRule="auto" w:line="288" w:before="0" w:after="120"/>
        <w:ind w:left="0" w:right="0" w:hanging="360"/>
        <w:jc w:val="left"/>
        <w:rPr>
          <w:rFonts w:ascii="Arial;sans-serif" w:hAnsi="Arial;sans-serif"/>
          <w:b w:val="false"/>
          <w:color w:val="52575F"/>
          <w:sz w:val="16"/>
        </w:rPr>
      </w:pPr>
      <w:r>
        <w:rPr>
          <w:rFonts w:ascii="Arial;sans-serif" w:hAnsi="Arial;sans-serif"/>
          <w:b w:val="false"/>
          <w:color w:val="52575F"/>
          <w:sz w:val="16"/>
        </w:rPr>
        <w:t>7.The dollar amounts reported represent the amount of net loss reflected in our audited financial statements for the applicable year.</w:t>
      </w:r>
    </w:p>
    <w:p>
      <w:pPr>
        <w:pStyle w:val="TextBody"/>
        <w:bidi w:val="0"/>
        <w:spacing w:lineRule="auto" w:line="288" w:before="0" w:after="120"/>
        <w:ind w:left="0" w:right="0" w:hanging="360"/>
        <w:jc w:val="left"/>
        <w:rPr>
          <w:rFonts w:ascii="Arial;sans-serif" w:hAnsi="Arial;sans-serif"/>
          <w:b w:val="false"/>
          <w:color w:val="52575F"/>
          <w:sz w:val="16"/>
        </w:rPr>
      </w:pPr>
      <w:r>
        <w:rPr>
          <w:rFonts w:ascii="Arial;sans-serif" w:hAnsi="Arial;sans-serif"/>
          <w:b w:val="false"/>
          <w:color w:val="52575F"/>
          <w:sz w:val="16"/>
        </w:rPr>
        <w:t>8.As required by Item 402(v) of Regulation S-K, we have determined that revenue growth is the Company-Selected Measure. The revenue growth percentage reported is based on consolidated revenue reflected in our audited financial statements for the applicable year.</w:t>
      </w:r>
    </w:p>
    <w:p>
      <w:pPr>
        <w:pStyle w:val="TextBody"/>
        <w:bidi w:val="0"/>
        <w:spacing w:lineRule="auto" w:line="312" w:before="0" w:after="120"/>
        <w:jc w:val="left"/>
        <w:rPr>
          <w:rFonts w:ascii="Arial;sans-serif" w:hAnsi="Arial;sans-serif"/>
          <w:b/>
          <w:color w:val="74A333"/>
          <w:sz w:val="18"/>
        </w:rPr>
      </w:pPr>
      <w:r>
        <w:rPr>
          <w:rFonts w:ascii="Arial;sans-serif" w:hAnsi="Arial;sans-serif"/>
          <w:b/>
          <w:color w:val="74A333"/>
          <w:sz w:val="18"/>
        </w:rPr>
        <w:t>Most important Financial Performance Measures</w:t>
      </w:r>
    </w:p>
    <w:p>
      <w:pPr>
        <w:pStyle w:val="TextBody"/>
        <w:bidi w:val="0"/>
        <w:spacing w:lineRule="auto" w:line="312" w:before="0" w:after="180"/>
        <w:jc w:val="left"/>
        <w:rPr/>
      </w:pPr>
      <w:r>
        <w:rPr>
          <w:rFonts w:ascii="Arial;sans-serif" w:hAnsi="Arial;sans-serif"/>
          <w:b w:val="false"/>
          <w:color w:val="000000"/>
          <w:sz w:val="18"/>
        </w:rPr>
        <w:t>The most important financial performance measures used by the company to link compensation actually paid to the company’s Named Executive Officers for the most recently completed fiscal year to the company’s performance are set forth below. For further information regarding these performance metrics and their function in our executive compensation program, please see “</w:t>
      </w:r>
      <w:r>
        <w:rPr>
          <w:rFonts w:ascii="Arial;sans-serif" w:hAnsi="Arial;sans-serif"/>
          <w:b w:val="false"/>
          <w:i/>
          <w:color w:val="000000"/>
          <w:sz w:val="18"/>
        </w:rPr>
        <w:t>Compensation Discussion and Analysis</w:t>
      </w:r>
      <w:r>
        <w:rPr>
          <w:color w:val="000000"/>
        </w:rPr>
        <w:t>”</w:t>
      </w:r>
      <w:r>
        <w:rPr>
          <w:rFonts w:ascii="Arial;sans-serif" w:hAnsi="Arial;sans-serif"/>
          <w:b w:val="false"/>
          <w:color w:val="000000"/>
          <w:sz w:val="18"/>
        </w:rPr>
        <w:t>.</w:t>
      </w:r>
    </w:p>
    <w:p>
      <w:pPr>
        <w:pStyle w:val="TextBody"/>
        <w:bidi w:val="0"/>
        <w:spacing w:lineRule="auto" w:line="312" w:before="0" w:after="180"/>
        <w:ind w:left="0" w:right="0" w:hanging="360"/>
        <w:jc w:val="left"/>
        <w:rPr/>
      </w:pPr>
      <w:r>
        <w:rPr>
          <w:color w:val="000000"/>
        </w:rPr>
        <w:t>•</w:t>
      </w:r>
      <w:r>
        <w:rPr>
          <w:rFonts w:ascii="Arial;sans-serif" w:hAnsi="Arial;sans-serif"/>
          <w:b w:val="false"/>
          <w:color w:val="000000"/>
          <w:sz w:val="18"/>
        </w:rPr>
        <w:t>Revenue Growth</w:t>
      </w:r>
    </w:p>
    <w:p>
      <w:pPr>
        <w:pStyle w:val="TextBody"/>
        <w:bidi w:val="0"/>
        <w:spacing w:lineRule="auto" w:line="312" w:before="0" w:after="180"/>
        <w:ind w:left="0" w:right="0" w:hanging="360"/>
        <w:jc w:val="left"/>
        <w:rPr/>
      </w:pPr>
      <w:r>
        <w:rPr>
          <w:color w:val="000000"/>
        </w:rPr>
        <w:t>•</w:t>
      </w:r>
      <w:r>
        <w:rPr>
          <w:rFonts w:ascii="Arial;sans-serif" w:hAnsi="Arial;sans-serif"/>
          <w:b w:val="false"/>
          <w:color w:val="000000"/>
          <w:sz w:val="18"/>
        </w:rPr>
        <w:t>Adjusted EBITDA</w:t>
      </w:r>
    </w:p>
    <w:p>
      <w:pPr>
        <w:pStyle w:val="TextBody"/>
        <w:bidi w:val="0"/>
        <w:spacing w:lineRule="auto" w:line="312" w:before="0" w:after="180"/>
        <w:ind w:left="0" w:right="0" w:hanging="360"/>
        <w:jc w:val="left"/>
        <w:rPr/>
      </w:pPr>
      <w:r>
        <w:rPr>
          <w:color w:val="000000"/>
        </w:rPr>
        <w:t>•</w:t>
      </w:r>
      <w:r>
        <w:rPr>
          <w:rFonts w:ascii="Arial;sans-serif" w:hAnsi="Arial;sans-serif"/>
          <w:b w:val="false"/>
          <w:color w:val="000000"/>
          <w:sz w:val="18"/>
        </w:rPr>
        <w:t>New Product Milestones</w:t>
      </w:r>
    </w:p>
    <w:p>
      <w:pPr>
        <w:pStyle w:val="TextBody"/>
        <w:bidi w:val="0"/>
        <w:spacing w:lineRule="auto" w:line="312" w:before="0" w:after="180"/>
        <w:ind w:left="0" w:right="0" w:hanging="360"/>
        <w:jc w:val="left"/>
        <w:rPr/>
      </w:pPr>
      <w:r>
        <w:rPr>
          <w:color w:val="000000"/>
        </w:rPr>
        <w:t>•</w:t>
      </w:r>
      <w:r>
        <w:rPr>
          <w:rFonts w:ascii="Arial;sans-serif" w:hAnsi="Arial;sans-serif"/>
          <w:b w:val="false"/>
          <w:color w:val="000000"/>
          <w:sz w:val="18"/>
        </w:rPr>
        <w:t>People and Culture metrics</w:t>
      </w:r>
    </w:p>
    <w:p>
      <w:pPr>
        <w:pStyle w:val="TextBody"/>
        <w:bidi w:val="0"/>
        <w:spacing w:lineRule="auto" w:line="312" w:before="0" w:after="180"/>
        <w:ind w:left="0" w:right="0" w:hanging="360"/>
        <w:jc w:val="left"/>
        <w:rPr/>
      </w:pPr>
      <w:r>
        <w:rPr>
          <w:color w:val="000000"/>
        </w:rPr>
        <w:t>•</w:t>
      </w:r>
      <w:r>
        <w:rPr>
          <w:rFonts w:ascii="Arial;sans-serif" w:hAnsi="Arial;sans-serif"/>
          <w:b w:val="false"/>
          <w:color w:val="000000"/>
          <w:sz w:val="18"/>
        </w:rPr>
        <w:t>Relative Total Shareholder Return as compared to a group of industry peers</w:t>
      </w:r>
    </w:p>
    <w:p>
      <w:pPr>
        <w:pStyle w:val="TextBody"/>
        <w:bidi w:val="0"/>
        <w:spacing w:lineRule="auto" w:line="312" w:before="0" w:after="120"/>
        <w:jc w:val="left"/>
        <w:rPr>
          <w:rFonts w:ascii="Arial;sans-serif" w:hAnsi="Arial;sans-serif"/>
          <w:b/>
          <w:color w:val="74A333"/>
          <w:sz w:val="18"/>
        </w:rPr>
      </w:pPr>
      <w:r>
        <w:rPr>
          <w:rFonts w:ascii="Arial;sans-serif" w:hAnsi="Arial;sans-serif"/>
          <w:b/>
          <w:color w:val="74A333"/>
          <w:sz w:val="18"/>
        </w:rPr>
        <w:t>Analysis of the Information Presented in the Pay Versus Performance Table</w:t>
      </w:r>
    </w:p>
    <w:p>
      <w:pPr>
        <w:pStyle w:val="TextBody"/>
        <w:bidi w:val="0"/>
        <w:spacing w:lineRule="auto" w:line="312" w:before="0" w:after="180"/>
        <w:jc w:val="left"/>
        <w:rPr>
          <w:rFonts w:ascii="Arial;sans-serif" w:hAnsi="Arial;sans-serif"/>
          <w:b w:val="false"/>
          <w:color w:val="000000"/>
          <w:sz w:val="18"/>
        </w:rPr>
      </w:pPr>
      <w:r>
        <w:rPr>
          <w:rFonts w:ascii="Arial;sans-serif" w:hAnsi="Arial;sans-serif"/>
          <w:b w:val="false"/>
          <w:color w:val="000000"/>
          <w:sz w:val="18"/>
        </w:rPr>
        <w:t>As described in more detail above, our executive compensation program reflects a variable pay-for-performance philosophy. While we utilize several performance measures to align executive compensation with our performance, not all of those company measures are presented in the Pay Versus Performance table. Moreover, we generally seek to incentivize long-term performance, and therefore do not specifically align our performance measures with compensation that is actually paid (as computed in accordance with Item 402(v) of Regulation S-K) for a particular year. In accordance with Item 402(v) of Regulation S-K, we are providing the following descriptions of the relationships between information presented in the Pay Versus Performance table.</w:t>
      </w:r>
    </w:p>
    <w:p>
      <w:pPr>
        <w:pStyle w:val="TextBody"/>
        <w:bidi w:val="0"/>
        <w:spacing w:lineRule="auto" w:line="312" w:before="0" w:after="120"/>
        <w:jc w:val="left"/>
        <w:rPr>
          <w:rFonts w:ascii="Arial;sans-serif" w:hAnsi="Arial;sans-serif"/>
          <w:b/>
          <w:color w:val="74A333"/>
          <w:sz w:val="18"/>
        </w:rPr>
      </w:pPr>
      <w:r>
        <w:rPr>
          <w:rFonts w:ascii="Arial;sans-serif" w:hAnsi="Arial;sans-serif"/>
          <w:b/>
          <w:color w:val="74A333"/>
          <w:sz w:val="18"/>
        </w:rPr>
        <w:t>Compensation Actually Paid and Cumulative TSR</w:t>
      </w:r>
    </w:p>
    <w:p>
      <w:pPr>
        <w:pStyle w:val="TextBody"/>
        <w:bidi w:val="0"/>
        <w:spacing w:lineRule="auto" w:line="312" w:before="0" w:after="180"/>
        <w:jc w:val="left"/>
        <w:rPr>
          <w:rFonts w:ascii="Arial;sans-serif" w:hAnsi="Arial;sans-serif"/>
          <w:b w:val="false"/>
          <w:color w:val="000000"/>
          <w:sz w:val="18"/>
        </w:rPr>
      </w:pPr>
      <w:r>
        <w:rPr>
          <w:rFonts w:ascii="Arial;sans-serif" w:hAnsi="Arial;sans-serif"/>
          <w:b w:val="false"/>
          <w:color w:val="000000"/>
          <w:sz w:val="18"/>
        </w:rPr>
        <w:t>The following graph shows the relationship between compensation actually paid and our TSR and that of our peer group. TSR shows the cumulative total return on an investment of $100 in cash on December 31, 2019 through December 31, 2024, assuming that any dividends were reinvested. The return shown on the graph below is not necessarily indicative of future performance, and we do not make or endorse any predictions as to future stockholder returns.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480175" cy="739140"/>
                <wp:effectExtent l="0" t="0" r="0" b="0"/>
                <wp:wrapNone/>
                <wp:docPr id="70" name="Frame49"/>
                <a:graphic xmlns:a="http://schemas.openxmlformats.org/drawingml/2006/main">
                  <a:graphicData uri="http://schemas.microsoft.com/office/word/2010/wordprocessingShape">
                    <wps:wsp>
                      <wps:cNvSpPr txBox="1"/>
                      <wps:spPr>
                        <a:xfrm>
                          <a:off x="0" y="0"/>
                          <a:ext cx="6480175" cy="739140"/>
                        </a:xfrm>
                        <a:prstGeom prst="rect"/>
                        <a:solidFill>
                          <a:srgbClr val="FFFFFF"/>
                        </a:solidFill>
                      </wps:spPr>
                      <wps:txbx>
                        <w:txbxContent>
                          <w:tbl>
                            <w:tblPr>
                              <w:tblW w:w="3266" w:type="dxa"/>
                              <w:jc w:val="center"/>
                              <w:tblInd w:w="0" w:type="dxa"/>
                              <w:tblLayout w:type="fixed"/>
                              <w:tblCellMar>
                                <w:top w:w="28" w:type="dxa"/>
                                <w:left w:w="28" w:type="dxa"/>
                                <w:bottom w:w="28" w:type="dxa"/>
                                <w:right w:w="28" w:type="dxa"/>
                              </w:tblCellMar>
                            </w:tblPr>
                            <w:tblGrid>
                              <w:gridCol w:w="424"/>
                              <w:gridCol w:w="372"/>
                              <w:gridCol w:w="374"/>
                              <w:gridCol w:w="109"/>
                              <w:gridCol w:w="109"/>
                              <w:gridCol w:w="109"/>
                              <w:gridCol w:w="517"/>
                              <w:gridCol w:w="517"/>
                              <w:gridCol w:w="735"/>
                            </w:tblGrid>
                            <w:tr>
                              <w:trPr/>
                              <w:tc>
                                <w:tcPr>
                                  <w:tcW w:w="424"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r>
                            <w:tr>
                              <w:trPr/>
                              <w:tc>
                                <w:tcPr>
                                  <w:tcW w:w="1170"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6"/>
                                    </w:rPr>
                                  </w:pPr>
                                  <w:r>
                                    <w:rPr>
                                      <w:rFonts w:ascii="Arial;sans-serif" w:hAnsi="Arial;sans-serif"/>
                                      <w:b/>
                                      <w:color w:val="000000"/>
                                      <w:sz w:val="16"/>
                                    </w:rPr>
                                    <w:t>SI-BONE, Inc.</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000000"/>
                                      <w:sz w:val="16"/>
                                    </w:rPr>
                                  </w:pPr>
                                  <w:r>
                                    <w:rPr>
                                      <w:rFonts w:ascii="Arial;sans-serif" w:hAnsi="Arial;sans-serif"/>
                                      <w:b/>
                                      <w:color w:val="000000"/>
                                      <w:sz w:val="16"/>
                                    </w:rPr>
                                    <w:t>44</w:t>
                                  </w:r>
                                </w:p>
                              </w:tc>
                              <w:tc>
                                <w:tcPr>
                                  <w:tcW w:w="176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2025 Proxy Statement</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2pt;mso-wrap-distance-left:0pt;mso-wrap-distance-right:0pt;mso-wrap-distance-top:0pt;mso-wrap-distance-bottom:0pt;margin-top:0pt;mso-position-vertical:top;mso-position-vertical-relative:text;margin-left:0pt;mso-position-horizontal:left;mso-position-horizontal-relative:text">
                <v:textbox>
                  <w:txbxContent>
                    <w:tbl>
                      <w:tblPr>
                        <w:tblW w:w="3266" w:type="dxa"/>
                        <w:jc w:val="center"/>
                        <w:tblInd w:w="0" w:type="dxa"/>
                        <w:tblLayout w:type="fixed"/>
                        <w:tblCellMar>
                          <w:top w:w="28" w:type="dxa"/>
                          <w:left w:w="28" w:type="dxa"/>
                          <w:bottom w:w="28" w:type="dxa"/>
                          <w:right w:w="28" w:type="dxa"/>
                        </w:tblCellMar>
                      </w:tblPr>
                      <w:tblGrid>
                        <w:gridCol w:w="424"/>
                        <w:gridCol w:w="372"/>
                        <w:gridCol w:w="374"/>
                        <w:gridCol w:w="109"/>
                        <w:gridCol w:w="109"/>
                        <w:gridCol w:w="109"/>
                        <w:gridCol w:w="517"/>
                        <w:gridCol w:w="517"/>
                        <w:gridCol w:w="735"/>
                      </w:tblGrid>
                      <w:tr>
                        <w:trPr/>
                        <w:tc>
                          <w:tcPr>
                            <w:tcW w:w="424"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r>
                      <w:tr>
                        <w:trPr/>
                        <w:tc>
                          <w:tcPr>
                            <w:tcW w:w="1170"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6"/>
                              </w:rPr>
                            </w:pPr>
                            <w:r>
                              <w:rPr>
                                <w:rFonts w:ascii="Arial;sans-serif" w:hAnsi="Arial;sans-serif"/>
                                <w:b/>
                                <w:color w:val="000000"/>
                                <w:sz w:val="16"/>
                              </w:rPr>
                              <w:t>SI-BONE, Inc.</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000000"/>
                                <w:sz w:val="16"/>
                              </w:rPr>
                            </w:pPr>
                            <w:r>
                              <w:rPr>
                                <w:rFonts w:ascii="Arial;sans-serif" w:hAnsi="Arial;sans-serif"/>
                                <w:b/>
                                <w:color w:val="000000"/>
                                <w:sz w:val="16"/>
                              </w:rPr>
                              <w:t>44</w:t>
                            </w:r>
                          </w:p>
                        </w:tc>
                        <w:tc>
                          <w:tcPr>
                            <w:tcW w:w="176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2025 Proxy Statement</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right"/>
        <w:rPr>
          <w:rFonts w:ascii="Arial;sans-serif" w:hAnsi="Arial;sans-serif"/>
          <w:b w:val="false"/>
          <w:color w:val="000000"/>
          <w:sz w:val="16"/>
        </w:rPr>
      </w:pPr>
      <w:r>
        <w:rPr>
          <w:rFonts w:ascii="Arial;sans-serif" w:hAnsi="Arial;sans-serif"/>
          <w:b w:val="false"/>
          <w:color w:val="000000"/>
          <w:sz w:val="16"/>
        </w:rPr>
        <w:t>Table of Contents</w:t>
      </w:r>
    </w:p>
    <w:p>
      <w:pPr>
        <w:pStyle w:val="TextBody"/>
        <w:bidi w:val="0"/>
        <w:spacing w:before="0" w:after="180"/>
        <w:jc w:val="center"/>
        <w:rPr/>
      </w:pPr>
      <w:r>
        <w:rPr/>
        <w:drawing>
          <wp:inline distT="0" distB="0" distL="0" distR="0">
            <wp:extent cx="6400800" cy="3657600"/>
            <wp:effectExtent l="0" t="0" r="0" b="0"/>
            <wp:docPr id="71"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 name="Image22" descr=""/>
                    <pic:cNvPicPr>
                      <a:picLocks noChangeAspect="1" noChangeArrowheads="1"/>
                    </pic:cNvPicPr>
                  </pic:nvPicPr>
                  <pic:blipFill>
                    <a:blip r:embed="rId23"/>
                    <a:stretch>
                      <a:fillRect/>
                    </a:stretch>
                  </pic:blipFill>
                  <pic:spPr bwMode="auto">
                    <a:xfrm>
                      <a:off x="0" y="0"/>
                      <a:ext cx="6400800" cy="3657600"/>
                    </a:xfrm>
                    <a:prstGeom prst="rect">
                      <a:avLst/>
                    </a:prstGeom>
                  </pic:spPr>
                </pic:pic>
              </a:graphicData>
            </a:graphic>
          </wp:inline>
        </w:drawing>
      </w:r>
    </w:p>
    <w:p>
      <w:pPr>
        <w:pStyle w:val="TextBody"/>
        <w:bidi w:val="0"/>
        <w:spacing w:lineRule="auto" w:line="312" w:before="0" w:after="120"/>
        <w:jc w:val="left"/>
        <w:rPr>
          <w:rFonts w:ascii="Arial;sans-serif" w:hAnsi="Arial;sans-serif"/>
          <w:b/>
          <w:color w:val="74A333"/>
          <w:sz w:val="18"/>
        </w:rPr>
      </w:pPr>
      <w:r>
        <w:rPr>
          <w:rFonts w:ascii="Arial;sans-serif" w:hAnsi="Arial;sans-serif"/>
          <w:b/>
          <w:color w:val="74A333"/>
          <w:sz w:val="18"/>
        </w:rPr>
        <w:t>Compensation Actually Paid and Net Loss</w:t>
      </w:r>
    </w:p>
    <w:p>
      <w:pPr>
        <w:pStyle w:val="TextBody"/>
        <w:bidi w:val="0"/>
        <w:spacing w:lineRule="auto" w:line="312" w:before="0" w:after="180"/>
        <w:jc w:val="left"/>
        <w:rPr>
          <w:rFonts w:ascii="Arial;sans-serif" w:hAnsi="Arial;sans-serif"/>
          <w:b w:val="false"/>
          <w:color w:val="000000"/>
          <w:sz w:val="18"/>
        </w:rPr>
      </w:pPr>
      <w:r>
        <w:rPr>
          <w:rFonts w:ascii="Arial;sans-serif" w:hAnsi="Arial;sans-serif"/>
          <w:b w:val="false"/>
          <w:color w:val="000000"/>
          <w:sz w:val="18"/>
        </w:rPr>
        <w:t>The following graph shows the relationship between compensation actually paid and Net Loss:</w:t>
      </w:r>
    </w:p>
    <w:p>
      <w:pPr>
        <w:pStyle w:val="TextBody"/>
        <w:bidi w:val="0"/>
        <w:spacing w:before="0" w:after="180"/>
        <w:jc w:val="center"/>
        <w:rPr/>
      </w:pPr>
      <w:r>
        <w:rPr/>
        <w:drawing>
          <wp:inline distT="0" distB="0" distL="0" distR="0">
            <wp:extent cx="6400800" cy="3657600"/>
            <wp:effectExtent l="0" t="0" r="0" b="0"/>
            <wp:docPr id="72"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 name="Image23" descr=""/>
                    <pic:cNvPicPr>
                      <a:picLocks noChangeAspect="1" noChangeArrowheads="1"/>
                    </pic:cNvPicPr>
                  </pic:nvPicPr>
                  <pic:blipFill>
                    <a:blip r:embed="rId24"/>
                    <a:stretch>
                      <a:fillRect/>
                    </a:stretch>
                  </pic:blipFill>
                  <pic:spPr bwMode="auto">
                    <a:xfrm>
                      <a:off x="0" y="0"/>
                      <a:ext cx="6400800" cy="3657600"/>
                    </a:xfrm>
                    <a:prstGeom prst="rect">
                      <a:avLst/>
                    </a:prstGeom>
                  </pic:spPr>
                </pic:pic>
              </a:graphicData>
            </a:graphic>
          </wp:inline>
        </w:drawing>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480175" cy="739140"/>
                <wp:effectExtent l="0" t="0" r="0" b="0"/>
                <wp:wrapNone/>
                <wp:docPr id="73" name="Frame50"/>
                <a:graphic xmlns:a="http://schemas.openxmlformats.org/drawingml/2006/main">
                  <a:graphicData uri="http://schemas.microsoft.com/office/word/2010/wordprocessingShape">
                    <wps:wsp>
                      <wps:cNvSpPr txBox="1"/>
                      <wps:spPr>
                        <a:xfrm>
                          <a:off x="0" y="0"/>
                          <a:ext cx="6480175" cy="739140"/>
                        </a:xfrm>
                        <a:prstGeom prst="rect"/>
                        <a:solidFill>
                          <a:srgbClr val="FFFFFF"/>
                        </a:solidFill>
                      </wps:spPr>
                      <wps:txbx>
                        <w:txbxContent>
                          <w:tbl>
                            <w:tblPr>
                              <w:tblW w:w="3266" w:type="dxa"/>
                              <w:jc w:val="center"/>
                              <w:tblInd w:w="0" w:type="dxa"/>
                              <w:tblLayout w:type="fixed"/>
                              <w:tblCellMar>
                                <w:top w:w="28" w:type="dxa"/>
                                <w:left w:w="28" w:type="dxa"/>
                                <w:bottom w:w="28" w:type="dxa"/>
                                <w:right w:w="28" w:type="dxa"/>
                              </w:tblCellMar>
                            </w:tblPr>
                            <w:tblGrid>
                              <w:gridCol w:w="424"/>
                              <w:gridCol w:w="372"/>
                              <w:gridCol w:w="374"/>
                              <w:gridCol w:w="109"/>
                              <w:gridCol w:w="109"/>
                              <w:gridCol w:w="109"/>
                              <w:gridCol w:w="517"/>
                              <w:gridCol w:w="517"/>
                              <w:gridCol w:w="735"/>
                            </w:tblGrid>
                            <w:tr>
                              <w:trPr/>
                              <w:tc>
                                <w:tcPr>
                                  <w:tcW w:w="424"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r>
                            <w:tr>
                              <w:trPr/>
                              <w:tc>
                                <w:tcPr>
                                  <w:tcW w:w="1170"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6"/>
                                    </w:rPr>
                                  </w:pPr>
                                  <w:r>
                                    <w:rPr>
                                      <w:rFonts w:ascii="Arial;sans-serif" w:hAnsi="Arial;sans-serif"/>
                                      <w:b/>
                                      <w:color w:val="000000"/>
                                      <w:sz w:val="16"/>
                                    </w:rPr>
                                    <w:t>SI-BONE, Inc.</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000000"/>
                                      <w:sz w:val="16"/>
                                    </w:rPr>
                                  </w:pPr>
                                  <w:r>
                                    <w:rPr>
                                      <w:rFonts w:ascii="Arial;sans-serif" w:hAnsi="Arial;sans-serif"/>
                                      <w:b/>
                                      <w:color w:val="000000"/>
                                      <w:sz w:val="16"/>
                                    </w:rPr>
                                    <w:t>45</w:t>
                                  </w:r>
                                </w:p>
                              </w:tc>
                              <w:tc>
                                <w:tcPr>
                                  <w:tcW w:w="176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2025 Proxy Statement</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2pt;mso-wrap-distance-left:0pt;mso-wrap-distance-right:0pt;mso-wrap-distance-top:0pt;mso-wrap-distance-bottom:0pt;margin-top:0pt;mso-position-vertical:top;mso-position-vertical-relative:text;margin-left:0pt;mso-position-horizontal:left;mso-position-horizontal-relative:text">
                <v:textbox>
                  <w:txbxContent>
                    <w:tbl>
                      <w:tblPr>
                        <w:tblW w:w="3266" w:type="dxa"/>
                        <w:jc w:val="center"/>
                        <w:tblInd w:w="0" w:type="dxa"/>
                        <w:tblLayout w:type="fixed"/>
                        <w:tblCellMar>
                          <w:top w:w="28" w:type="dxa"/>
                          <w:left w:w="28" w:type="dxa"/>
                          <w:bottom w:w="28" w:type="dxa"/>
                          <w:right w:w="28" w:type="dxa"/>
                        </w:tblCellMar>
                      </w:tblPr>
                      <w:tblGrid>
                        <w:gridCol w:w="424"/>
                        <w:gridCol w:w="372"/>
                        <w:gridCol w:w="374"/>
                        <w:gridCol w:w="109"/>
                        <w:gridCol w:w="109"/>
                        <w:gridCol w:w="109"/>
                        <w:gridCol w:w="517"/>
                        <w:gridCol w:w="517"/>
                        <w:gridCol w:w="735"/>
                      </w:tblGrid>
                      <w:tr>
                        <w:trPr/>
                        <w:tc>
                          <w:tcPr>
                            <w:tcW w:w="424"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r>
                      <w:tr>
                        <w:trPr/>
                        <w:tc>
                          <w:tcPr>
                            <w:tcW w:w="1170"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6"/>
                              </w:rPr>
                            </w:pPr>
                            <w:r>
                              <w:rPr>
                                <w:rFonts w:ascii="Arial;sans-serif" w:hAnsi="Arial;sans-serif"/>
                                <w:b/>
                                <w:color w:val="000000"/>
                                <w:sz w:val="16"/>
                              </w:rPr>
                              <w:t>SI-BONE, Inc.</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000000"/>
                                <w:sz w:val="16"/>
                              </w:rPr>
                            </w:pPr>
                            <w:r>
                              <w:rPr>
                                <w:rFonts w:ascii="Arial;sans-serif" w:hAnsi="Arial;sans-serif"/>
                                <w:b/>
                                <w:color w:val="000000"/>
                                <w:sz w:val="16"/>
                              </w:rPr>
                              <w:t>45</w:t>
                            </w:r>
                          </w:p>
                        </w:tc>
                        <w:tc>
                          <w:tcPr>
                            <w:tcW w:w="176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2025 Proxy Statement</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right"/>
        <w:rPr>
          <w:rFonts w:ascii="Arial;sans-serif" w:hAnsi="Arial;sans-serif"/>
          <w:b w:val="false"/>
          <w:color w:val="000000"/>
          <w:sz w:val="16"/>
        </w:rPr>
      </w:pPr>
      <w:r>
        <w:rPr>
          <w:rFonts w:ascii="Arial;sans-serif" w:hAnsi="Arial;sans-serif"/>
          <w:b w:val="false"/>
          <w:color w:val="000000"/>
          <w:sz w:val="16"/>
        </w:rPr>
        <w:t>Table of Contents</w:t>
      </w:r>
    </w:p>
    <w:p>
      <w:pPr>
        <w:pStyle w:val="TextBody"/>
        <w:bidi w:val="0"/>
        <w:spacing w:lineRule="auto" w:line="268" w:before="0" w:after="120"/>
        <w:jc w:val="left"/>
        <w:rPr>
          <w:rFonts w:ascii="Arial;sans-serif" w:hAnsi="Arial;sans-serif"/>
          <w:b/>
          <w:color w:val="74A333"/>
          <w:sz w:val="18"/>
        </w:rPr>
      </w:pPr>
      <w:r>
        <w:rPr>
          <w:rFonts w:ascii="Arial;sans-serif" w:hAnsi="Arial;sans-serif"/>
          <w:b/>
          <w:color w:val="74A333"/>
          <w:sz w:val="18"/>
        </w:rPr>
        <w:t>Compensation Actually Paid and Revenue Growth</w:t>
      </w:r>
    </w:p>
    <w:p>
      <w:pPr>
        <w:pStyle w:val="TextBody"/>
        <w:bidi w:val="0"/>
        <w:spacing w:lineRule="auto" w:line="312" w:before="0" w:after="180"/>
        <w:jc w:val="left"/>
        <w:rPr>
          <w:rFonts w:ascii="Arial;sans-serif" w:hAnsi="Arial;sans-serif"/>
          <w:b w:val="false"/>
          <w:color w:val="000000"/>
          <w:sz w:val="18"/>
        </w:rPr>
      </w:pPr>
      <w:r>
        <w:rPr>
          <w:rFonts w:ascii="Arial;sans-serif" w:hAnsi="Arial;sans-serif"/>
          <w:b w:val="false"/>
          <w:color w:val="000000"/>
          <w:sz w:val="18"/>
        </w:rPr>
        <w:t>The following graph shows the relationship between compensation actually paid and Revenue Growth:</w:t>
      </w:r>
    </w:p>
    <w:p>
      <w:pPr>
        <w:pStyle w:val="TextBody"/>
        <w:bidi w:val="0"/>
        <w:spacing w:before="0" w:after="0"/>
        <w:jc w:val="center"/>
        <w:rPr/>
      </w:pPr>
      <w:r>
        <w:rPr/>
        <w:drawing>
          <wp:inline distT="0" distB="0" distL="0" distR="0">
            <wp:extent cx="5486400" cy="3657600"/>
            <wp:effectExtent l="0" t="0" r="0" b="0"/>
            <wp:docPr id="7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 name="Image24" descr=""/>
                    <pic:cNvPicPr>
                      <a:picLocks noChangeAspect="1" noChangeArrowheads="1"/>
                    </pic:cNvPicPr>
                  </pic:nvPicPr>
                  <pic:blipFill>
                    <a:blip r:embed="rId25"/>
                    <a:stretch>
                      <a:fillRect/>
                    </a:stretch>
                  </pic:blipFill>
                  <pic:spPr bwMode="auto">
                    <a:xfrm>
                      <a:off x="0" y="0"/>
                      <a:ext cx="5486400" cy="3657600"/>
                    </a:xfrm>
                    <a:prstGeom prst="rect">
                      <a:avLst/>
                    </a:prstGeom>
                  </pic:spPr>
                </pic:pic>
              </a:graphicData>
            </a:graphic>
          </wp:inline>
        </w:drawing>
      </w:r>
    </w:p>
    <w:p>
      <w:pPr>
        <w:pStyle w:val="TextBody"/>
        <w:bidi w:val="0"/>
        <w:spacing w:lineRule="auto" w:line="312" w:before="0" w:after="180"/>
        <w:jc w:val="left"/>
        <w:rPr>
          <w:rFonts w:ascii="Arial;sans-serif" w:hAnsi="Arial;sans-serif"/>
          <w:b w:val="false"/>
          <w:i/>
          <w:color w:val="000000"/>
          <w:sz w:val="18"/>
        </w:rPr>
      </w:pPr>
      <w:r>
        <w:rPr>
          <w:rFonts w:ascii="Arial;sans-serif" w:hAnsi="Arial;sans-serif"/>
          <w:b w:val="false"/>
          <w:i/>
          <w:color w:val="000000"/>
          <w:sz w:val="18"/>
        </w:rPr>
        <w:t>All information provided above under the “Pay Versus Performance” heading will not be deemed to be incorporated by reference into any filing of SI-BONE under the Securities Act of 1933, as amended, or the Securities Exchange Act of 1934, as amended, whether made before or after the date hereof and irrespective of any general incorporation language in any such filing, except to the extent we specifically incorporate such information by reference.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80"/>
        <w:jc w:val="left"/>
        <w:rPr>
          <w:rFonts w:ascii="Arial;sans-serif" w:hAnsi="Arial;sans-serif"/>
          <w:b w:val="false"/>
          <w:color w:val="000000"/>
          <w:sz w:val="24"/>
        </w:rPr>
      </w:pPr>
      <w:r>
        <w:rPr>
          <w:rFonts w:ascii="Arial;sans-serif" w:hAnsi="Arial;sans-serif"/>
          <w:b w:val="false"/>
          <w:color w:val="000000"/>
          <w:sz w:val="24"/>
        </w:rPr>
        <w:t>CEO PAY RATIO</w:t>
      </w:r>
    </w:p>
    <w:p>
      <w:pPr>
        <w:pStyle w:val="TextBody"/>
        <w:bidi w:val="0"/>
        <w:spacing w:lineRule="auto" w:line="312" w:before="0" w:after="180"/>
        <w:jc w:val="left"/>
        <w:rPr>
          <w:rFonts w:ascii="Arial;sans-serif" w:hAnsi="Arial;sans-serif"/>
          <w:b w:val="false"/>
          <w:color w:val="000000"/>
          <w:sz w:val="18"/>
        </w:rPr>
      </w:pPr>
      <w:r>
        <w:rPr>
          <w:rFonts w:ascii="Arial;sans-serif" w:hAnsi="Arial;sans-serif"/>
          <w:b w:val="false"/>
          <w:color w:val="000000"/>
          <w:sz w:val="18"/>
        </w:rPr>
        <w:t>Pursuant to Item 402(u) of Regulation S-K, we are required to provide the ratio of annual total compensation of our CEO to the annual total compensation of our median employee. The ratio discussed below is a reasonable estimate calculated in a manner consistent with Item 402(u). For fiscal year 2024, the median of the annual total compensation of all of our employees (other than the CEO) was $182,358 and the annual total compensation of the CEO, as reported in the "Summary Compensation Table" included in this Proxy Statement, was $7,087,404. Based on this information, the ratio of the annual total compensation of the CEO to the median of the annual total compensation of our other employees was approximately 39 to 1.</w:t>
      </w:r>
    </w:p>
    <w:p>
      <w:pPr>
        <w:pStyle w:val="TextBody"/>
        <w:bidi w:val="0"/>
        <w:spacing w:lineRule="auto" w:line="312" w:before="0" w:after="180"/>
        <w:jc w:val="left"/>
        <w:rPr>
          <w:rFonts w:ascii="Arial;sans-serif" w:hAnsi="Arial;sans-serif"/>
          <w:b w:val="false"/>
          <w:color w:val="000000"/>
          <w:sz w:val="18"/>
        </w:rPr>
      </w:pPr>
      <w:r>
        <w:rPr>
          <w:rFonts w:ascii="Arial;sans-serif" w:hAnsi="Arial;sans-serif"/>
          <w:b w:val="false"/>
          <w:color w:val="000000"/>
          <w:sz w:val="18"/>
        </w:rPr>
        <w:t xml:space="preserve">We identified the employee with annual total compensation at the median of the compensation of all our employees by considering the employee population as of December 31, 2024. We had an even number of employees as of December 31, 2024, therefore we had two median employees. We took the average annual total compensation of these two employees to determine the median annual total compensation disclosed above as both such median employees had substantially similar roles, tenure and compensation. We considered all individuals, excluding the CEO, whether employed in the United States or outside the United States, full-time, part-time or on a leave of absence. Contractors were not included in our employee population. Compensation for purposes of identifying the median employee included annual base salary, target annual bonus or commissions, and the grant date value of equity awards granted in fiscal year 2024. Target annual commissions for territory sales managers was based on the average earned commissions for fiscal year 2024. Target annual commissions for clinical specialists and sales leadership was based on their target annual commissions as set forth at the beginning of the fiscal year. Non-United States employees' pay was converted to U.S. dollar using foreign exchange rates in effect as of December 31, 2024. We did not make any cost-of-living adjustments for employees outside the United States.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6480175" cy="739140"/>
                <wp:effectExtent l="0" t="0" r="0" b="0"/>
                <wp:wrapNone/>
                <wp:docPr id="75" name="Frame51"/>
                <a:graphic xmlns:a="http://schemas.openxmlformats.org/drawingml/2006/main">
                  <a:graphicData uri="http://schemas.microsoft.com/office/word/2010/wordprocessingShape">
                    <wps:wsp>
                      <wps:cNvSpPr txBox="1"/>
                      <wps:spPr>
                        <a:xfrm>
                          <a:off x="0" y="0"/>
                          <a:ext cx="6480175" cy="739140"/>
                        </a:xfrm>
                        <a:prstGeom prst="rect"/>
                        <a:solidFill>
                          <a:srgbClr val="FFFFFF"/>
                        </a:solidFill>
                      </wps:spPr>
                      <wps:txbx>
                        <w:txbxContent>
                          <w:tbl>
                            <w:tblPr>
                              <w:tblW w:w="3266" w:type="dxa"/>
                              <w:jc w:val="center"/>
                              <w:tblInd w:w="0" w:type="dxa"/>
                              <w:tblLayout w:type="fixed"/>
                              <w:tblCellMar>
                                <w:top w:w="28" w:type="dxa"/>
                                <w:left w:w="28" w:type="dxa"/>
                                <w:bottom w:w="28" w:type="dxa"/>
                                <w:right w:w="28" w:type="dxa"/>
                              </w:tblCellMar>
                            </w:tblPr>
                            <w:tblGrid>
                              <w:gridCol w:w="424"/>
                              <w:gridCol w:w="372"/>
                              <w:gridCol w:w="374"/>
                              <w:gridCol w:w="109"/>
                              <w:gridCol w:w="109"/>
                              <w:gridCol w:w="109"/>
                              <w:gridCol w:w="517"/>
                              <w:gridCol w:w="517"/>
                              <w:gridCol w:w="735"/>
                            </w:tblGrid>
                            <w:tr>
                              <w:trPr/>
                              <w:tc>
                                <w:tcPr>
                                  <w:tcW w:w="424"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r>
                            <w:tr>
                              <w:trPr/>
                              <w:tc>
                                <w:tcPr>
                                  <w:tcW w:w="1170"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6"/>
                                    </w:rPr>
                                  </w:pPr>
                                  <w:r>
                                    <w:rPr>
                                      <w:rFonts w:ascii="Arial;sans-serif" w:hAnsi="Arial;sans-serif"/>
                                      <w:b/>
                                      <w:color w:val="000000"/>
                                      <w:sz w:val="16"/>
                                    </w:rPr>
                                    <w:t>SI-BONE, Inc.</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000000"/>
                                      <w:sz w:val="16"/>
                                    </w:rPr>
                                  </w:pPr>
                                  <w:r>
                                    <w:rPr>
                                      <w:rFonts w:ascii="Arial;sans-serif" w:hAnsi="Arial;sans-serif"/>
                                      <w:b/>
                                      <w:color w:val="000000"/>
                                      <w:sz w:val="16"/>
                                    </w:rPr>
                                    <w:t>46</w:t>
                                  </w:r>
                                </w:p>
                              </w:tc>
                              <w:tc>
                                <w:tcPr>
                                  <w:tcW w:w="176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2025 Proxy Statement</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2pt;mso-wrap-distance-left:0pt;mso-wrap-distance-right:0pt;mso-wrap-distance-top:0pt;mso-wrap-distance-bottom:0pt;margin-top:0pt;mso-position-vertical:top;mso-position-vertical-relative:text;margin-left:0pt;mso-position-horizontal:left;mso-position-horizontal-relative:text">
                <v:textbox>
                  <w:txbxContent>
                    <w:tbl>
                      <w:tblPr>
                        <w:tblW w:w="3266" w:type="dxa"/>
                        <w:jc w:val="center"/>
                        <w:tblInd w:w="0" w:type="dxa"/>
                        <w:tblLayout w:type="fixed"/>
                        <w:tblCellMar>
                          <w:top w:w="28" w:type="dxa"/>
                          <w:left w:w="28" w:type="dxa"/>
                          <w:bottom w:w="28" w:type="dxa"/>
                          <w:right w:w="28" w:type="dxa"/>
                        </w:tblCellMar>
                      </w:tblPr>
                      <w:tblGrid>
                        <w:gridCol w:w="424"/>
                        <w:gridCol w:w="372"/>
                        <w:gridCol w:w="374"/>
                        <w:gridCol w:w="109"/>
                        <w:gridCol w:w="109"/>
                        <w:gridCol w:w="109"/>
                        <w:gridCol w:w="517"/>
                        <w:gridCol w:w="517"/>
                        <w:gridCol w:w="735"/>
                      </w:tblGrid>
                      <w:tr>
                        <w:trPr/>
                        <w:tc>
                          <w:tcPr>
                            <w:tcW w:w="424"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r>
                      <w:tr>
                        <w:trPr/>
                        <w:tc>
                          <w:tcPr>
                            <w:tcW w:w="1170"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6"/>
                              </w:rPr>
                            </w:pPr>
                            <w:r>
                              <w:rPr>
                                <w:rFonts w:ascii="Arial;sans-serif" w:hAnsi="Arial;sans-serif"/>
                                <w:b/>
                                <w:color w:val="000000"/>
                                <w:sz w:val="16"/>
                              </w:rPr>
                              <w:t>SI-BONE, Inc.</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000000"/>
                                <w:sz w:val="16"/>
                              </w:rPr>
                            </w:pPr>
                            <w:r>
                              <w:rPr>
                                <w:rFonts w:ascii="Arial;sans-serif" w:hAnsi="Arial;sans-serif"/>
                                <w:b/>
                                <w:color w:val="000000"/>
                                <w:sz w:val="16"/>
                              </w:rPr>
                              <w:t>46</w:t>
                            </w:r>
                          </w:p>
                        </w:tc>
                        <w:tc>
                          <w:tcPr>
                            <w:tcW w:w="176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2025 Proxy Statement</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right"/>
        <w:rPr>
          <w:rFonts w:ascii="Arial;sans-serif" w:hAnsi="Arial;sans-serif"/>
          <w:b w:val="false"/>
          <w:color w:val="000000"/>
          <w:sz w:val="16"/>
        </w:rPr>
      </w:pPr>
      <w:r>
        <w:rPr>
          <w:rFonts w:ascii="Arial;sans-serif" w:hAnsi="Arial;sans-serif"/>
          <w:b w:val="false"/>
          <w:color w:val="000000"/>
          <w:sz w:val="16"/>
        </w:rPr>
        <w:t>Table of Contents</w:t>
      </w:r>
    </w:p>
    <w:p>
      <w:pPr>
        <w:pStyle w:val="TextBody"/>
        <w:bidi w:val="0"/>
        <w:spacing w:lineRule="auto" w:line="288" w:before="240" w:after="180"/>
        <w:jc w:val="left"/>
        <w:rPr>
          <w:rFonts w:ascii="Arial;sans-serif" w:hAnsi="Arial;sans-serif"/>
          <w:b w:val="false"/>
          <w:color w:val="000000"/>
          <w:sz w:val="24"/>
        </w:rPr>
      </w:pPr>
      <w:r>
        <w:rPr>
          <w:rFonts w:ascii="Arial;sans-serif" w:hAnsi="Arial;sans-serif"/>
          <w:b w:val="false"/>
          <w:color w:val="000000"/>
          <w:sz w:val="24"/>
        </w:rPr>
        <w:t>POLICIES AND PRACTICES RELATED TO THE GRANT OF CERTAIN EQUITY AWARDS CLOSE IN TIME TO THE RELEASE OF MATERIAL NONPUBLIC INFORMATION</w:t>
      </w:r>
    </w:p>
    <w:p>
      <w:pPr>
        <w:pStyle w:val="TextBody"/>
        <w:bidi w:val="0"/>
        <w:spacing w:lineRule="auto" w:line="312" w:before="0" w:after="180"/>
        <w:jc w:val="left"/>
        <w:rPr>
          <w:rFonts w:ascii="Arial;sans-serif" w:hAnsi="Arial;sans-serif"/>
          <w:b w:val="false"/>
          <w:color w:val="000000"/>
          <w:sz w:val="18"/>
        </w:rPr>
      </w:pPr>
      <w:r>
        <w:rPr>
          <w:rFonts w:ascii="Arial;sans-serif" w:hAnsi="Arial;sans-serif"/>
          <w:b w:val="false"/>
          <w:color w:val="000000"/>
          <w:sz w:val="18"/>
        </w:rPr>
        <w:t>The Company does not grant stock options, stock appreciation rights, or similar instruments with option-like features and has no policies or practices to disclose pursuant to Item 402(x)(1) of Regulation S-K.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80"/>
        <w:jc w:val="left"/>
        <w:rPr>
          <w:rFonts w:ascii="Arial;sans-serif" w:hAnsi="Arial;sans-serif"/>
          <w:b w:val="false"/>
          <w:color w:val="000000"/>
          <w:sz w:val="24"/>
          <w:shd w:fill="FFFFFF" w:val="clear"/>
        </w:rPr>
      </w:pPr>
      <w:r>
        <w:rPr>
          <w:rFonts w:ascii="Arial;sans-serif" w:hAnsi="Arial;sans-serif"/>
          <w:b w:val="false"/>
          <w:color w:val="000000"/>
          <w:sz w:val="24"/>
          <w:shd w:fill="FFFFFF" w:val="clear"/>
        </w:rPr>
        <w:t>DIRECTOR COMPENSATION</w:t>
      </w:r>
    </w:p>
    <w:p>
      <w:pPr>
        <w:pStyle w:val="TextBody"/>
        <w:bidi w:val="0"/>
        <w:spacing w:lineRule="auto" w:line="312" w:before="0" w:after="60"/>
        <w:jc w:val="left"/>
        <w:rPr/>
      </w:pPr>
      <w:r>
        <w:rPr>
          <w:rFonts w:ascii="Arial;sans-serif" w:hAnsi="Arial;sans-serif"/>
          <w:b w:val="false"/>
          <w:color w:val="000000"/>
          <w:sz w:val="18"/>
          <w:shd w:fill="FFFFFF" w:val="clear"/>
        </w:rPr>
        <w:t xml:space="preserve">The following table shows for the fiscal year ended December 31, 2024, certain information with respect to the compensation of all non-employee directors of </w:t>
      </w:r>
      <w:r>
        <w:rPr>
          <w:rFonts w:ascii="Arial;sans-serif" w:hAnsi="Arial;sans-serif"/>
          <w:b w:val="false"/>
          <w:color w:val="000000"/>
          <w:sz w:val="18"/>
        </w:rPr>
        <w:t>SI-BONE</w:t>
      </w:r>
      <w:r>
        <w:rPr>
          <w:rFonts w:ascii="Arial;sans-serif" w:hAnsi="Arial;sans-serif"/>
          <w:b w:val="false"/>
          <w:color w:val="000000"/>
          <w:sz w:val="18"/>
          <w:shd w:fill="FFFFFF" w:val="clear"/>
        </w:rPr>
        <w:t xml:space="preserve">: </w:t>
      </w:r>
    </w:p>
    <w:tbl>
      <w:tblPr>
        <w:tblW w:w="5490" w:type="dxa"/>
        <w:jc w:val="left"/>
        <w:tblInd w:w="0" w:type="dxa"/>
        <w:tblLayout w:type="fixed"/>
        <w:tblCellMar>
          <w:top w:w="28" w:type="dxa"/>
          <w:left w:w="28" w:type="dxa"/>
          <w:bottom w:w="28" w:type="dxa"/>
          <w:right w:w="28" w:type="dxa"/>
        </w:tblCellMar>
      </w:tblPr>
      <w:tblGrid>
        <w:gridCol w:w="652"/>
        <w:gridCol w:w="569"/>
        <w:gridCol w:w="578"/>
        <w:gridCol w:w="430"/>
        <w:gridCol w:w="430"/>
        <w:gridCol w:w="431"/>
        <w:gridCol w:w="109"/>
        <w:gridCol w:w="368"/>
        <w:gridCol w:w="368"/>
        <w:gridCol w:w="276"/>
        <w:gridCol w:w="368"/>
        <w:gridCol w:w="368"/>
        <w:gridCol w:w="171"/>
        <w:gridCol w:w="109"/>
        <w:gridCol w:w="109"/>
        <w:gridCol w:w="154"/>
      </w:tblGrid>
      <w:tr>
        <w:trPr/>
        <w:tc>
          <w:tcPr>
            <w:tcW w:w="652"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578"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9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6"/>
              </w:rPr>
            </w:pPr>
            <w:r>
              <w:rPr>
                <w:rFonts w:ascii="Arial;sans-serif" w:hAnsi="Arial;sans-serif"/>
                <w:b/>
                <w:color w:val="000000"/>
                <w:sz w:val="16"/>
              </w:rPr>
              <w:t>Name</w:t>
            </w:r>
          </w:p>
        </w:tc>
        <w:tc>
          <w:tcPr>
            <w:tcW w:w="129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Arial;sans-serif" w:hAnsi="Arial;sans-serif"/>
                <w:b/>
                <w:color w:val="000000"/>
                <w:sz w:val="16"/>
              </w:rPr>
            </w:pPr>
            <w:r>
              <w:rPr>
                <w:rFonts w:ascii="Arial;sans-serif" w:hAnsi="Arial;sans-serif"/>
                <w:b/>
                <w:color w:val="000000"/>
                <w:sz w:val="16"/>
              </w:rPr>
              <w:t>Fees Earned or</w:t>
            </w:r>
          </w:p>
          <w:p>
            <w:pPr>
              <w:pStyle w:val="TableContents"/>
              <w:bidi w:val="0"/>
              <w:spacing w:lineRule="auto" w:line="288" w:before="0" w:after="0"/>
              <w:jc w:val="right"/>
              <w:rPr/>
            </w:pPr>
            <w:r>
              <w:rPr>
                <w:rFonts w:ascii="Arial;sans-serif" w:hAnsi="Arial;sans-serif"/>
                <w:b/>
                <w:color w:val="000000"/>
                <w:sz w:val="16"/>
              </w:rPr>
              <w:t>Paid in Cash</w:t>
            </w:r>
            <w:r>
              <w:rPr>
                <w:rFonts w:ascii="Arial;sans-serif" w:hAnsi="Arial;sans-serif"/>
                <w:b/>
                <w:color w:val="000000"/>
                <w:sz w:val="10"/>
              </w:rPr>
              <w:t>(1)</w:t>
            </w:r>
          </w:p>
          <w:p>
            <w:pPr>
              <w:pStyle w:val="TableContents"/>
              <w:bidi w:val="0"/>
              <w:spacing w:lineRule="auto" w:line="288" w:before="0" w:after="0"/>
              <w:jc w:val="right"/>
              <w:rPr>
                <w:rFonts w:ascii="Arial;sans-serif" w:hAnsi="Arial;sans-serif"/>
                <w:b/>
                <w:color w:val="000000"/>
                <w:sz w:val="16"/>
              </w:rPr>
            </w:pPr>
            <w:r>
              <w:rPr>
                <w:rFonts w:ascii="Arial;sans-serif" w:hAnsi="Arial;sans-serif"/>
                <w:b/>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01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Arial;sans-serif" w:hAnsi="Arial;sans-serif"/>
                <w:b/>
                <w:color w:val="000000"/>
                <w:sz w:val="16"/>
              </w:rPr>
            </w:pPr>
            <w:r>
              <w:rPr>
                <w:rFonts w:ascii="Arial;sans-serif" w:hAnsi="Arial;sans-serif"/>
                <w:b/>
                <w:color w:val="000000"/>
                <w:sz w:val="16"/>
              </w:rPr>
              <w:t>Stock</w:t>
            </w:r>
          </w:p>
          <w:p>
            <w:pPr>
              <w:pStyle w:val="TableContents"/>
              <w:bidi w:val="0"/>
              <w:spacing w:lineRule="auto" w:line="288" w:before="0" w:after="0"/>
              <w:jc w:val="right"/>
              <w:rPr/>
            </w:pPr>
            <w:r>
              <w:rPr>
                <w:rFonts w:ascii="Arial;sans-serif" w:hAnsi="Arial;sans-serif"/>
                <w:b/>
                <w:color w:val="000000"/>
                <w:sz w:val="16"/>
              </w:rPr>
              <w:t>Awards</w:t>
            </w:r>
            <w:r>
              <w:rPr>
                <w:rFonts w:ascii="Arial;sans-serif" w:hAnsi="Arial;sans-serif"/>
                <w:b/>
                <w:color w:val="000000"/>
                <w:sz w:val="10"/>
              </w:rPr>
              <w:t>(2)</w:t>
            </w:r>
          </w:p>
          <w:p>
            <w:pPr>
              <w:pStyle w:val="TableContents"/>
              <w:bidi w:val="0"/>
              <w:spacing w:lineRule="auto" w:line="288" w:before="0" w:after="0"/>
              <w:jc w:val="right"/>
              <w:rPr>
                <w:rFonts w:ascii="Arial;sans-serif" w:hAnsi="Arial;sans-serif"/>
                <w:b/>
                <w:color w:val="000000"/>
                <w:sz w:val="16"/>
              </w:rPr>
            </w:pPr>
            <w:r>
              <w:rPr>
                <w:rFonts w:ascii="Arial;sans-serif" w:hAnsi="Arial;sans-serif"/>
                <w:b/>
                <w:color w:val="000000"/>
                <w:sz w:val="16"/>
              </w:rPr>
              <w:t>($)</w:t>
            </w:r>
          </w:p>
        </w:tc>
        <w:tc>
          <w:tcPr>
            <w:tcW w:w="907"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6"/>
              </w:rPr>
            </w:pPr>
            <w:r>
              <w:rPr>
                <w:rFonts w:ascii="Arial;sans-serif" w:hAnsi="Arial;sans-serif"/>
                <w:b/>
                <w:color w:val="000000"/>
                <w:sz w:val="16"/>
              </w:rPr>
              <w:t>Total</w:t>
              <w:br/>
              <w:t>($)</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99" w:type="dxa"/>
            <w:gridSpan w:val="3"/>
            <w:tcBorders/>
            <w:shd w:fill="EDEDEE"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74A333"/>
                <w:sz w:val="16"/>
              </w:rPr>
            </w:pPr>
            <w:r>
              <w:rPr>
                <w:rFonts w:ascii="Arial;sans-serif" w:hAnsi="Arial;sans-serif"/>
                <w:b/>
                <w:color w:val="74A333"/>
                <w:sz w:val="16"/>
              </w:rPr>
              <w:t>Timothy E. Davis, Jr.</w:t>
            </w:r>
          </w:p>
        </w:tc>
        <w:tc>
          <w:tcPr>
            <w:tcW w:w="860" w:type="dxa"/>
            <w:gridSpan w:val="2"/>
            <w:tcBorders/>
            <w:shd w:fill="EDEDEE"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75,000 </w:t>
            </w:r>
          </w:p>
        </w:tc>
        <w:tc>
          <w:tcPr>
            <w:tcW w:w="431"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36" w:type="dxa"/>
            <w:gridSpan w:val="2"/>
            <w:tcBorders/>
            <w:shd w:fill="EDEDEE"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109,712 </w:t>
            </w:r>
          </w:p>
        </w:tc>
        <w:tc>
          <w:tcPr>
            <w:tcW w:w="276"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EDEDEE"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184,712 </w:t>
            </w:r>
          </w:p>
        </w:tc>
        <w:tc>
          <w:tcPr>
            <w:tcW w:w="171"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9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color w:val="74A333"/>
                <w:sz w:val="16"/>
              </w:rPr>
            </w:pPr>
            <w:r>
              <w:rPr>
                <w:rFonts w:ascii="Arial;sans-serif" w:hAnsi="Arial;sans-serif"/>
                <w:b/>
                <w:color w:val="74A333"/>
                <w:sz w:val="16"/>
              </w:rPr>
              <w:t>Jeffrey W. Dunn</w:t>
            </w:r>
          </w:p>
        </w:tc>
        <w:tc>
          <w:tcPr>
            <w:tcW w:w="86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90,000 </w:t>
            </w:r>
          </w:p>
        </w:tc>
        <w:tc>
          <w:tcPr>
            <w:tcW w:w="4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109,712 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199,712 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99" w:type="dxa"/>
            <w:gridSpan w:val="3"/>
            <w:tcBorders/>
            <w:shd w:fill="EDEDEE"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74A333"/>
                <w:sz w:val="16"/>
              </w:rPr>
            </w:pPr>
            <w:r>
              <w:rPr>
                <w:rFonts w:ascii="Arial;sans-serif" w:hAnsi="Arial;sans-serif"/>
                <w:b/>
                <w:color w:val="74A333"/>
                <w:sz w:val="16"/>
              </w:rPr>
              <w:t>John G. Freund, M.D.</w:t>
            </w:r>
          </w:p>
        </w:tc>
        <w:tc>
          <w:tcPr>
            <w:tcW w:w="860" w:type="dxa"/>
            <w:gridSpan w:val="2"/>
            <w:tcBorders/>
            <w:shd w:fill="EDEDEE"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52,750 </w:t>
            </w:r>
          </w:p>
        </w:tc>
        <w:tc>
          <w:tcPr>
            <w:tcW w:w="431"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36" w:type="dxa"/>
            <w:gridSpan w:val="2"/>
            <w:tcBorders/>
            <w:shd w:fill="EDEDEE"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109,712 </w:t>
            </w:r>
          </w:p>
        </w:tc>
        <w:tc>
          <w:tcPr>
            <w:tcW w:w="276"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EDEDEE"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162,462 </w:t>
            </w:r>
          </w:p>
        </w:tc>
        <w:tc>
          <w:tcPr>
            <w:tcW w:w="171"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74A333"/>
                <w:sz w:val="16"/>
              </w:rPr>
            </w:pPr>
            <w:r>
              <w:rPr>
                <w:rFonts w:ascii="Arial;sans-serif" w:hAnsi="Arial;sans-serif"/>
                <w:b/>
                <w:color w:val="74A333"/>
                <w:sz w:val="16"/>
              </w:rPr>
              <w:t>Jeryl L. Hilleman</w:t>
            </w:r>
          </w:p>
        </w:tc>
        <w:tc>
          <w:tcPr>
            <w:tcW w:w="86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70,000 </w:t>
            </w:r>
          </w:p>
        </w:tc>
        <w:tc>
          <w:tcPr>
            <w:tcW w:w="4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109,712 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179,712 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99" w:type="dxa"/>
            <w:gridSpan w:val="3"/>
            <w:tcBorders/>
            <w:shd w:fill="EDEDEE"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74A333"/>
                <w:sz w:val="16"/>
              </w:rPr>
            </w:pPr>
            <w:r>
              <w:rPr>
                <w:rFonts w:ascii="Arial;sans-serif" w:hAnsi="Arial;sans-serif"/>
                <w:b/>
                <w:color w:val="74A333"/>
                <w:sz w:val="16"/>
              </w:rPr>
              <w:t>Gregory K. Hinckley</w:t>
            </w:r>
          </w:p>
        </w:tc>
        <w:tc>
          <w:tcPr>
            <w:tcW w:w="860" w:type="dxa"/>
            <w:gridSpan w:val="2"/>
            <w:tcBorders/>
            <w:shd w:fill="EDEDEE"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54,250 </w:t>
            </w:r>
          </w:p>
        </w:tc>
        <w:tc>
          <w:tcPr>
            <w:tcW w:w="431"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36" w:type="dxa"/>
            <w:gridSpan w:val="2"/>
            <w:tcBorders/>
            <w:shd w:fill="EDEDEE"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109,712 </w:t>
            </w:r>
          </w:p>
        </w:tc>
        <w:tc>
          <w:tcPr>
            <w:tcW w:w="276"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EDEDEE"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163,962 </w:t>
            </w:r>
          </w:p>
        </w:tc>
        <w:tc>
          <w:tcPr>
            <w:tcW w:w="171"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9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color w:val="74A333"/>
                <w:sz w:val="16"/>
              </w:rPr>
              <w:t>Helen Loh</w:t>
            </w:r>
            <w:r>
              <w:rPr>
                <w:rFonts w:ascii="Arial;sans-serif" w:hAnsi="Arial;sans-serif"/>
                <w:b/>
                <w:color w:val="74A333"/>
                <w:sz w:val="10"/>
              </w:rPr>
              <w:t>(3)</w:t>
            </w:r>
          </w:p>
        </w:tc>
        <w:tc>
          <w:tcPr>
            <w:tcW w:w="86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25,000 </w:t>
            </w:r>
          </w:p>
        </w:tc>
        <w:tc>
          <w:tcPr>
            <w:tcW w:w="4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25,000 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99" w:type="dxa"/>
            <w:gridSpan w:val="3"/>
            <w:tcBorders/>
            <w:shd w:fill="EDEDEE"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74A333"/>
                <w:sz w:val="16"/>
              </w:rPr>
            </w:pPr>
            <w:r>
              <w:rPr>
                <w:rFonts w:ascii="Arial;sans-serif" w:hAnsi="Arial;sans-serif"/>
                <w:b/>
                <w:color w:val="74A333"/>
                <w:sz w:val="16"/>
              </w:rPr>
              <w:t>Mika Nishimura</w:t>
            </w:r>
          </w:p>
        </w:tc>
        <w:tc>
          <w:tcPr>
            <w:tcW w:w="860" w:type="dxa"/>
            <w:gridSpan w:val="2"/>
            <w:tcBorders/>
            <w:shd w:fill="EDEDEE"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53,500 </w:t>
            </w:r>
          </w:p>
        </w:tc>
        <w:tc>
          <w:tcPr>
            <w:tcW w:w="431"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36" w:type="dxa"/>
            <w:gridSpan w:val="2"/>
            <w:tcBorders/>
            <w:shd w:fill="EDEDEE"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109,712 </w:t>
            </w:r>
          </w:p>
        </w:tc>
        <w:tc>
          <w:tcPr>
            <w:tcW w:w="276"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EDEDEE"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163,212 </w:t>
            </w:r>
          </w:p>
        </w:tc>
        <w:tc>
          <w:tcPr>
            <w:tcW w:w="171"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9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color w:val="74A333"/>
                <w:sz w:val="16"/>
              </w:rPr>
              <w:t>Keith C. Valentine</w:t>
            </w:r>
            <w:r>
              <w:rPr>
                <w:rFonts w:ascii="Arial;sans-serif" w:hAnsi="Arial;sans-serif"/>
                <w:b/>
                <w:color w:val="74A333"/>
                <w:sz w:val="10"/>
              </w:rPr>
              <w:t>(4)</w:t>
            </w:r>
          </w:p>
        </w:tc>
        <w:tc>
          <w:tcPr>
            <w:tcW w:w="86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27,500 </w:t>
            </w:r>
          </w:p>
        </w:tc>
        <w:tc>
          <w:tcPr>
            <w:tcW w:w="4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27,500 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99" w:type="dxa"/>
            <w:gridSpan w:val="3"/>
            <w:tcBorders/>
            <w:shd w:fill="EDEDEE" w:val="clear"/>
            <w:tcMar>
              <w:top w:w="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color w:val="74A333"/>
                <w:sz w:val="16"/>
              </w:rPr>
              <w:t>Thomas A. West</w:t>
            </w:r>
            <w:r>
              <w:rPr>
                <w:rFonts w:ascii="Arial;sans-serif" w:hAnsi="Arial;sans-serif"/>
                <w:b/>
                <w:color w:val="74A333"/>
                <w:sz w:val="10"/>
              </w:rPr>
              <w:t>(5)</w:t>
            </w:r>
          </w:p>
        </w:tc>
        <w:tc>
          <w:tcPr>
            <w:tcW w:w="860" w:type="dxa"/>
            <w:gridSpan w:val="2"/>
            <w:tcBorders/>
            <w:shd w:fill="EDEDEE"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26,000 </w:t>
            </w:r>
          </w:p>
        </w:tc>
        <w:tc>
          <w:tcPr>
            <w:tcW w:w="431"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36" w:type="dxa"/>
            <w:gridSpan w:val="2"/>
            <w:tcBorders/>
            <w:shd w:fill="EDEDEE"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228,571 </w:t>
            </w:r>
          </w:p>
        </w:tc>
        <w:tc>
          <w:tcPr>
            <w:tcW w:w="276"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EDEDEE"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254,571 </w:t>
            </w:r>
          </w:p>
        </w:tc>
        <w:tc>
          <w:tcPr>
            <w:tcW w:w="171"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99" w:type="dxa"/>
            <w:gridSpan w:val="3"/>
            <w:tcBorders>
              <w:bottom w:val="single" w:sz="12" w:space="0" w:color="74A333"/>
            </w:tcBorders>
            <w:shd w:fill="FFFFFF" w:val="clear"/>
            <w:tcMar>
              <w:top w:w="0" w:type="dxa"/>
              <w:left w:w="0" w:type="dxa"/>
              <w:bottom w:w="30" w:type="dxa"/>
              <w:right w:w="0" w:type="dxa"/>
            </w:tcMar>
            <w:vAlign w:val="center"/>
          </w:tcPr>
          <w:p>
            <w:pPr>
              <w:pStyle w:val="TableContents"/>
              <w:bidi w:val="0"/>
              <w:spacing w:lineRule="auto" w:line="288" w:before="0" w:after="0"/>
              <w:jc w:val="left"/>
              <w:rPr/>
            </w:pPr>
            <w:r>
              <w:rPr>
                <w:rFonts w:ascii="Arial;sans-serif" w:hAnsi="Arial;sans-serif"/>
                <w:b/>
                <w:color w:val="74A333"/>
                <w:sz w:val="16"/>
              </w:rPr>
              <w:t>Daniel W. Wolf</w:t>
            </w:r>
            <w:r>
              <w:rPr>
                <w:rFonts w:ascii="Arial;sans-serif" w:hAnsi="Arial;sans-serif"/>
                <w:b/>
                <w:color w:val="74A333"/>
                <w:sz w:val="10"/>
              </w:rPr>
              <w:t>(6)</w:t>
            </w:r>
          </w:p>
        </w:tc>
        <w:tc>
          <w:tcPr>
            <w:tcW w:w="860" w:type="dxa"/>
            <w:gridSpan w:val="2"/>
            <w:tcBorders>
              <w:bottom w:val="single" w:sz="12" w:space="0" w:color="74A333"/>
            </w:tcBorders>
            <w:shd w:fill="FFFFFF" w:val="clear"/>
            <w:tcMar>
              <w:top w:w="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21,250 </w:t>
            </w:r>
          </w:p>
        </w:tc>
        <w:tc>
          <w:tcPr>
            <w:tcW w:w="431" w:type="dxa"/>
            <w:tcBorders>
              <w:bottom w:val="single" w:sz="12" w:space="0" w:color="74A333"/>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36" w:type="dxa"/>
            <w:gridSpan w:val="2"/>
            <w:tcBorders>
              <w:bottom w:val="single" w:sz="12" w:space="0" w:color="74A333"/>
            </w:tcBorders>
            <w:shd w:fill="FFFFFF" w:val="clear"/>
            <w:tcMar>
              <w:top w:w="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241,235 </w:t>
            </w:r>
          </w:p>
        </w:tc>
        <w:tc>
          <w:tcPr>
            <w:tcW w:w="276" w:type="dxa"/>
            <w:tcBorders>
              <w:bottom w:val="single" w:sz="12" w:space="0" w:color="74A333"/>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bottom w:val="single" w:sz="12" w:space="0" w:color="74A333"/>
            </w:tcBorders>
            <w:shd w:fill="FFFFFF" w:val="clear"/>
            <w:tcMar>
              <w:top w:w="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262,485 </w:t>
            </w:r>
          </w:p>
        </w:tc>
        <w:tc>
          <w:tcPr>
            <w:tcW w:w="171" w:type="dxa"/>
            <w:tcBorders>
              <w:bottom w:val="single" w:sz="12" w:space="0" w:color="74A333"/>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bottom w:val="single" w:sz="12" w:space="0" w:color="74A333"/>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ind w:left="0" w:right="0" w:hanging="360"/>
        <w:jc w:val="left"/>
        <w:rPr>
          <w:rFonts w:ascii="Arial;sans-serif" w:hAnsi="Arial;sans-serif"/>
          <w:b w:val="false"/>
          <w:color w:val="52575F"/>
          <w:sz w:val="16"/>
        </w:rPr>
      </w:pPr>
      <w:r>
        <w:rPr>
          <w:rFonts w:ascii="Arial;sans-serif" w:hAnsi="Arial;sans-serif"/>
          <w:b w:val="false"/>
          <w:color w:val="52575F"/>
          <w:sz w:val="16"/>
        </w:rPr>
        <w:t>1.Payments earned for services rendered in the fourth quarter of 2024 were paid in January 2025.</w:t>
      </w:r>
    </w:p>
    <w:p>
      <w:pPr>
        <w:pStyle w:val="TextBody"/>
        <w:bidi w:val="0"/>
        <w:spacing w:lineRule="auto" w:line="288" w:before="0" w:after="120"/>
        <w:ind w:left="0" w:right="0" w:hanging="360"/>
        <w:jc w:val="left"/>
        <w:rPr>
          <w:rFonts w:ascii="Arial;sans-serif" w:hAnsi="Arial;sans-serif"/>
          <w:b w:val="false"/>
          <w:color w:val="52575F"/>
          <w:sz w:val="16"/>
        </w:rPr>
      </w:pPr>
      <w:r>
        <w:rPr>
          <w:rFonts w:ascii="Arial;sans-serif" w:hAnsi="Arial;sans-serif"/>
          <w:b w:val="false"/>
          <w:color w:val="52575F"/>
          <w:sz w:val="16"/>
        </w:rPr>
        <w:t xml:space="preserve">2.Represents the aggregate grant date fair value of restricted stock unit awards (“RSUs”) granted to the non-employee director, computed in accordance with FASB ASC Topic 718. The fair value of the RSU grant is based on the market price of our common stock on the date of grant. See Note 2 to our financial statements in our Annual Report on Form 10-K, filed with the SEC on February 25, 2025. </w:t>
      </w:r>
    </w:p>
    <w:p>
      <w:pPr>
        <w:pStyle w:val="TextBody"/>
        <w:bidi w:val="0"/>
        <w:spacing w:lineRule="auto" w:line="288" w:before="0" w:after="120"/>
        <w:ind w:left="0" w:right="0" w:hanging="360"/>
        <w:jc w:val="left"/>
        <w:rPr>
          <w:rFonts w:ascii="Arial;sans-serif" w:hAnsi="Arial;sans-serif"/>
          <w:b w:val="false"/>
          <w:color w:val="52575F"/>
          <w:sz w:val="16"/>
        </w:rPr>
      </w:pPr>
      <w:r>
        <w:rPr>
          <w:rFonts w:ascii="Arial;sans-serif" w:hAnsi="Arial;sans-serif"/>
          <w:b w:val="false"/>
          <w:color w:val="52575F"/>
          <w:sz w:val="16"/>
        </w:rPr>
        <w:t>3.Ms. Loh stepped down as a director and as a member of the Nominating and Corporate Governance Committee upon the expiration of her term at the conclusion of the prior year Annual Meeting.</w:t>
      </w:r>
    </w:p>
    <w:p>
      <w:pPr>
        <w:pStyle w:val="TextBody"/>
        <w:bidi w:val="0"/>
        <w:spacing w:lineRule="auto" w:line="288" w:before="0" w:after="120"/>
        <w:ind w:left="0" w:right="0" w:hanging="360"/>
        <w:jc w:val="left"/>
        <w:rPr>
          <w:rFonts w:ascii="Arial;sans-serif" w:hAnsi="Arial;sans-serif"/>
          <w:b w:val="false"/>
          <w:color w:val="52575F"/>
          <w:sz w:val="16"/>
        </w:rPr>
      </w:pPr>
      <w:r>
        <w:rPr>
          <w:rFonts w:ascii="Arial;sans-serif" w:hAnsi="Arial;sans-serif"/>
          <w:b w:val="false"/>
          <w:color w:val="52575F"/>
          <w:sz w:val="16"/>
        </w:rPr>
        <w:t>4.Mr. Valentine stepped down as a director and as chairperson of the Nominating and Corporate Governance Committee upon the expiration of his term at the conclusion of the prior year Annual Meeting.</w:t>
      </w:r>
    </w:p>
    <w:p>
      <w:pPr>
        <w:pStyle w:val="TextBody"/>
        <w:bidi w:val="0"/>
        <w:spacing w:lineRule="auto" w:line="288" w:before="0" w:after="120"/>
        <w:ind w:left="0" w:right="0" w:hanging="360"/>
        <w:jc w:val="left"/>
        <w:rPr>
          <w:rFonts w:ascii="Arial;sans-serif" w:hAnsi="Arial;sans-serif"/>
          <w:b w:val="false"/>
          <w:color w:val="52575F"/>
          <w:sz w:val="16"/>
        </w:rPr>
      </w:pPr>
      <w:r>
        <w:rPr>
          <w:rFonts w:ascii="Arial;sans-serif" w:hAnsi="Arial;sans-serif"/>
          <w:b w:val="false"/>
          <w:color w:val="52575F"/>
          <w:sz w:val="16"/>
        </w:rPr>
        <w:t>5.Mr. West received a pro-rated initial director award of 18,315 RSUs on June 26, 2024, the effective date he was elected to the Board, with a grant date fair value for each RSU of $12.48.</w:t>
      </w:r>
    </w:p>
    <w:p>
      <w:pPr>
        <w:pStyle w:val="TextBody"/>
        <w:bidi w:val="0"/>
        <w:spacing w:lineRule="auto" w:line="288" w:before="0" w:after="120"/>
        <w:ind w:left="0" w:right="0" w:hanging="360"/>
        <w:jc w:val="left"/>
        <w:rPr>
          <w:rFonts w:ascii="Arial;sans-serif" w:hAnsi="Arial;sans-serif"/>
          <w:b w:val="false"/>
          <w:color w:val="52575F"/>
          <w:sz w:val="16"/>
        </w:rPr>
      </w:pPr>
      <w:r>
        <w:rPr>
          <w:rFonts w:ascii="Arial;sans-serif" w:hAnsi="Arial;sans-serif"/>
          <w:b w:val="false"/>
          <w:color w:val="52575F"/>
          <w:sz w:val="16"/>
        </w:rPr>
        <w:t>6.Mr. Wolf received a pro-rated initial director award of 17,182 RSUs on August 5, 2024, the effective date of his appointment to the Board, with a grant date fair value for each RSU of $14.04.</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6480175" cy="739140"/>
                <wp:effectExtent l="0" t="0" r="0" b="0"/>
                <wp:wrapNone/>
                <wp:docPr id="76" name="Frame52"/>
                <a:graphic xmlns:a="http://schemas.openxmlformats.org/drawingml/2006/main">
                  <a:graphicData uri="http://schemas.microsoft.com/office/word/2010/wordprocessingShape">
                    <wps:wsp>
                      <wps:cNvSpPr txBox="1"/>
                      <wps:spPr>
                        <a:xfrm>
                          <a:off x="0" y="0"/>
                          <a:ext cx="6480175" cy="739140"/>
                        </a:xfrm>
                        <a:prstGeom prst="rect"/>
                        <a:solidFill>
                          <a:srgbClr val="FFFFFF"/>
                        </a:solidFill>
                      </wps:spPr>
                      <wps:txbx>
                        <w:txbxContent>
                          <w:tbl>
                            <w:tblPr>
                              <w:tblW w:w="3266" w:type="dxa"/>
                              <w:jc w:val="center"/>
                              <w:tblInd w:w="0" w:type="dxa"/>
                              <w:tblLayout w:type="fixed"/>
                              <w:tblCellMar>
                                <w:top w:w="28" w:type="dxa"/>
                                <w:left w:w="28" w:type="dxa"/>
                                <w:bottom w:w="28" w:type="dxa"/>
                                <w:right w:w="28" w:type="dxa"/>
                              </w:tblCellMar>
                            </w:tblPr>
                            <w:tblGrid>
                              <w:gridCol w:w="424"/>
                              <w:gridCol w:w="372"/>
                              <w:gridCol w:w="374"/>
                              <w:gridCol w:w="109"/>
                              <w:gridCol w:w="109"/>
                              <w:gridCol w:w="109"/>
                              <w:gridCol w:w="517"/>
                              <w:gridCol w:w="517"/>
                              <w:gridCol w:w="735"/>
                            </w:tblGrid>
                            <w:tr>
                              <w:trPr/>
                              <w:tc>
                                <w:tcPr>
                                  <w:tcW w:w="424"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r>
                            <w:tr>
                              <w:trPr/>
                              <w:tc>
                                <w:tcPr>
                                  <w:tcW w:w="1170"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6"/>
                                    </w:rPr>
                                  </w:pPr>
                                  <w:r>
                                    <w:rPr>
                                      <w:rFonts w:ascii="Arial;sans-serif" w:hAnsi="Arial;sans-serif"/>
                                      <w:b/>
                                      <w:color w:val="000000"/>
                                      <w:sz w:val="16"/>
                                    </w:rPr>
                                    <w:t>SI-BONE, Inc.</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000000"/>
                                      <w:sz w:val="16"/>
                                    </w:rPr>
                                  </w:pPr>
                                  <w:r>
                                    <w:rPr>
                                      <w:rFonts w:ascii="Arial;sans-serif" w:hAnsi="Arial;sans-serif"/>
                                      <w:b/>
                                      <w:color w:val="000000"/>
                                      <w:sz w:val="16"/>
                                    </w:rPr>
                                    <w:t>47</w:t>
                                  </w:r>
                                </w:p>
                              </w:tc>
                              <w:tc>
                                <w:tcPr>
                                  <w:tcW w:w="176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2025 Proxy Statement</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2pt;mso-wrap-distance-left:0pt;mso-wrap-distance-right:0pt;mso-wrap-distance-top:0pt;mso-wrap-distance-bottom:0pt;margin-top:0pt;mso-position-vertical:top;mso-position-vertical-relative:text;margin-left:0pt;mso-position-horizontal:left;mso-position-horizontal-relative:text">
                <v:textbox>
                  <w:txbxContent>
                    <w:tbl>
                      <w:tblPr>
                        <w:tblW w:w="3266" w:type="dxa"/>
                        <w:jc w:val="center"/>
                        <w:tblInd w:w="0" w:type="dxa"/>
                        <w:tblLayout w:type="fixed"/>
                        <w:tblCellMar>
                          <w:top w:w="28" w:type="dxa"/>
                          <w:left w:w="28" w:type="dxa"/>
                          <w:bottom w:w="28" w:type="dxa"/>
                          <w:right w:w="28" w:type="dxa"/>
                        </w:tblCellMar>
                      </w:tblPr>
                      <w:tblGrid>
                        <w:gridCol w:w="424"/>
                        <w:gridCol w:w="372"/>
                        <w:gridCol w:w="374"/>
                        <w:gridCol w:w="109"/>
                        <w:gridCol w:w="109"/>
                        <w:gridCol w:w="109"/>
                        <w:gridCol w:w="517"/>
                        <w:gridCol w:w="517"/>
                        <w:gridCol w:w="735"/>
                      </w:tblGrid>
                      <w:tr>
                        <w:trPr/>
                        <w:tc>
                          <w:tcPr>
                            <w:tcW w:w="424"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r>
                      <w:tr>
                        <w:trPr/>
                        <w:tc>
                          <w:tcPr>
                            <w:tcW w:w="1170"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6"/>
                              </w:rPr>
                            </w:pPr>
                            <w:r>
                              <w:rPr>
                                <w:rFonts w:ascii="Arial;sans-serif" w:hAnsi="Arial;sans-serif"/>
                                <w:b/>
                                <w:color w:val="000000"/>
                                <w:sz w:val="16"/>
                              </w:rPr>
                              <w:t>SI-BONE, Inc.</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000000"/>
                                <w:sz w:val="16"/>
                              </w:rPr>
                            </w:pPr>
                            <w:r>
                              <w:rPr>
                                <w:rFonts w:ascii="Arial;sans-serif" w:hAnsi="Arial;sans-serif"/>
                                <w:b/>
                                <w:color w:val="000000"/>
                                <w:sz w:val="16"/>
                              </w:rPr>
                              <w:t>47</w:t>
                            </w:r>
                          </w:p>
                        </w:tc>
                        <w:tc>
                          <w:tcPr>
                            <w:tcW w:w="176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2025 Proxy Statement</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right"/>
        <w:rPr>
          <w:rFonts w:ascii="Arial;sans-serif" w:hAnsi="Arial;sans-serif"/>
          <w:b w:val="false"/>
          <w:color w:val="000000"/>
          <w:sz w:val="16"/>
        </w:rPr>
      </w:pPr>
      <w:r>
        <w:rPr>
          <w:rFonts w:ascii="Arial;sans-serif" w:hAnsi="Arial;sans-serif"/>
          <w:b w:val="false"/>
          <w:color w:val="000000"/>
          <w:sz w:val="16"/>
        </w:rPr>
        <w:t>Table of Contents</w:t>
      </w:r>
    </w:p>
    <w:p>
      <w:pPr>
        <w:pStyle w:val="TextBody"/>
        <w:bidi w:val="0"/>
        <w:spacing w:lineRule="auto" w:line="312" w:before="0" w:after="180"/>
        <w:jc w:val="left"/>
        <w:rPr>
          <w:rFonts w:ascii="Arial;sans-serif" w:hAnsi="Arial;sans-serif"/>
          <w:b w:val="false"/>
          <w:color w:val="000000"/>
          <w:sz w:val="18"/>
        </w:rPr>
      </w:pPr>
      <w:r>
        <w:rPr>
          <w:rFonts w:ascii="Arial;sans-serif" w:hAnsi="Arial;sans-serif"/>
          <w:b w:val="false"/>
          <w:color w:val="000000"/>
          <w:sz w:val="18"/>
        </w:rPr>
        <w:t>The table below lists the aggregate number of shares subject to outstanding stock awards held by each of our non-employee directors as of December 31, 2024.</w:t>
      </w:r>
    </w:p>
    <w:tbl>
      <w:tblPr>
        <w:tblW w:w="7359" w:type="dxa"/>
        <w:jc w:val="left"/>
        <w:tblInd w:w="0" w:type="dxa"/>
        <w:tblLayout w:type="fixed"/>
        <w:tblCellMar>
          <w:top w:w="28" w:type="dxa"/>
          <w:left w:w="28" w:type="dxa"/>
          <w:bottom w:w="28" w:type="dxa"/>
          <w:right w:w="28" w:type="dxa"/>
        </w:tblCellMar>
      </w:tblPr>
      <w:tblGrid>
        <w:gridCol w:w="652"/>
        <w:gridCol w:w="569"/>
        <w:gridCol w:w="578"/>
        <w:gridCol w:w="899"/>
        <w:gridCol w:w="899"/>
        <w:gridCol w:w="901"/>
        <w:gridCol w:w="829"/>
        <w:gridCol w:w="829"/>
        <w:gridCol w:w="831"/>
        <w:gridCol w:w="109"/>
        <w:gridCol w:w="109"/>
        <w:gridCol w:w="154"/>
      </w:tblGrid>
      <w:tr>
        <w:trPr/>
        <w:tc>
          <w:tcPr>
            <w:tcW w:w="652"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578" w:type="dxa"/>
            <w:tcBorders/>
            <w:vAlign w:val="center"/>
          </w:tcPr>
          <w:p>
            <w:pPr>
              <w:pStyle w:val="TableContents"/>
              <w:bidi w:val="0"/>
              <w:spacing w:before="0" w:after="283"/>
              <w:jc w:val="left"/>
              <w:rPr>
                <w:sz w:val="4"/>
                <w:szCs w:val="4"/>
              </w:rPr>
            </w:pPr>
            <w:r>
              <w:rPr>
                <w:sz w:val="4"/>
                <w:szCs w:val="4"/>
              </w:rPr>
            </w:r>
          </w:p>
        </w:tc>
        <w:tc>
          <w:tcPr>
            <w:tcW w:w="899" w:type="dxa"/>
            <w:tcBorders/>
            <w:vAlign w:val="center"/>
          </w:tcPr>
          <w:p>
            <w:pPr>
              <w:pStyle w:val="TableContents"/>
              <w:bidi w:val="0"/>
              <w:spacing w:before="0" w:after="283"/>
              <w:jc w:val="left"/>
              <w:rPr>
                <w:sz w:val="4"/>
                <w:szCs w:val="4"/>
              </w:rPr>
            </w:pPr>
            <w:r>
              <w:rPr>
                <w:sz w:val="4"/>
                <w:szCs w:val="4"/>
              </w:rPr>
            </w:r>
          </w:p>
        </w:tc>
        <w:tc>
          <w:tcPr>
            <w:tcW w:w="899"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829" w:type="dxa"/>
            <w:tcBorders/>
            <w:vAlign w:val="center"/>
          </w:tcPr>
          <w:p>
            <w:pPr>
              <w:pStyle w:val="TableContents"/>
              <w:bidi w:val="0"/>
              <w:spacing w:before="0" w:after="283"/>
              <w:jc w:val="left"/>
              <w:rPr>
                <w:sz w:val="4"/>
                <w:szCs w:val="4"/>
              </w:rPr>
            </w:pPr>
            <w:r>
              <w:rPr>
                <w:sz w:val="4"/>
                <w:szCs w:val="4"/>
              </w:rPr>
            </w:r>
          </w:p>
        </w:tc>
        <w:tc>
          <w:tcPr>
            <w:tcW w:w="829" w:type="dxa"/>
            <w:tcBorders/>
            <w:vAlign w:val="center"/>
          </w:tcPr>
          <w:p>
            <w:pPr>
              <w:pStyle w:val="TableContents"/>
              <w:bidi w:val="0"/>
              <w:spacing w:before="0" w:after="283"/>
              <w:jc w:val="left"/>
              <w:rPr>
                <w:sz w:val="4"/>
                <w:szCs w:val="4"/>
              </w:rPr>
            </w:pPr>
            <w:r>
              <w:rPr>
                <w:sz w:val="4"/>
                <w:szCs w:val="4"/>
              </w:rPr>
            </w:r>
          </w:p>
        </w:tc>
        <w:tc>
          <w:tcPr>
            <w:tcW w:w="8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9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6"/>
              </w:rPr>
            </w:pPr>
            <w:r>
              <w:rPr>
                <w:rFonts w:ascii="Arial;sans-serif" w:hAnsi="Arial;sans-serif"/>
                <w:b/>
                <w:color w:val="000000"/>
                <w:sz w:val="16"/>
              </w:rPr>
              <w:t>Name</w:t>
            </w:r>
          </w:p>
        </w:tc>
        <w:tc>
          <w:tcPr>
            <w:tcW w:w="2699"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Arial;sans-serif" w:hAnsi="Arial;sans-serif"/>
                <w:b/>
                <w:color w:val="000000"/>
                <w:sz w:val="16"/>
              </w:rPr>
            </w:pPr>
            <w:r>
              <w:rPr>
                <w:rFonts w:ascii="Arial;sans-serif" w:hAnsi="Arial;sans-serif"/>
                <w:b/>
                <w:color w:val="000000"/>
                <w:sz w:val="16"/>
              </w:rPr>
              <w:t>Number of </w:t>
            </w:r>
          </w:p>
          <w:p>
            <w:pPr>
              <w:pStyle w:val="TableContents"/>
              <w:bidi w:val="0"/>
              <w:spacing w:lineRule="auto" w:line="288" w:before="0" w:after="0"/>
              <w:jc w:val="right"/>
              <w:rPr>
                <w:rFonts w:ascii="Arial;sans-serif" w:hAnsi="Arial;sans-serif"/>
                <w:b/>
                <w:color w:val="000000"/>
                <w:sz w:val="16"/>
              </w:rPr>
            </w:pPr>
            <w:r>
              <w:rPr>
                <w:rFonts w:ascii="Arial;sans-serif" w:hAnsi="Arial;sans-serif"/>
                <w:b/>
                <w:color w:val="000000"/>
                <w:sz w:val="16"/>
              </w:rPr>
              <w:t>Shares Subject to</w:t>
            </w:r>
          </w:p>
          <w:p>
            <w:pPr>
              <w:pStyle w:val="TableContents"/>
              <w:bidi w:val="0"/>
              <w:spacing w:lineRule="auto" w:line="288" w:before="0" w:after="0"/>
              <w:jc w:val="right"/>
              <w:rPr>
                <w:rFonts w:ascii="Arial;sans-serif" w:hAnsi="Arial;sans-serif"/>
                <w:b/>
                <w:color w:val="000000"/>
                <w:sz w:val="16"/>
              </w:rPr>
            </w:pPr>
            <w:r>
              <w:rPr>
                <w:rFonts w:ascii="Arial;sans-serif" w:hAnsi="Arial;sans-serif"/>
                <w:b/>
                <w:color w:val="000000"/>
                <w:sz w:val="16"/>
              </w:rPr>
              <w:t>Outstanding</w:t>
            </w:r>
          </w:p>
          <w:p>
            <w:pPr>
              <w:pStyle w:val="TableContents"/>
              <w:bidi w:val="0"/>
              <w:spacing w:lineRule="auto" w:line="288" w:before="0" w:after="0"/>
              <w:jc w:val="right"/>
              <w:rPr>
                <w:rFonts w:ascii="Arial;sans-serif" w:hAnsi="Arial;sans-serif"/>
                <w:b/>
                <w:color w:val="000000"/>
                <w:sz w:val="16"/>
              </w:rPr>
            </w:pPr>
            <w:r>
              <w:rPr>
                <w:rFonts w:ascii="Arial;sans-serif" w:hAnsi="Arial;sans-serif"/>
                <w:b/>
                <w:color w:val="000000"/>
                <w:sz w:val="16"/>
              </w:rPr>
              <w:t>Options as of December 31, 2024</w:t>
            </w:r>
          </w:p>
          <w:p>
            <w:pPr>
              <w:pStyle w:val="TableContents"/>
              <w:bidi w:val="0"/>
              <w:spacing w:lineRule="auto" w:line="288" w:before="0" w:after="0"/>
              <w:jc w:val="right"/>
              <w:rPr>
                <w:rFonts w:ascii="Arial;sans-serif" w:hAnsi="Arial;sans-serif"/>
                <w:b/>
                <w:color w:val="000000"/>
                <w:sz w:val="16"/>
              </w:rPr>
            </w:pPr>
            <w:r>
              <w:rPr>
                <w:rFonts w:ascii="Arial;sans-serif" w:hAnsi="Arial;sans-serif"/>
                <w:b/>
                <w:color w:val="000000"/>
                <w:sz w:val="16"/>
              </w:rPr>
              <w:t>(#)</w:t>
            </w:r>
          </w:p>
        </w:tc>
        <w:tc>
          <w:tcPr>
            <w:tcW w:w="2489"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Arial;sans-serif" w:hAnsi="Arial;sans-serif"/>
                <w:b/>
                <w:color w:val="000000"/>
                <w:sz w:val="16"/>
              </w:rPr>
            </w:pPr>
            <w:r>
              <w:rPr>
                <w:rFonts w:ascii="Arial;sans-serif" w:hAnsi="Arial;sans-serif"/>
                <w:b/>
                <w:color w:val="000000"/>
                <w:sz w:val="16"/>
              </w:rPr>
              <w:t>Number of </w:t>
            </w:r>
          </w:p>
          <w:p>
            <w:pPr>
              <w:pStyle w:val="TableContents"/>
              <w:bidi w:val="0"/>
              <w:spacing w:lineRule="auto" w:line="288" w:before="0" w:after="0"/>
              <w:jc w:val="right"/>
              <w:rPr>
                <w:rFonts w:ascii="Arial;sans-serif" w:hAnsi="Arial;sans-serif"/>
                <w:b/>
                <w:color w:val="000000"/>
                <w:sz w:val="16"/>
              </w:rPr>
            </w:pPr>
            <w:r>
              <w:rPr>
                <w:rFonts w:ascii="Arial;sans-serif" w:hAnsi="Arial;sans-serif"/>
                <w:b/>
                <w:color w:val="000000"/>
                <w:sz w:val="16"/>
              </w:rPr>
              <w:t>Shares Subject to</w:t>
            </w:r>
          </w:p>
          <w:p>
            <w:pPr>
              <w:pStyle w:val="TableContents"/>
              <w:bidi w:val="0"/>
              <w:spacing w:lineRule="auto" w:line="288" w:before="0" w:after="0"/>
              <w:jc w:val="right"/>
              <w:rPr>
                <w:rFonts w:ascii="Arial;sans-serif" w:hAnsi="Arial;sans-serif"/>
                <w:b/>
                <w:color w:val="000000"/>
                <w:sz w:val="16"/>
              </w:rPr>
            </w:pPr>
            <w:r>
              <w:rPr>
                <w:rFonts w:ascii="Arial;sans-serif" w:hAnsi="Arial;sans-serif"/>
                <w:b/>
                <w:color w:val="000000"/>
                <w:sz w:val="16"/>
              </w:rPr>
              <w:t>Outstanding</w:t>
            </w:r>
          </w:p>
          <w:p>
            <w:pPr>
              <w:pStyle w:val="TableContents"/>
              <w:bidi w:val="0"/>
              <w:spacing w:lineRule="auto" w:line="288" w:before="0" w:after="0"/>
              <w:jc w:val="right"/>
              <w:rPr>
                <w:rFonts w:ascii="Arial;sans-serif" w:hAnsi="Arial;sans-serif"/>
                <w:b/>
                <w:color w:val="000000"/>
                <w:sz w:val="16"/>
              </w:rPr>
            </w:pPr>
            <w:r>
              <w:rPr>
                <w:rFonts w:ascii="Arial;sans-serif" w:hAnsi="Arial;sans-serif"/>
                <w:b/>
                <w:color w:val="000000"/>
                <w:sz w:val="16"/>
              </w:rPr>
              <w:t>RSUs as of December 31, 2024</w:t>
            </w:r>
          </w:p>
          <w:p>
            <w:pPr>
              <w:pStyle w:val="TableContents"/>
              <w:bidi w:val="0"/>
              <w:spacing w:lineRule="auto" w:line="288" w:before="0" w:after="0"/>
              <w:jc w:val="right"/>
              <w:rPr>
                <w:rFonts w:ascii="Arial;sans-serif" w:hAnsi="Arial;sans-serif"/>
                <w:b/>
                <w:color w:val="000000"/>
                <w:sz w:val="16"/>
              </w:rPr>
            </w:pPr>
            <w:r>
              <w:rPr>
                <w:rFonts w:ascii="Arial;sans-serif" w:hAnsi="Arial;sans-serif"/>
                <w:b/>
                <w:color w:val="000000"/>
                <w:sz w:val="16"/>
              </w:rPr>
              <w:t>(#)</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99" w:type="dxa"/>
            <w:gridSpan w:val="3"/>
            <w:tcBorders/>
            <w:shd w:fill="EDEDEE"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74A333"/>
                <w:sz w:val="16"/>
              </w:rPr>
            </w:pPr>
            <w:r>
              <w:rPr>
                <w:rFonts w:ascii="Arial;sans-serif" w:hAnsi="Arial;sans-serif"/>
                <w:b/>
                <w:color w:val="74A333"/>
                <w:sz w:val="16"/>
              </w:rPr>
              <w:t>Timothy E. Davis, Jr.</w:t>
            </w:r>
          </w:p>
        </w:tc>
        <w:tc>
          <w:tcPr>
            <w:tcW w:w="1798" w:type="dxa"/>
            <w:gridSpan w:val="2"/>
            <w:tcBorders/>
            <w:shd w:fill="EDEDEE"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50,027 </w:t>
            </w:r>
          </w:p>
        </w:tc>
        <w:tc>
          <w:tcPr>
            <w:tcW w:w="901"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8" w:type="dxa"/>
            <w:gridSpan w:val="2"/>
            <w:tcBorders/>
            <w:shd w:fill="EDEDEE"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13,657 </w:t>
            </w:r>
          </w:p>
        </w:tc>
        <w:tc>
          <w:tcPr>
            <w:tcW w:w="831"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74A333"/>
                <w:sz w:val="16"/>
              </w:rPr>
            </w:pPr>
            <w:r>
              <w:rPr>
                <w:rFonts w:ascii="Arial;sans-serif" w:hAnsi="Arial;sans-serif"/>
                <w:b/>
                <w:color w:val="74A333"/>
                <w:sz w:val="16"/>
              </w:rPr>
              <w:t>Jeffrey W. Dunn</w:t>
            </w:r>
          </w:p>
        </w:tc>
        <w:tc>
          <w:tcPr>
            <w:tcW w:w="179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228,754 </w:t>
            </w:r>
          </w:p>
        </w:tc>
        <w:tc>
          <w:tcPr>
            <w:tcW w:w="9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17,625 </w:t>
            </w:r>
          </w:p>
        </w:tc>
        <w:tc>
          <w:tcPr>
            <w:tcW w:w="8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99" w:type="dxa"/>
            <w:gridSpan w:val="3"/>
            <w:tcBorders/>
            <w:shd w:fill="EDEDEE"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74A333"/>
                <w:sz w:val="16"/>
              </w:rPr>
            </w:pPr>
            <w:r>
              <w:rPr>
                <w:rFonts w:ascii="Arial;sans-serif" w:hAnsi="Arial;sans-serif"/>
                <w:b/>
                <w:color w:val="74A333"/>
                <w:sz w:val="16"/>
              </w:rPr>
              <w:t>John G. Freund, M.D.</w:t>
            </w:r>
          </w:p>
        </w:tc>
        <w:tc>
          <w:tcPr>
            <w:tcW w:w="1798" w:type="dxa"/>
            <w:gridSpan w:val="2"/>
            <w:tcBorders/>
            <w:shd w:fill="EDEDEE"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37,963 </w:t>
            </w:r>
          </w:p>
        </w:tc>
        <w:tc>
          <w:tcPr>
            <w:tcW w:w="901"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8" w:type="dxa"/>
            <w:gridSpan w:val="2"/>
            <w:tcBorders/>
            <w:shd w:fill="EDEDEE"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8,791 </w:t>
            </w:r>
          </w:p>
        </w:tc>
        <w:tc>
          <w:tcPr>
            <w:tcW w:w="831"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74A333"/>
                <w:sz w:val="16"/>
              </w:rPr>
            </w:pPr>
            <w:r>
              <w:rPr>
                <w:rFonts w:ascii="Arial;sans-serif" w:hAnsi="Arial;sans-serif"/>
                <w:b/>
                <w:color w:val="74A333"/>
                <w:sz w:val="16"/>
              </w:rPr>
              <w:t>Jeryl L. Hilleman</w:t>
            </w:r>
          </w:p>
        </w:tc>
        <w:tc>
          <w:tcPr>
            <w:tcW w:w="179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26,236 </w:t>
            </w:r>
          </w:p>
        </w:tc>
        <w:tc>
          <w:tcPr>
            <w:tcW w:w="9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13,657 </w:t>
            </w:r>
          </w:p>
        </w:tc>
        <w:tc>
          <w:tcPr>
            <w:tcW w:w="8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99" w:type="dxa"/>
            <w:gridSpan w:val="3"/>
            <w:tcBorders/>
            <w:shd w:fill="EDEDEE"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74A333"/>
                <w:sz w:val="16"/>
              </w:rPr>
            </w:pPr>
            <w:r>
              <w:rPr>
                <w:rFonts w:ascii="Arial;sans-serif" w:hAnsi="Arial;sans-serif"/>
                <w:b/>
                <w:color w:val="74A333"/>
                <w:sz w:val="16"/>
              </w:rPr>
              <w:t>Gregory K. Hinckley</w:t>
            </w:r>
          </w:p>
        </w:tc>
        <w:tc>
          <w:tcPr>
            <w:tcW w:w="1798" w:type="dxa"/>
            <w:gridSpan w:val="2"/>
            <w:tcBorders/>
            <w:shd w:fill="EDEDEE"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18,826 </w:t>
            </w:r>
          </w:p>
        </w:tc>
        <w:tc>
          <w:tcPr>
            <w:tcW w:w="901"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8" w:type="dxa"/>
            <w:gridSpan w:val="2"/>
            <w:tcBorders/>
            <w:shd w:fill="EDEDEE"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8,791 </w:t>
            </w:r>
          </w:p>
        </w:tc>
        <w:tc>
          <w:tcPr>
            <w:tcW w:w="831"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74A333"/>
                <w:sz w:val="16"/>
              </w:rPr>
            </w:pPr>
            <w:r>
              <w:rPr>
                <w:rFonts w:ascii="Arial;sans-serif" w:hAnsi="Arial;sans-serif"/>
                <w:b/>
                <w:color w:val="74A333"/>
                <w:sz w:val="16"/>
              </w:rPr>
              <w:t>Helen Loh</w:t>
            </w:r>
          </w:p>
        </w:tc>
        <w:tc>
          <w:tcPr>
            <w:tcW w:w="179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9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8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99" w:type="dxa"/>
            <w:gridSpan w:val="3"/>
            <w:tcBorders/>
            <w:shd w:fill="EDEDEE"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74A333"/>
                <w:sz w:val="16"/>
              </w:rPr>
            </w:pPr>
            <w:r>
              <w:rPr>
                <w:rFonts w:ascii="Arial;sans-serif" w:hAnsi="Arial;sans-serif"/>
                <w:b/>
                <w:color w:val="74A333"/>
                <w:sz w:val="16"/>
              </w:rPr>
              <w:t>Mika Nishimura</w:t>
            </w:r>
          </w:p>
        </w:tc>
        <w:tc>
          <w:tcPr>
            <w:tcW w:w="1798" w:type="dxa"/>
            <w:gridSpan w:val="2"/>
            <w:tcBorders/>
            <w:shd w:fill="EDEDEE"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901"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8" w:type="dxa"/>
            <w:gridSpan w:val="2"/>
            <w:tcBorders/>
            <w:shd w:fill="EDEDEE"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8,791 </w:t>
            </w:r>
          </w:p>
        </w:tc>
        <w:tc>
          <w:tcPr>
            <w:tcW w:w="831"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74A333"/>
                <w:sz w:val="16"/>
              </w:rPr>
            </w:pPr>
            <w:r>
              <w:rPr>
                <w:rFonts w:ascii="Arial;sans-serif" w:hAnsi="Arial;sans-serif"/>
                <w:b/>
                <w:color w:val="74A333"/>
                <w:sz w:val="16"/>
              </w:rPr>
              <w:t>Keith C. Valentine</w:t>
            </w:r>
          </w:p>
        </w:tc>
        <w:tc>
          <w:tcPr>
            <w:tcW w:w="179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19,105 </w:t>
            </w:r>
          </w:p>
        </w:tc>
        <w:tc>
          <w:tcPr>
            <w:tcW w:w="9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8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99" w:type="dxa"/>
            <w:gridSpan w:val="3"/>
            <w:tcBorders/>
            <w:shd w:fill="EDEDEE"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color w:val="74A333"/>
                <w:sz w:val="16"/>
              </w:rPr>
            </w:pPr>
            <w:r>
              <w:rPr>
                <w:rFonts w:ascii="Arial;sans-serif" w:hAnsi="Arial;sans-serif"/>
                <w:b/>
                <w:color w:val="74A333"/>
                <w:sz w:val="16"/>
              </w:rPr>
              <w:t>Thomas A. West</w:t>
            </w:r>
          </w:p>
        </w:tc>
        <w:tc>
          <w:tcPr>
            <w:tcW w:w="1798" w:type="dxa"/>
            <w:gridSpan w:val="2"/>
            <w:tcBorders/>
            <w:shd w:fill="EDEDEE"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901"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8" w:type="dxa"/>
            <w:gridSpan w:val="2"/>
            <w:tcBorders/>
            <w:shd w:fill="EDEDEE"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16,789 </w:t>
            </w:r>
          </w:p>
        </w:tc>
        <w:tc>
          <w:tcPr>
            <w:tcW w:w="831"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99" w:type="dxa"/>
            <w:gridSpan w:val="3"/>
            <w:tcBorders>
              <w:bottom w:val="single" w:sz="12" w:space="0" w:color="74A333"/>
            </w:tcBorders>
            <w:shd w:fill="FFFFFF" w:val="clear"/>
            <w:tcMar>
              <w:top w:w="0" w:type="dxa"/>
              <w:left w:w="0" w:type="dxa"/>
              <w:bottom w:w="30" w:type="dxa"/>
              <w:right w:w="0" w:type="dxa"/>
            </w:tcMar>
            <w:vAlign w:val="center"/>
          </w:tcPr>
          <w:p>
            <w:pPr>
              <w:pStyle w:val="TableContents"/>
              <w:bidi w:val="0"/>
              <w:spacing w:lineRule="auto" w:line="288" w:before="0" w:after="283"/>
              <w:jc w:val="left"/>
              <w:rPr>
                <w:rFonts w:ascii="Arial;sans-serif" w:hAnsi="Arial;sans-serif"/>
                <w:b/>
                <w:color w:val="74A333"/>
                <w:sz w:val="16"/>
              </w:rPr>
            </w:pPr>
            <w:r>
              <w:rPr>
                <w:rFonts w:ascii="Arial;sans-serif" w:hAnsi="Arial;sans-serif"/>
                <w:b/>
                <w:color w:val="74A333"/>
                <w:sz w:val="16"/>
              </w:rPr>
              <w:t>Daniel W. Wolf</w:t>
            </w:r>
          </w:p>
        </w:tc>
        <w:tc>
          <w:tcPr>
            <w:tcW w:w="1798" w:type="dxa"/>
            <w:gridSpan w:val="2"/>
            <w:tcBorders>
              <w:bottom w:val="single" w:sz="12" w:space="0" w:color="74A333"/>
            </w:tcBorders>
            <w:shd w:fill="FFFFFF" w:val="clear"/>
            <w:tcMar>
              <w:top w:w="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901" w:type="dxa"/>
            <w:tcBorders>
              <w:bottom w:val="single" w:sz="12" w:space="0" w:color="74A333"/>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658" w:type="dxa"/>
            <w:gridSpan w:val="2"/>
            <w:tcBorders>
              <w:bottom w:val="single" w:sz="12" w:space="0" w:color="74A333"/>
            </w:tcBorders>
            <w:shd w:fill="FFFFFF" w:val="clear"/>
            <w:tcMar>
              <w:top w:w="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15,750 </w:t>
            </w:r>
          </w:p>
        </w:tc>
        <w:tc>
          <w:tcPr>
            <w:tcW w:w="831" w:type="dxa"/>
            <w:tcBorders>
              <w:bottom w:val="single" w:sz="12" w:space="0" w:color="74A333"/>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bottom w:val="single" w:sz="12" w:space="0" w:color="74A333"/>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6480175" cy="739140"/>
                <wp:effectExtent l="0" t="0" r="0" b="0"/>
                <wp:wrapNone/>
                <wp:docPr id="77" name="Frame53"/>
                <a:graphic xmlns:a="http://schemas.openxmlformats.org/drawingml/2006/main">
                  <a:graphicData uri="http://schemas.microsoft.com/office/word/2010/wordprocessingShape">
                    <wps:wsp>
                      <wps:cNvSpPr txBox="1"/>
                      <wps:spPr>
                        <a:xfrm>
                          <a:off x="0" y="0"/>
                          <a:ext cx="6480175" cy="739140"/>
                        </a:xfrm>
                        <a:prstGeom prst="rect"/>
                        <a:solidFill>
                          <a:srgbClr val="FFFFFF"/>
                        </a:solidFill>
                      </wps:spPr>
                      <wps:txbx>
                        <w:txbxContent>
                          <w:tbl>
                            <w:tblPr>
                              <w:tblW w:w="3266" w:type="dxa"/>
                              <w:jc w:val="center"/>
                              <w:tblInd w:w="0" w:type="dxa"/>
                              <w:tblLayout w:type="fixed"/>
                              <w:tblCellMar>
                                <w:top w:w="28" w:type="dxa"/>
                                <w:left w:w="28" w:type="dxa"/>
                                <w:bottom w:w="28" w:type="dxa"/>
                                <w:right w:w="28" w:type="dxa"/>
                              </w:tblCellMar>
                            </w:tblPr>
                            <w:tblGrid>
                              <w:gridCol w:w="424"/>
                              <w:gridCol w:w="372"/>
                              <w:gridCol w:w="374"/>
                              <w:gridCol w:w="109"/>
                              <w:gridCol w:w="109"/>
                              <w:gridCol w:w="109"/>
                              <w:gridCol w:w="517"/>
                              <w:gridCol w:w="517"/>
                              <w:gridCol w:w="735"/>
                            </w:tblGrid>
                            <w:tr>
                              <w:trPr/>
                              <w:tc>
                                <w:tcPr>
                                  <w:tcW w:w="424"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r>
                            <w:tr>
                              <w:trPr/>
                              <w:tc>
                                <w:tcPr>
                                  <w:tcW w:w="1170"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6"/>
                                    </w:rPr>
                                  </w:pPr>
                                  <w:r>
                                    <w:rPr>
                                      <w:rFonts w:ascii="Arial;sans-serif" w:hAnsi="Arial;sans-serif"/>
                                      <w:b/>
                                      <w:color w:val="000000"/>
                                      <w:sz w:val="16"/>
                                    </w:rPr>
                                    <w:t>SI-BONE, Inc.</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000000"/>
                                      <w:sz w:val="16"/>
                                    </w:rPr>
                                  </w:pPr>
                                  <w:r>
                                    <w:rPr>
                                      <w:rFonts w:ascii="Arial;sans-serif" w:hAnsi="Arial;sans-serif"/>
                                      <w:b/>
                                      <w:color w:val="000000"/>
                                      <w:sz w:val="16"/>
                                    </w:rPr>
                                    <w:t>48</w:t>
                                  </w:r>
                                </w:p>
                              </w:tc>
                              <w:tc>
                                <w:tcPr>
                                  <w:tcW w:w="176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2025 Proxy Statement</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2pt;mso-wrap-distance-left:0pt;mso-wrap-distance-right:0pt;mso-wrap-distance-top:0pt;mso-wrap-distance-bottom:0pt;margin-top:0pt;mso-position-vertical:top;mso-position-vertical-relative:text;margin-left:0pt;mso-position-horizontal:left;mso-position-horizontal-relative:text">
                <v:textbox>
                  <w:txbxContent>
                    <w:tbl>
                      <w:tblPr>
                        <w:tblW w:w="3266" w:type="dxa"/>
                        <w:jc w:val="center"/>
                        <w:tblInd w:w="0" w:type="dxa"/>
                        <w:tblLayout w:type="fixed"/>
                        <w:tblCellMar>
                          <w:top w:w="28" w:type="dxa"/>
                          <w:left w:w="28" w:type="dxa"/>
                          <w:bottom w:w="28" w:type="dxa"/>
                          <w:right w:w="28" w:type="dxa"/>
                        </w:tblCellMar>
                      </w:tblPr>
                      <w:tblGrid>
                        <w:gridCol w:w="424"/>
                        <w:gridCol w:w="372"/>
                        <w:gridCol w:w="374"/>
                        <w:gridCol w:w="109"/>
                        <w:gridCol w:w="109"/>
                        <w:gridCol w:w="109"/>
                        <w:gridCol w:w="517"/>
                        <w:gridCol w:w="517"/>
                        <w:gridCol w:w="735"/>
                      </w:tblGrid>
                      <w:tr>
                        <w:trPr/>
                        <w:tc>
                          <w:tcPr>
                            <w:tcW w:w="424"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r>
                      <w:tr>
                        <w:trPr/>
                        <w:tc>
                          <w:tcPr>
                            <w:tcW w:w="1170"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6"/>
                              </w:rPr>
                            </w:pPr>
                            <w:r>
                              <w:rPr>
                                <w:rFonts w:ascii="Arial;sans-serif" w:hAnsi="Arial;sans-serif"/>
                                <w:b/>
                                <w:color w:val="000000"/>
                                <w:sz w:val="16"/>
                              </w:rPr>
                              <w:t>SI-BONE, Inc.</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000000"/>
                                <w:sz w:val="16"/>
                              </w:rPr>
                            </w:pPr>
                            <w:r>
                              <w:rPr>
                                <w:rFonts w:ascii="Arial;sans-serif" w:hAnsi="Arial;sans-serif"/>
                                <w:b/>
                                <w:color w:val="000000"/>
                                <w:sz w:val="16"/>
                              </w:rPr>
                              <w:t>48</w:t>
                            </w:r>
                          </w:p>
                        </w:tc>
                        <w:tc>
                          <w:tcPr>
                            <w:tcW w:w="176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2025 Proxy Statement</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right"/>
        <w:rPr>
          <w:rFonts w:ascii="Arial;sans-serif" w:hAnsi="Arial;sans-serif"/>
          <w:b w:val="false"/>
          <w:color w:val="000000"/>
          <w:sz w:val="16"/>
        </w:rPr>
      </w:pPr>
      <w:r>
        <w:rPr>
          <w:rFonts w:ascii="Arial;sans-serif" w:hAnsi="Arial;sans-serif"/>
          <w:b w:val="false"/>
          <w:color w:val="000000"/>
          <w:sz w:val="16"/>
        </w:rPr>
        <w:t>Table of Contents</w:t>
      </w:r>
    </w:p>
    <w:p>
      <w:pPr>
        <w:pStyle w:val="TextBody"/>
        <w:bidi w:val="0"/>
        <w:spacing w:lineRule="auto" w:line="288" w:before="0" w:after="0"/>
        <w:jc w:val="left"/>
        <w:rPr>
          <w:rFonts w:ascii="Arial;sans-serif" w:hAnsi="Arial;sans-serif"/>
          <w:b/>
          <w:color w:val="000000"/>
          <w:sz w:val="56"/>
        </w:rPr>
      </w:pPr>
      <w:r>
        <w:rPr>
          <w:rFonts w:ascii="Arial;sans-serif" w:hAnsi="Arial;sans-serif"/>
          <w:b/>
          <w:color w:val="000000"/>
          <w:sz w:val="56"/>
        </w:rPr>
        <w:t xml:space="preserve">Certain Relationships and </w:t>
        <w:br/>
        <w:t>Related Party Transactions</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80"/>
        <w:jc w:val="left"/>
        <w:rPr>
          <w:rFonts w:ascii="Arial;sans-serif" w:hAnsi="Arial;sans-serif"/>
          <w:b w:val="false"/>
          <w:color w:val="000000"/>
          <w:sz w:val="24"/>
        </w:rPr>
      </w:pPr>
      <w:r>
        <w:rPr>
          <w:rFonts w:ascii="Arial;sans-serif" w:hAnsi="Arial;sans-serif"/>
          <w:b w:val="false"/>
          <w:color w:val="000000"/>
          <w:sz w:val="24"/>
        </w:rPr>
        <w:t>RELATED PERSON TRANSACTIONS POLICY AND PROCEDURES</w:t>
      </w:r>
    </w:p>
    <w:p>
      <w:pPr>
        <w:pStyle w:val="TextBody"/>
        <w:bidi w:val="0"/>
        <w:spacing w:lineRule="auto" w:line="312" w:before="0" w:after="180"/>
        <w:jc w:val="left"/>
        <w:rPr>
          <w:rFonts w:ascii="Arial;sans-serif" w:hAnsi="Arial;sans-serif"/>
          <w:b w:val="false"/>
          <w:color w:val="000000"/>
          <w:sz w:val="18"/>
        </w:rPr>
      </w:pPr>
      <w:r>
        <w:rPr>
          <w:rFonts w:ascii="Arial;sans-serif" w:hAnsi="Arial;sans-serif"/>
          <w:b w:val="false"/>
          <w:color w:val="000000"/>
          <w:sz w:val="18"/>
        </w:rPr>
        <w:t>Our Audit Committee has the primary responsibility for the review, approval, and oversight of any “related party transaction,” which is any transaction, arrangement, or relationship (or series of similar transactions, arrangements, or relationships) in which we are, were, or will be a participant and the amount involved exceeds $120,000, and in which the related person has, had, or will have a direct or indirect material interest.</w:t>
      </w:r>
    </w:p>
    <w:p>
      <w:pPr>
        <w:pStyle w:val="TextBody"/>
        <w:bidi w:val="0"/>
        <w:spacing w:lineRule="auto" w:line="312" w:before="0" w:after="180"/>
        <w:jc w:val="left"/>
        <w:rPr>
          <w:rFonts w:ascii="Arial;sans-serif" w:hAnsi="Arial;sans-serif"/>
          <w:b w:val="false"/>
          <w:color w:val="000000"/>
          <w:sz w:val="18"/>
        </w:rPr>
      </w:pPr>
      <w:r>
        <w:rPr>
          <w:rFonts w:ascii="Arial;sans-serif" w:hAnsi="Arial;sans-serif"/>
          <w:b w:val="false"/>
          <w:color w:val="000000"/>
          <w:sz w:val="18"/>
        </w:rPr>
        <w:t>We have adopted a written related party transaction policy under which our management is required to submit any related person transaction not previously approved or ratified by our Audit Committee to our Audit Committee. In approving or rejecting the proposed transactions, our Audit Committee will take into account all of the relevant facts and circumstances available. Our Audit Committee will approve only those transactions that, as determined by our Audit Committee, are in, or are not inconsistent with, our best interests and the best interests of our stockholders.</w:t>
      </w:r>
    </w:p>
    <w:p>
      <w:pPr>
        <w:pStyle w:val="TextBody"/>
        <w:bidi w:val="0"/>
        <w:spacing w:lineRule="auto" w:line="312" w:before="0" w:after="0"/>
        <w:jc w:val="left"/>
        <w:rPr>
          <w:rFonts w:ascii="Arial;sans-serif" w:hAnsi="Arial;sans-serif"/>
          <w:b w:val="false"/>
          <w:color w:val="000000"/>
          <w:sz w:val="18"/>
        </w:rPr>
      </w:pPr>
      <w:r>
        <w:rPr>
          <w:rFonts w:ascii="Arial;sans-serif" w:hAnsi="Arial;sans-serif"/>
          <w:b w:val="false"/>
          <w:color w:val="000000"/>
          <w:sz w:val="18"/>
        </w:rPr>
        <w:t>Since the beginning of fiscal year ended December 31, 2024, there have been no transactions, and there currently are no proposed transactions, in excess of $120,000 between SI-BONE (or one of our subsidiaries) and a related person in which the related person had or will have a direct or indirect material interest.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6480175" cy="739140"/>
                <wp:effectExtent l="0" t="0" r="0" b="0"/>
                <wp:wrapNone/>
                <wp:docPr id="78" name="Frame54"/>
                <a:graphic xmlns:a="http://schemas.openxmlformats.org/drawingml/2006/main">
                  <a:graphicData uri="http://schemas.microsoft.com/office/word/2010/wordprocessingShape">
                    <wps:wsp>
                      <wps:cNvSpPr txBox="1"/>
                      <wps:spPr>
                        <a:xfrm>
                          <a:off x="0" y="0"/>
                          <a:ext cx="6480175" cy="739140"/>
                        </a:xfrm>
                        <a:prstGeom prst="rect"/>
                        <a:solidFill>
                          <a:srgbClr val="FFFFFF"/>
                        </a:solidFill>
                      </wps:spPr>
                      <wps:txbx>
                        <w:txbxContent>
                          <w:tbl>
                            <w:tblPr>
                              <w:tblW w:w="3266" w:type="dxa"/>
                              <w:jc w:val="center"/>
                              <w:tblInd w:w="0" w:type="dxa"/>
                              <w:tblLayout w:type="fixed"/>
                              <w:tblCellMar>
                                <w:top w:w="28" w:type="dxa"/>
                                <w:left w:w="28" w:type="dxa"/>
                                <w:bottom w:w="28" w:type="dxa"/>
                                <w:right w:w="28" w:type="dxa"/>
                              </w:tblCellMar>
                            </w:tblPr>
                            <w:tblGrid>
                              <w:gridCol w:w="424"/>
                              <w:gridCol w:w="372"/>
                              <w:gridCol w:w="374"/>
                              <w:gridCol w:w="109"/>
                              <w:gridCol w:w="109"/>
                              <w:gridCol w:w="109"/>
                              <w:gridCol w:w="517"/>
                              <w:gridCol w:w="517"/>
                              <w:gridCol w:w="735"/>
                            </w:tblGrid>
                            <w:tr>
                              <w:trPr/>
                              <w:tc>
                                <w:tcPr>
                                  <w:tcW w:w="424"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r>
                            <w:tr>
                              <w:trPr/>
                              <w:tc>
                                <w:tcPr>
                                  <w:tcW w:w="1170"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6"/>
                                    </w:rPr>
                                  </w:pPr>
                                  <w:r>
                                    <w:rPr>
                                      <w:rFonts w:ascii="Arial;sans-serif" w:hAnsi="Arial;sans-serif"/>
                                      <w:b/>
                                      <w:color w:val="000000"/>
                                      <w:sz w:val="16"/>
                                    </w:rPr>
                                    <w:t>SI-BONE, Inc.</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000000"/>
                                      <w:sz w:val="16"/>
                                    </w:rPr>
                                  </w:pPr>
                                  <w:r>
                                    <w:rPr>
                                      <w:rFonts w:ascii="Arial;sans-serif" w:hAnsi="Arial;sans-serif"/>
                                      <w:b/>
                                      <w:color w:val="000000"/>
                                      <w:sz w:val="16"/>
                                    </w:rPr>
                                    <w:t>49</w:t>
                                  </w:r>
                                </w:p>
                              </w:tc>
                              <w:tc>
                                <w:tcPr>
                                  <w:tcW w:w="176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2025 Proxy Statement</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2pt;mso-wrap-distance-left:0pt;mso-wrap-distance-right:0pt;mso-wrap-distance-top:0pt;mso-wrap-distance-bottom:0pt;margin-top:0pt;mso-position-vertical:top;mso-position-vertical-relative:text;margin-left:0pt;mso-position-horizontal:left;mso-position-horizontal-relative:text">
                <v:textbox>
                  <w:txbxContent>
                    <w:tbl>
                      <w:tblPr>
                        <w:tblW w:w="3266" w:type="dxa"/>
                        <w:jc w:val="center"/>
                        <w:tblInd w:w="0" w:type="dxa"/>
                        <w:tblLayout w:type="fixed"/>
                        <w:tblCellMar>
                          <w:top w:w="28" w:type="dxa"/>
                          <w:left w:w="28" w:type="dxa"/>
                          <w:bottom w:w="28" w:type="dxa"/>
                          <w:right w:w="28" w:type="dxa"/>
                        </w:tblCellMar>
                      </w:tblPr>
                      <w:tblGrid>
                        <w:gridCol w:w="424"/>
                        <w:gridCol w:w="372"/>
                        <w:gridCol w:w="374"/>
                        <w:gridCol w:w="109"/>
                        <w:gridCol w:w="109"/>
                        <w:gridCol w:w="109"/>
                        <w:gridCol w:w="517"/>
                        <w:gridCol w:w="517"/>
                        <w:gridCol w:w="735"/>
                      </w:tblGrid>
                      <w:tr>
                        <w:trPr/>
                        <w:tc>
                          <w:tcPr>
                            <w:tcW w:w="424"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r>
                      <w:tr>
                        <w:trPr/>
                        <w:tc>
                          <w:tcPr>
                            <w:tcW w:w="1170"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6"/>
                              </w:rPr>
                            </w:pPr>
                            <w:r>
                              <w:rPr>
                                <w:rFonts w:ascii="Arial;sans-serif" w:hAnsi="Arial;sans-serif"/>
                                <w:b/>
                                <w:color w:val="000000"/>
                                <w:sz w:val="16"/>
                              </w:rPr>
                              <w:t>SI-BONE, Inc.</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000000"/>
                                <w:sz w:val="16"/>
                              </w:rPr>
                            </w:pPr>
                            <w:r>
                              <w:rPr>
                                <w:rFonts w:ascii="Arial;sans-serif" w:hAnsi="Arial;sans-serif"/>
                                <w:b/>
                                <w:color w:val="000000"/>
                                <w:sz w:val="16"/>
                              </w:rPr>
                              <w:t>49</w:t>
                            </w:r>
                          </w:p>
                        </w:tc>
                        <w:tc>
                          <w:tcPr>
                            <w:tcW w:w="176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2025 Proxy Statement</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right"/>
        <w:rPr>
          <w:rFonts w:ascii="Arial;sans-serif" w:hAnsi="Arial;sans-serif"/>
          <w:b w:val="false"/>
          <w:color w:val="000000"/>
          <w:sz w:val="16"/>
        </w:rPr>
      </w:pPr>
      <w:r>
        <w:rPr>
          <w:rFonts w:ascii="Arial;sans-serif" w:hAnsi="Arial;sans-serif"/>
          <w:b w:val="false"/>
          <w:color w:val="000000"/>
          <w:sz w:val="16"/>
        </w:rPr>
        <w:t>Table of Contents</w:t>
      </w:r>
    </w:p>
    <w:p>
      <w:pPr>
        <w:pStyle w:val="TextBody"/>
        <w:bidi w:val="0"/>
        <w:spacing w:lineRule="auto" w:line="288" w:before="0" w:after="0"/>
        <w:jc w:val="left"/>
        <w:rPr>
          <w:rFonts w:ascii="Arial;sans-serif" w:hAnsi="Arial;sans-serif"/>
          <w:b/>
          <w:color w:val="000000"/>
          <w:sz w:val="56"/>
        </w:rPr>
      </w:pPr>
      <w:r>
        <w:rPr>
          <w:rFonts w:ascii="Arial;sans-serif" w:hAnsi="Arial;sans-serif"/>
          <w:b/>
          <w:color w:val="000000"/>
          <w:sz w:val="56"/>
        </w:rPr>
        <w:t>Indemnification Agreements</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12" w:before="0" w:after="180"/>
        <w:jc w:val="left"/>
        <w:rPr>
          <w:rFonts w:ascii="Arial;sans-serif" w:hAnsi="Arial;sans-serif"/>
          <w:b w:val="false"/>
          <w:color w:val="000000"/>
          <w:sz w:val="18"/>
        </w:rPr>
      </w:pPr>
      <w:r>
        <w:rPr>
          <w:rFonts w:ascii="Arial;sans-serif" w:hAnsi="Arial;sans-serif"/>
          <w:b w:val="false"/>
          <w:color w:val="000000"/>
          <w:sz w:val="18"/>
        </w:rPr>
        <w:t>Our amended and restated certificate of incorporation contains provisions limiting the liability of directors, and our amended and restated bylaws provide that we will indemnify each of our directors to the fullest extent permitted under Delaware law. Our amended and restated certificate of incorporation and amended and restated bylaws also provide our Board with discretion to indemnify our officers and employees when determined appropriate by our Board. In June 2024, we amended our amended and restated certificate of incorporation (the “Amendment”). The Amendment contains provisions limiting the liability of certain officers as permitted under the Delaware General Corporation Law.</w:t>
      </w:r>
    </w:p>
    <w:p>
      <w:pPr>
        <w:pStyle w:val="TextBody"/>
        <w:bidi w:val="0"/>
        <w:spacing w:lineRule="auto" w:line="312" w:before="0" w:after="180"/>
        <w:jc w:val="left"/>
        <w:rPr>
          <w:rFonts w:ascii="Arial;sans-serif" w:hAnsi="Arial;sans-serif"/>
          <w:b w:val="false"/>
          <w:color w:val="000000"/>
          <w:sz w:val="18"/>
        </w:rPr>
      </w:pPr>
      <w:r>
        <w:rPr>
          <w:rFonts w:ascii="Arial;sans-serif" w:hAnsi="Arial;sans-serif"/>
          <w:b w:val="false"/>
          <w:color w:val="000000"/>
          <w:sz w:val="18"/>
        </w:rPr>
        <w:t>We have and intend to enter into indemnification agreements with each of our directors and executive officers and certain other key employees. The indemnification agreements provide that we will indemnify each of our directors, executive officers, and such other key employees against any and all expenses incurred by that director, executive officer, or other key employee because of his or her status as one of our directors, executive officers, or other key employees, to the fullest extent permitted by Delaware law, our amended and restated certificate of incorporation and our amended and restated bylaws. In addition, the indemnification agreements provide that, to the fullest extent permitted by Delaware law, we will advance all expenses incurred by our directors, executive officers and other key employees in connection with a legal proceeding involving his or her status as a director, executive officer or employee.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sans-serif" w:hAnsi="Arial;sans-serif"/>
          <w:b/>
          <w:color w:val="000000"/>
          <w:sz w:val="56"/>
        </w:rPr>
      </w:pPr>
      <w:r>
        <w:rPr>
          <w:rFonts w:ascii="Arial;sans-serif" w:hAnsi="Arial;sans-serif"/>
          <w:b/>
          <w:color w:val="000000"/>
          <w:sz w:val="56"/>
        </w:rPr>
        <w:t>Householding and Proxy Materials</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12" w:before="0" w:after="180"/>
        <w:jc w:val="left"/>
        <w:rPr>
          <w:rFonts w:ascii="Arial;sans-serif" w:hAnsi="Arial;sans-serif"/>
          <w:b w:val="false"/>
          <w:color w:val="000000"/>
          <w:sz w:val="18"/>
        </w:rPr>
      </w:pPr>
      <w:r>
        <w:rPr>
          <w:rFonts w:ascii="Arial;sans-serif" w:hAnsi="Arial;sans-serif"/>
          <w:b w:val="false"/>
          <w:color w:val="000000"/>
          <w:sz w:val="18"/>
        </w:rPr>
        <w:t>The SEC has adopted rules that permit companies and intermediaries (e.g., brokers) to satisfy the delivery requirements for Annual Meeting materials with respect to two or more stockholders sharing the same address by delivering a single set of Annual Meeting materials addressed to those stockholders. This process, which is commonly referred to as “householding,” potentially means extra convenience for stockholders and cost savings for companies.</w:t>
      </w:r>
    </w:p>
    <w:p>
      <w:pPr>
        <w:pStyle w:val="TextBody"/>
        <w:bidi w:val="0"/>
        <w:spacing w:lineRule="auto" w:line="312" w:before="0" w:after="180"/>
        <w:jc w:val="left"/>
        <w:rPr>
          <w:rFonts w:ascii="Arial;sans-serif" w:hAnsi="Arial;sans-serif"/>
          <w:b w:val="false"/>
          <w:color w:val="000000"/>
          <w:sz w:val="18"/>
        </w:rPr>
      </w:pPr>
      <w:r>
        <w:rPr>
          <w:rFonts w:ascii="Arial;sans-serif" w:hAnsi="Arial;sans-serif"/>
          <w:b w:val="false"/>
          <w:color w:val="000000"/>
          <w:sz w:val="18"/>
        </w:rPr>
        <w:t>This year, a number of brokers with account holders who are SI-BONE, Inc. stockholders will likely be “householding” SI-BONE’s proxy materials. A single set of Notice of Internet Availability of Proxy Materials or other Annual Meeting materials, as applicable, will be delivered to multiple stockholders sharing an address unless contrary instructions have been received from the affected stockholders. Once you have received notice from your broker that they will be “householding” communications to your address, “householding” will continue until you are notified otherwise or until you revoke your consent. If, at any time, you no longer wish to participate in “householding” and would prefer to receive a separate set of Notice of Internet Availability of Proxy Materials or other Annual Meeting materials, please notify your broker or SI-BONE, Inc. Direct your written request to SI-BONE, Inc, Attn: Michael A. Pisetsky, Secretary and Chief Business &amp; Legal Affairs Officer, 471 El Camino Real, Suite 101, Santa Clara, California 95050. Stockholders who currently receive multiple copies of the Notice of Internet Availability of Proxy Materials or other Annual Meeting materials at their addresses and would like to request “householding” of their communications should contact their brokers.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sans-serif" w:hAnsi="Arial;sans-serif"/>
          <w:b/>
          <w:color w:val="000000"/>
          <w:sz w:val="56"/>
        </w:rPr>
      </w:pPr>
      <w:r>
        <w:rPr>
          <w:rFonts w:ascii="Arial;sans-serif" w:hAnsi="Arial;sans-serif"/>
          <w:b/>
          <w:color w:val="000000"/>
          <w:sz w:val="56"/>
        </w:rPr>
        <w:t>Other Matters</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12" w:before="0" w:after="160"/>
        <w:jc w:val="left"/>
        <w:rPr>
          <w:rFonts w:ascii="Arial;sans-serif" w:hAnsi="Arial;sans-serif"/>
          <w:b w:val="false"/>
          <w:color w:val="000000"/>
          <w:sz w:val="18"/>
        </w:rPr>
      </w:pPr>
      <w:r>
        <w:rPr>
          <w:rFonts w:ascii="Arial;sans-serif" w:hAnsi="Arial;sans-serif"/>
          <w:b w:val="false"/>
          <w:color w:val="000000"/>
          <w:sz w:val="18"/>
        </w:rPr>
        <w:t>The Board of Directors knows of no other matters that will be presented for consideration at the Annual Meeting. If any other matters are properly brought before the meeting, it is the intention of the persons named in the accompanying proxy to vote on such matters in accordance with their best judgment.</w:t>
      </w:r>
    </w:p>
    <w:p>
      <w:pPr>
        <w:pStyle w:val="TextBody"/>
        <w:bidi w:val="0"/>
        <w:spacing w:lineRule="auto" w:line="312" w:before="0" w:after="140"/>
        <w:jc w:val="left"/>
        <w:rPr>
          <w:rFonts w:ascii="Arial;sans-serif" w:hAnsi="Arial;sans-serif"/>
          <w:b w:val="false"/>
          <w:color w:val="000000"/>
          <w:sz w:val="18"/>
        </w:rPr>
      </w:pPr>
      <w:r>
        <w:rPr>
          <w:rFonts w:ascii="Arial;sans-serif" w:hAnsi="Arial;sans-serif"/>
          <w:b w:val="false"/>
          <w:color w:val="000000"/>
          <w:sz w:val="18"/>
        </w:rPr>
        <w:t>By Order of the Board of Directors</w:t>
      </w:r>
    </w:p>
    <w:p>
      <w:pPr>
        <w:pStyle w:val="TextBody"/>
        <w:bidi w:val="0"/>
        <w:spacing w:lineRule="auto" w:line="312" w:before="0" w:after="160"/>
        <w:jc w:val="left"/>
        <w:rPr>
          <w:rFonts w:ascii="Arial;sans-serif" w:hAnsi="Arial;sans-serif"/>
          <w:b w:val="false"/>
          <w:color w:val="000000"/>
          <w:sz w:val="18"/>
        </w:rPr>
      </w:pPr>
      <w:r>
        <w:rPr>
          <w:rFonts w:ascii="Arial;sans-serif" w:hAnsi="Arial;sans-serif"/>
          <w:b w:val="false"/>
          <w:color w:val="000000"/>
          <w:sz w:val="18"/>
        </w:rPr>
        <w:t>/s/ Michael A. Pisetsky</w:t>
      </w:r>
    </w:p>
    <w:p>
      <w:pPr>
        <w:pStyle w:val="TextBody"/>
        <w:bidi w:val="0"/>
        <w:spacing w:lineRule="auto" w:line="312" w:before="0" w:after="0"/>
        <w:jc w:val="left"/>
        <w:rPr>
          <w:rFonts w:ascii="Arial;sans-serif" w:hAnsi="Arial;sans-serif"/>
          <w:b/>
          <w:color w:val="000000"/>
          <w:sz w:val="18"/>
        </w:rPr>
      </w:pPr>
      <w:r>
        <w:rPr>
          <w:rFonts w:ascii="Arial;sans-serif" w:hAnsi="Arial;sans-serif"/>
          <w:b/>
          <w:color w:val="000000"/>
          <w:sz w:val="18"/>
        </w:rPr>
        <w:t>Michael A. Pisetsky</w:t>
      </w:r>
    </w:p>
    <w:p>
      <w:pPr>
        <w:pStyle w:val="TextBody"/>
        <w:bidi w:val="0"/>
        <w:spacing w:lineRule="auto" w:line="312" w:before="0" w:after="60"/>
        <w:jc w:val="left"/>
        <w:rPr>
          <w:rFonts w:ascii="Arial;sans-serif" w:hAnsi="Arial;sans-serif"/>
          <w:b w:val="false"/>
          <w:color w:val="000000"/>
          <w:sz w:val="18"/>
        </w:rPr>
      </w:pPr>
      <w:r>
        <w:rPr>
          <w:rFonts w:ascii="Arial;sans-serif" w:hAnsi="Arial;sans-serif"/>
          <w:b w:val="false"/>
          <w:color w:val="000000"/>
          <w:sz w:val="18"/>
        </w:rPr>
        <w:t>Secretary and Chief Business &amp; Legal Affairs Officer</w:t>
      </w:r>
    </w:p>
    <w:p>
      <w:pPr>
        <w:pStyle w:val="TextBody"/>
        <w:bidi w:val="0"/>
        <w:spacing w:lineRule="auto" w:line="312" w:before="0" w:after="120"/>
        <w:jc w:val="left"/>
        <w:rPr>
          <w:rFonts w:ascii="Arial;sans-serif" w:hAnsi="Arial;sans-serif"/>
          <w:b w:val="false"/>
          <w:color w:val="000000"/>
          <w:sz w:val="18"/>
        </w:rPr>
      </w:pPr>
      <w:r>
        <w:rPr>
          <w:rFonts w:ascii="Arial;sans-serif" w:hAnsi="Arial;sans-serif"/>
          <w:b w:val="false"/>
          <w:color w:val="000000"/>
          <w:sz w:val="18"/>
        </w:rPr>
        <w:t>April 25, 2025</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6480175" cy="739140"/>
                <wp:effectExtent l="0" t="0" r="0" b="0"/>
                <wp:wrapNone/>
                <wp:docPr id="79" name="Frame55"/>
                <a:graphic xmlns:a="http://schemas.openxmlformats.org/drawingml/2006/main">
                  <a:graphicData uri="http://schemas.microsoft.com/office/word/2010/wordprocessingShape">
                    <wps:wsp>
                      <wps:cNvSpPr txBox="1"/>
                      <wps:spPr>
                        <a:xfrm>
                          <a:off x="0" y="0"/>
                          <a:ext cx="6480175" cy="739140"/>
                        </a:xfrm>
                        <a:prstGeom prst="rect"/>
                        <a:solidFill>
                          <a:srgbClr val="FFFFFF"/>
                        </a:solidFill>
                      </wps:spPr>
                      <wps:txbx>
                        <w:txbxContent>
                          <w:tbl>
                            <w:tblPr>
                              <w:tblW w:w="3266" w:type="dxa"/>
                              <w:jc w:val="center"/>
                              <w:tblInd w:w="0" w:type="dxa"/>
                              <w:tblLayout w:type="fixed"/>
                              <w:tblCellMar>
                                <w:top w:w="28" w:type="dxa"/>
                                <w:left w:w="28" w:type="dxa"/>
                                <w:bottom w:w="28" w:type="dxa"/>
                                <w:right w:w="28" w:type="dxa"/>
                              </w:tblCellMar>
                            </w:tblPr>
                            <w:tblGrid>
                              <w:gridCol w:w="424"/>
                              <w:gridCol w:w="372"/>
                              <w:gridCol w:w="374"/>
                              <w:gridCol w:w="109"/>
                              <w:gridCol w:w="109"/>
                              <w:gridCol w:w="109"/>
                              <w:gridCol w:w="517"/>
                              <w:gridCol w:w="517"/>
                              <w:gridCol w:w="735"/>
                            </w:tblGrid>
                            <w:tr>
                              <w:trPr/>
                              <w:tc>
                                <w:tcPr>
                                  <w:tcW w:w="424"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r>
                            <w:tr>
                              <w:trPr/>
                              <w:tc>
                                <w:tcPr>
                                  <w:tcW w:w="1170"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6"/>
                                    </w:rPr>
                                  </w:pPr>
                                  <w:r>
                                    <w:rPr>
                                      <w:rFonts w:ascii="Arial;sans-serif" w:hAnsi="Arial;sans-serif"/>
                                      <w:b/>
                                      <w:color w:val="000000"/>
                                      <w:sz w:val="16"/>
                                    </w:rPr>
                                    <w:t>SI-BONE, Inc.</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000000"/>
                                      <w:sz w:val="16"/>
                                    </w:rPr>
                                  </w:pPr>
                                  <w:r>
                                    <w:rPr>
                                      <w:rFonts w:ascii="Arial;sans-serif" w:hAnsi="Arial;sans-serif"/>
                                      <w:b/>
                                      <w:color w:val="000000"/>
                                      <w:sz w:val="16"/>
                                    </w:rPr>
                                    <w:t>50</w:t>
                                  </w:r>
                                </w:p>
                              </w:tc>
                              <w:tc>
                                <w:tcPr>
                                  <w:tcW w:w="176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2025 Proxy Statement</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2pt;mso-wrap-distance-left:0pt;mso-wrap-distance-right:0pt;mso-wrap-distance-top:0pt;mso-wrap-distance-bottom:0pt;margin-top:0pt;mso-position-vertical:top;mso-position-vertical-relative:text;margin-left:0pt;mso-position-horizontal:left;mso-position-horizontal-relative:text">
                <v:textbox>
                  <w:txbxContent>
                    <w:tbl>
                      <w:tblPr>
                        <w:tblW w:w="3266" w:type="dxa"/>
                        <w:jc w:val="center"/>
                        <w:tblInd w:w="0" w:type="dxa"/>
                        <w:tblLayout w:type="fixed"/>
                        <w:tblCellMar>
                          <w:top w:w="28" w:type="dxa"/>
                          <w:left w:w="28" w:type="dxa"/>
                          <w:bottom w:w="28" w:type="dxa"/>
                          <w:right w:w="28" w:type="dxa"/>
                        </w:tblCellMar>
                      </w:tblPr>
                      <w:tblGrid>
                        <w:gridCol w:w="424"/>
                        <w:gridCol w:w="372"/>
                        <w:gridCol w:w="374"/>
                        <w:gridCol w:w="109"/>
                        <w:gridCol w:w="109"/>
                        <w:gridCol w:w="109"/>
                        <w:gridCol w:w="517"/>
                        <w:gridCol w:w="517"/>
                        <w:gridCol w:w="735"/>
                      </w:tblGrid>
                      <w:tr>
                        <w:trPr/>
                        <w:tc>
                          <w:tcPr>
                            <w:tcW w:w="424"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r>
                      <w:tr>
                        <w:trPr/>
                        <w:tc>
                          <w:tcPr>
                            <w:tcW w:w="1170"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6"/>
                              </w:rPr>
                            </w:pPr>
                            <w:r>
                              <w:rPr>
                                <w:rFonts w:ascii="Arial;sans-serif" w:hAnsi="Arial;sans-serif"/>
                                <w:b/>
                                <w:color w:val="000000"/>
                                <w:sz w:val="16"/>
                              </w:rPr>
                              <w:t>SI-BONE, Inc.</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000000"/>
                                <w:sz w:val="16"/>
                              </w:rPr>
                            </w:pPr>
                            <w:r>
                              <w:rPr>
                                <w:rFonts w:ascii="Arial;sans-serif" w:hAnsi="Arial;sans-serif"/>
                                <w:b/>
                                <w:color w:val="000000"/>
                                <w:sz w:val="16"/>
                              </w:rPr>
                              <w:t>50</w:t>
                            </w:r>
                          </w:p>
                        </w:tc>
                        <w:tc>
                          <w:tcPr>
                            <w:tcW w:w="176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2025 Proxy Statement</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right"/>
        <w:rPr>
          <w:rFonts w:ascii="Arial;sans-serif" w:hAnsi="Arial;sans-serif"/>
          <w:b w:val="false"/>
          <w:color w:val="000000"/>
          <w:sz w:val="16"/>
        </w:rPr>
      </w:pPr>
      <w:r>
        <w:rPr>
          <w:rFonts w:ascii="Arial;sans-serif" w:hAnsi="Arial;sans-serif"/>
          <w:b w:val="false"/>
          <w:color w:val="000000"/>
          <w:sz w:val="16"/>
        </w:rPr>
        <w:t>Table of Contents</w:t>
      </w:r>
    </w:p>
    <w:p>
      <w:pPr>
        <w:pStyle w:val="TextBody"/>
        <w:bidi w:val="0"/>
        <w:spacing w:lineRule="auto" w:line="312" w:before="0" w:after="600"/>
        <w:jc w:val="left"/>
        <w:rPr>
          <w:rFonts w:ascii="Arial;sans-serif" w:hAnsi="Arial;sans-serif"/>
          <w:b/>
          <w:color w:val="000000"/>
          <w:sz w:val="18"/>
        </w:rPr>
      </w:pPr>
      <w:r>
        <w:rPr>
          <w:rFonts w:ascii="Arial;sans-serif" w:hAnsi="Arial;sans-serif"/>
          <w:b/>
          <w:color w:val="000000"/>
          <w:sz w:val="18"/>
        </w:rPr>
        <w:t>A copy of SI-BONE, Inc.’s Annual Report to the Securities and Exchange Commission on Form 10-K for the fiscal year ending December 31, 2024 is available without charge upon written request to: Corporate Secretary, SI-BONE, Inc, 471 El Camino Real, Suite 101, Santa Clara, California 95050.</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sans-serif" w:hAnsi="Arial;sans-serif"/>
          <w:b/>
          <w:color w:val="000000"/>
          <w:sz w:val="56"/>
        </w:rPr>
      </w:pPr>
      <w:r>
        <w:rPr>
          <w:rFonts w:ascii="Arial;sans-serif" w:hAnsi="Arial;sans-serif"/>
          <w:b/>
          <w:color w:val="000000"/>
          <w:sz w:val="56"/>
        </w:rPr>
        <w:t>APPENDIX A</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12" w:before="0" w:after="180"/>
        <w:jc w:val="left"/>
        <w:rPr>
          <w:rFonts w:ascii="Arial;sans-serif" w:hAnsi="Arial;sans-serif"/>
          <w:b w:val="false"/>
          <w:color w:val="000000"/>
          <w:sz w:val="18"/>
        </w:rPr>
      </w:pPr>
      <w:r>
        <w:rPr>
          <w:rFonts w:ascii="Arial;sans-serif" w:hAnsi="Arial;sans-serif"/>
          <w:b w:val="false"/>
          <w:color w:val="000000"/>
          <w:sz w:val="18"/>
        </w:rPr>
        <w:t>This proxy statement contains information regarding certain non-GAAP financial measures, including Adjusted EBITDA, which is not calculated in accordance with Generally Accepted Accounting Principles (“GAAP”). Adjusted EBITDA excludes from net loss the effects of interest income, interest expense, depreciation and amortization and stock-based compensation. We use non-GAAP financial measures internally in analyzing our financial results and believe that the use of non-GAAP financial measures, including Adjusted EBITDA, is useful as an additional tool to evaluate ongoing operating results and trends and in comparing our financial results with other companies in our industry, many of which present similar non-GAAP financial measures.</w:t>
      </w:r>
    </w:p>
    <w:p>
      <w:pPr>
        <w:pStyle w:val="TextBody"/>
        <w:bidi w:val="0"/>
        <w:spacing w:lineRule="auto" w:line="312" w:before="0" w:after="180"/>
        <w:jc w:val="left"/>
        <w:rPr>
          <w:rFonts w:ascii="Arial;sans-serif" w:hAnsi="Arial;sans-serif"/>
          <w:b w:val="false"/>
          <w:color w:val="000000"/>
          <w:sz w:val="18"/>
        </w:rPr>
      </w:pPr>
      <w:r>
        <w:rPr>
          <w:rFonts w:ascii="Arial;sans-serif" w:hAnsi="Arial;sans-serif"/>
          <w:b w:val="false"/>
          <w:color w:val="000000"/>
          <w:sz w:val="18"/>
        </w:rPr>
        <w:t xml:space="preserve">Non-GAAP financial measures are not meant to be considered in isolation or as a substitute for comparable GAAP financial measures. We encourage stockholders to carefully consider our GAAP results, as well as our supplemental non-GAAP information and the reconciliation between these presentations, to more fully understand our business. A reconciliation of non-GAAP measures to the most directly comparable GAAP measure is provided below. </w:t>
      </w:r>
    </w:p>
    <w:p>
      <w:pPr>
        <w:pStyle w:val="TextBody"/>
        <w:bidi w:val="0"/>
        <w:spacing w:lineRule="auto" w:line="312" w:before="0" w:after="180"/>
        <w:jc w:val="left"/>
        <w:rPr>
          <w:rFonts w:ascii="Arial;sans-serif" w:hAnsi="Arial;sans-serif"/>
          <w:b w:val="false"/>
          <w:color w:val="000000"/>
          <w:sz w:val="18"/>
        </w:rPr>
      </w:pPr>
      <w:r>
        <w:rPr>
          <w:rFonts w:ascii="Arial;sans-serif" w:hAnsi="Arial;sans-serif"/>
          <w:b w:val="false"/>
          <w:color w:val="000000"/>
          <w:sz w:val="18"/>
        </w:rPr>
        <w:t>The following table presents a reconciliation of GAAP and non-GAAP results:</w:t>
      </w:r>
    </w:p>
    <w:p>
      <w:pPr>
        <w:pStyle w:val="TextBody"/>
        <w:bidi w:val="0"/>
        <w:spacing w:lineRule="auto" w:line="288" w:before="180" w:after="120"/>
        <w:jc w:val="center"/>
        <w:rPr>
          <w:rFonts w:ascii="Arial;sans-serif" w:hAnsi="Arial;sans-serif"/>
          <w:b/>
          <w:color w:val="000000"/>
          <w:sz w:val="20"/>
        </w:rPr>
      </w:pPr>
      <w:r>
        <w:rPr>
          <w:rFonts w:ascii="Arial;sans-serif" w:hAnsi="Arial;sans-serif"/>
          <w:b/>
          <w:color w:val="000000"/>
          <w:sz w:val="20"/>
        </w:rPr>
        <w:t>RECONCILIATION OF NET LOSS TO NON-GAAP ADJUSTED EBITDA</w:t>
      </w:r>
    </w:p>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(In thousands)</w:t>
      </w:r>
    </w:p>
    <w:tbl>
      <w:tblPr>
        <w:tblW w:w="7672" w:type="dxa"/>
        <w:jc w:val="left"/>
        <w:tblInd w:w="0" w:type="dxa"/>
        <w:tblLayout w:type="fixed"/>
        <w:tblCellMar>
          <w:top w:w="28" w:type="dxa"/>
          <w:left w:w="28" w:type="dxa"/>
          <w:bottom w:w="28" w:type="dxa"/>
          <w:right w:w="28" w:type="dxa"/>
        </w:tblCellMar>
      </w:tblPr>
      <w:tblGrid>
        <w:gridCol w:w="1175"/>
        <w:gridCol w:w="1035"/>
        <w:gridCol w:w="1045"/>
        <w:gridCol w:w="109"/>
        <w:gridCol w:w="109"/>
        <w:gridCol w:w="109"/>
        <w:gridCol w:w="359"/>
        <w:gridCol w:w="361"/>
        <w:gridCol w:w="156"/>
        <w:gridCol w:w="109"/>
        <w:gridCol w:w="109"/>
        <w:gridCol w:w="109"/>
        <w:gridCol w:w="359"/>
        <w:gridCol w:w="361"/>
        <w:gridCol w:w="156"/>
        <w:gridCol w:w="109"/>
        <w:gridCol w:w="109"/>
        <w:gridCol w:w="109"/>
        <w:gridCol w:w="359"/>
        <w:gridCol w:w="361"/>
        <w:gridCol w:w="156"/>
        <w:gridCol w:w="109"/>
        <w:gridCol w:w="109"/>
        <w:gridCol w:w="109"/>
        <w:gridCol w:w="109"/>
        <w:gridCol w:w="109"/>
        <w:gridCol w:w="109"/>
        <w:gridCol w:w="154"/>
      </w:tblGrid>
      <w:tr>
        <w:trPr/>
        <w:tc>
          <w:tcPr>
            <w:tcW w:w="1175" w:type="dxa"/>
            <w:tcBorders/>
            <w:vAlign w:val="center"/>
          </w:tcPr>
          <w:p>
            <w:pPr>
              <w:pStyle w:val="TableContents"/>
              <w:bidi w:val="0"/>
              <w:spacing w:before="0" w:after="283"/>
              <w:jc w:val="left"/>
              <w:rPr>
                <w:sz w:val="4"/>
                <w:szCs w:val="4"/>
              </w:rPr>
            </w:pPr>
            <w:r>
              <w:rPr>
                <w:sz w:val="4"/>
                <w:szCs w:val="4"/>
              </w:rPr>
            </w:r>
          </w:p>
        </w:tc>
        <w:tc>
          <w:tcPr>
            <w:tcW w:w="1035" w:type="dxa"/>
            <w:tcBorders/>
            <w:vAlign w:val="center"/>
          </w:tcPr>
          <w:p>
            <w:pPr>
              <w:pStyle w:val="TableContents"/>
              <w:bidi w:val="0"/>
              <w:spacing w:before="0" w:after="283"/>
              <w:jc w:val="left"/>
              <w:rPr>
                <w:sz w:val="4"/>
                <w:szCs w:val="4"/>
              </w:rPr>
            </w:pPr>
            <w:r>
              <w:rPr>
                <w:sz w:val="4"/>
                <w:szCs w:val="4"/>
              </w:rPr>
            </w:r>
          </w:p>
        </w:tc>
        <w:tc>
          <w:tcPr>
            <w:tcW w:w="10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9" w:type="dxa"/>
            <w:gridSpan w:val="18"/>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 xml:space="preserve">Twelve Months Ended </w:t>
              <w:br/>
              <w:t>December 31,</w:t>
            </w:r>
          </w:p>
        </w:tc>
        <w:tc>
          <w:tcPr>
            <w:tcW w:w="481" w:type="dxa"/>
            <w:gridSpan w:val="4"/>
            <w:tcBorders/>
          </w:tcPr>
          <w:p>
            <w:pPr>
              <w:pStyle w:val="TableContents"/>
              <w:bidi w:val="0"/>
              <w:spacing w:before="0" w:after="283"/>
              <w:jc w:val="left"/>
              <w:rPr>
                <w:sz w:val="4"/>
                <w:szCs w:val="4"/>
              </w:rPr>
            </w:pPr>
            <w:r>
              <w:rPr>
                <w:sz w:val="4"/>
                <w:szCs w:val="4"/>
              </w:rPr>
            </w:r>
          </w:p>
        </w:tc>
      </w:tr>
      <w:tr>
        <w:trPr/>
        <w:tc>
          <w:tcPr>
            <w:tcW w:w="32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74A333"/>
            </w:tcBorders>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6"/>
              </w:rPr>
            </w:pPr>
            <w:r>
              <w:rPr>
                <w:rFonts w:ascii="Arial;sans-serif" w:hAnsi="Arial;sans-serif"/>
                <w:b/>
                <w:color w:val="000000"/>
                <w:sz w:val="16"/>
              </w:rPr>
              <w:t>2024</w:t>
              <w:br/>
              <w:t>($)</w:t>
            </w:r>
          </w:p>
        </w:tc>
        <w:tc>
          <w:tcPr>
            <w:tcW w:w="327" w:type="dxa"/>
            <w:gridSpan w:val="3"/>
            <w:tcBorders>
              <w:top w:val="single" w:sz="8" w:space="0" w:color="74A33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74A333"/>
            </w:tcBorders>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6"/>
              </w:rPr>
            </w:pPr>
            <w:r>
              <w:rPr>
                <w:rFonts w:ascii="Arial;sans-serif" w:hAnsi="Arial;sans-serif"/>
                <w:b/>
                <w:color w:val="000000"/>
                <w:sz w:val="16"/>
              </w:rPr>
              <w:t>2023</w:t>
              <w:br/>
              <w:t>($)</w:t>
            </w:r>
          </w:p>
        </w:tc>
        <w:tc>
          <w:tcPr>
            <w:tcW w:w="327" w:type="dxa"/>
            <w:gridSpan w:val="3"/>
            <w:tcBorders>
              <w:top w:val="single" w:sz="8" w:space="0" w:color="74A33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74A333"/>
            </w:tcBorders>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6"/>
              </w:rPr>
            </w:pPr>
            <w:r>
              <w:rPr>
                <w:rFonts w:ascii="Arial;sans-serif" w:hAnsi="Arial;sans-serif"/>
                <w:b/>
                <w:color w:val="000000"/>
                <w:sz w:val="16"/>
              </w:rPr>
              <w:t>2022</w:t>
              <w:br/>
              <w:t>($)</w:t>
            </w:r>
          </w:p>
        </w:tc>
        <w:tc>
          <w:tcPr>
            <w:tcW w:w="327" w:type="dxa"/>
            <w:gridSpan w:val="3"/>
            <w:tcBorders>
              <w:top w:val="single" w:sz="8" w:space="0" w:color="74A33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55" w:type="dxa"/>
            <w:gridSpan w:val="3"/>
            <w:tcBorders/>
            <w:shd w:fill="ECECEE"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6"/>
              </w:rPr>
            </w:pPr>
            <w:r>
              <w:rPr>
                <w:rFonts w:ascii="Arial;sans-serif" w:hAnsi="Arial;sans-serif"/>
                <w:b/>
                <w:color w:val="000000"/>
                <w:sz w:val="16"/>
              </w:rPr>
              <w:t>Net loss on a GAAP basis</w:t>
            </w:r>
          </w:p>
        </w:tc>
        <w:tc>
          <w:tcPr>
            <w:tcW w:w="327" w:type="dxa"/>
            <w:gridSpan w:val="3"/>
            <w:tcBorders/>
            <w:shd w:fill="ECEC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2"/>
            <w:tcBorders/>
            <w:shd w:fill="ECECEE"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(30,913)</w:t>
            </w:r>
          </w:p>
        </w:tc>
        <w:tc>
          <w:tcPr>
            <w:tcW w:w="156" w:type="dxa"/>
            <w:tcBorders/>
            <w:shd w:fill="ECEC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CEC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2"/>
            <w:tcBorders/>
            <w:shd w:fill="ECECEE"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(43,336)</w:t>
            </w:r>
          </w:p>
        </w:tc>
        <w:tc>
          <w:tcPr>
            <w:tcW w:w="156" w:type="dxa"/>
            <w:tcBorders/>
            <w:shd w:fill="ECEC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CEC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2"/>
            <w:tcBorders/>
            <w:shd w:fill="ECECEE"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(61,256)</w:t>
            </w:r>
          </w:p>
        </w:tc>
        <w:tc>
          <w:tcPr>
            <w:tcW w:w="156" w:type="dxa"/>
            <w:tcBorders/>
            <w:shd w:fill="ECEC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CEC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6"/>
              </w:rPr>
            </w:pPr>
            <w:r>
              <w:rPr>
                <w:rFonts w:ascii="Arial;sans-serif" w:hAnsi="Arial;sans-serif"/>
                <w:b/>
                <w:color w:val="000000"/>
                <w:sz w:val="16"/>
              </w:rPr>
              <w:t>Add (Subtract):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55" w:type="dxa"/>
            <w:gridSpan w:val="3"/>
            <w:tcBorders/>
            <w:shd w:fill="ECECEE"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Interest income</w:t>
            </w:r>
          </w:p>
        </w:tc>
        <w:tc>
          <w:tcPr>
            <w:tcW w:w="327" w:type="dxa"/>
            <w:gridSpan w:val="3"/>
            <w:tcBorders/>
            <w:shd w:fill="ECEC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2"/>
            <w:tcBorders/>
            <w:shd w:fill="ECECEE"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(7,848)</w:t>
            </w:r>
          </w:p>
        </w:tc>
        <w:tc>
          <w:tcPr>
            <w:tcW w:w="156" w:type="dxa"/>
            <w:tcBorders/>
            <w:shd w:fill="ECEC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CEC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2"/>
            <w:tcBorders/>
            <w:shd w:fill="ECECEE"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(6,916)</w:t>
            </w:r>
          </w:p>
        </w:tc>
        <w:tc>
          <w:tcPr>
            <w:tcW w:w="156" w:type="dxa"/>
            <w:tcBorders/>
            <w:shd w:fill="ECEC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CEC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2"/>
            <w:tcBorders/>
            <w:shd w:fill="ECECEE"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(1,304)</w:t>
            </w:r>
          </w:p>
        </w:tc>
        <w:tc>
          <w:tcPr>
            <w:tcW w:w="156" w:type="dxa"/>
            <w:tcBorders/>
            <w:shd w:fill="ECEC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CEC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Interest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3,440 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3,462 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2,819 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55" w:type="dxa"/>
            <w:gridSpan w:val="3"/>
            <w:tcBorders/>
            <w:shd w:fill="ECECEE"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Depreciation and amortization</w:t>
            </w:r>
          </w:p>
        </w:tc>
        <w:tc>
          <w:tcPr>
            <w:tcW w:w="327" w:type="dxa"/>
            <w:gridSpan w:val="3"/>
            <w:tcBorders/>
            <w:shd w:fill="ECEC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2"/>
            <w:tcBorders/>
            <w:shd w:fill="ECECEE"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4,379 </w:t>
            </w:r>
          </w:p>
        </w:tc>
        <w:tc>
          <w:tcPr>
            <w:tcW w:w="156" w:type="dxa"/>
            <w:tcBorders/>
            <w:shd w:fill="ECEC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CEC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2"/>
            <w:tcBorders/>
            <w:shd w:fill="ECECEE"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5,428 </w:t>
            </w:r>
          </w:p>
        </w:tc>
        <w:tc>
          <w:tcPr>
            <w:tcW w:w="156" w:type="dxa"/>
            <w:tcBorders/>
            <w:shd w:fill="ECEC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CEC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2"/>
            <w:tcBorders/>
            <w:shd w:fill="ECECEE"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3,452 </w:t>
            </w:r>
          </w:p>
        </w:tc>
        <w:tc>
          <w:tcPr>
            <w:tcW w:w="156" w:type="dxa"/>
            <w:tcBorders/>
            <w:shd w:fill="ECEC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CEC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Stock-based compensation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25,868 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24,057 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23,061 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55" w:type="dxa"/>
            <w:gridSpan w:val="3"/>
            <w:tcBorders/>
            <w:shd w:fill="ECECEE"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6"/>
              </w:rPr>
            </w:pPr>
            <w:r>
              <w:rPr>
                <w:rFonts w:ascii="Arial;sans-serif" w:hAnsi="Arial;sans-serif"/>
                <w:b/>
                <w:color w:val="000000"/>
                <w:sz w:val="16"/>
              </w:rPr>
              <w:t>Adjusted EBITDA on a non-GAAP basis</w:t>
            </w:r>
          </w:p>
        </w:tc>
        <w:tc>
          <w:tcPr>
            <w:tcW w:w="327" w:type="dxa"/>
            <w:gridSpan w:val="3"/>
            <w:tcBorders/>
            <w:shd w:fill="ECEC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2"/>
            <w:tcBorders>
              <w:top w:val="single" w:sz="8" w:space="0" w:color="000000"/>
            </w:tcBorders>
            <w:shd w:fill="ECECEE"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(5,074)</w:t>
            </w:r>
          </w:p>
        </w:tc>
        <w:tc>
          <w:tcPr>
            <w:tcW w:w="156" w:type="dxa"/>
            <w:tcBorders>
              <w:top w:val="single" w:sz="8" w:space="0" w:color="000000"/>
            </w:tcBorders>
            <w:shd w:fill="ECECE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CEC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2"/>
            <w:tcBorders>
              <w:top w:val="single" w:sz="8" w:space="0" w:color="000000"/>
            </w:tcBorders>
            <w:shd w:fill="ECECEE"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(17,305)</w:t>
            </w:r>
          </w:p>
        </w:tc>
        <w:tc>
          <w:tcPr>
            <w:tcW w:w="156" w:type="dxa"/>
            <w:tcBorders>
              <w:top w:val="single" w:sz="8" w:space="0" w:color="000000"/>
            </w:tcBorders>
            <w:shd w:fill="ECECE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CEC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2"/>
            <w:tcBorders>
              <w:top w:val="single" w:sz="8" w:space="0" w:color="000000"/>
            </w:tcBorders>
            <w:shd w:fill="ECECEE"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(33,228)</w:t>
            </w:r>
          </w:p>
        </w:tc>
        <w:tc>
          <w:tcPr>
            <w:tcW w:w="156" w:type="dxa"/>
            <w:tcBorders>
              <w:top w:val="single" w:sz="8" w:space="0" w:color="000000"/>
            </w:tcBorders>
            <w:shd w:fill="ECECE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ECEC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55" w:type="dxa"/>
            <w:gridSpan w:val="3"/>
            <w:tcBorders>
              <w:bottom w:val="single" w:sz="12" w:space="0" w:color="74A333"/>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12" w:space="0" w:color="74A333"/>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double" w:sz="8" w:space="0" w:color="000000"/>
              <w:bottom w:val="single" w:sz="12" w:space="0" w:color="74A333"/>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12" w:space="0" w:color="74A333"/>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double" w:sz="8" w:space="0" w:color="000000"/>
              <w:bottom w:val="single" w:sz="12" w:space="0" w:color="74A333"/>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12" w:space="0" w:color="74A333"/>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double" w:sz="8" w:space="0" w:color="000000"/>
              <w:bottom w:val="single" w:sz="12" w:space="0" w:color="74A333"/>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bottom w:val="single" w:sz="12" w:space="0" w:color="74A333"/>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6480175" cy="739140"/>
                <wp:effectExtent l="0" t="0" r="0" b="0"/>
                <wp:wrapNone/>
                <wp:docPr id="80" name="Frame56"/>
                <a:graphic xmlns:a="http://schemas.openxmlformats.org/drawingml/2006/main">
                  <a:graphicData uri="http://schemas.microsoft.com/office/word/2010/wordprocessingShape">
                    <wps:wsp>
                      <wps:cNvSpPr txBox="1"/>
                      <wps:spPr>
                        <a:xfrm>
                          <a:off x="0" y="0"/>
                          <a:ext cx="6480175" cy="739140"/>
                        </a:xfrm>
                        <a:prstGeom prst="rect"/>
                        <a:solidFill>
                          <a:srgbClr val="FFFFFF"/>
                        </a:solidFill>
                      </wps:spPr>
                      <wps:txbx>
                        <w:txbxContent>
                          <w:tbl>
                            <w:tblPr>
                              <w:tblW w:w="3266" w:type="dxa"/>
                              <w:jc w:val="center"/>
                              <w:tblInd w:w="0" w:type="dxa"/>
                              <w:tblLayout w:type="fixed"/>
                              <w:tblCellMar>
                                <w:top w:w="28" w:type="dxa"/>
                                <w:left w:w="28" w:type="dxa"/>
                                <w:bottom w:w="28" w:type="dxa"/>
                                <w:right w:w="28" w:type="dxa"/>
                              </w:tblCellMar>
                            </w:tblPr>
                            <w:tblGrid>
                              <w:gridCol w:w="424"/>
                              <w:gridCol w:w="372"/>
                              <w:gridCol w:w="374"/>
                              <w:gridCol w:w="109"/>
                              <w:gridCol w:w="109"/>
                              <w:gridCol w:w="109"/>
                              <w:gridCol w:w="517"/>
                              <w:gridCol w:w="517"/>
                              <w:gridCol w:w="735"/>
                            </w:tblGrid>
                            <w:tr>
                              <w:trPr/>
                              <w:tc>
                                <w:tcPr>
                                  <w:tcW w:w="424"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r>
                            <w:tr>
                              <w:trPr/>
                              <w:tc>
                                <w:tcPr>
                                  <w:tcW w:w="1170"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6"/>
                                    </w:rPr>
                                  </w:pPr>
                                  <w:r>
                                    <w:rPr>
                                      <w:rFonts w:ascii="Arial;sans-serif" w:hAnsi="Arial;sans-serif"/>
                                      <w:b/>
                                      <w:color w:val="000000"/>
                                      <w:sz w:val="16"/>
                                    </w:rPr>
                                    <w:t>SI-BONE, Inc.</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000000"/>
                                      <w:sz w:val="16"/>
                                    </w:rPr>
                                  </w:pPr>
                                  <w:r>
                                    <w:rPr>
                                      <w:rFonts w:ascii="Arial;sans-serif" w:hAnsi="Arial;sans-serif"/>
                                      <w:b/>
                                      <w:color w:val="000000"/>
                                      <w:sz w:val="16"/>
                                    </w:rPr>
                                    <w:t>51</w:t>
                                  </w:r>
                                </w:p>
                              </w:tc>
                              <w:tc>
                                <w:tcPr>
                                  <w:tcW w:w="176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2025 Proxy Statement</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2pt;mso-wrap-distance-left:0pt;mso-wrap-distance-right:0pt;mso-wrap-distance-top:0pt;mso-wrap-distance-bottom:0pt;margin-top:0pt;mso-position-vertical:top;mso-position-vertical-relative:text;margin-left:0pt;mso-position-horizontal:left;mso-position-horizontal-relative:text">
                <v:textbox>
                  <w:txbxContent>
                    <w:tbl>
                      <w:tblPr>
                        <w:tblW w:w="3266" w:type="dxa"/>
                        <w:jc w:val="center"/>
                        <w:tblInd w:w="0" w:type="dxa"/>
                        <w:tblLayout w:type="fixed"/>
                        <w:tblCellMar>
                          <w:top w:w="28" w:type="dxa"/>
                          <w:left w:w="28" w:type="dxa"/>
                          <w:bottom w:w="28" w:type="dxa"/>
                          <w:right w:w="28" w:type="dxa"/>
                        </w:tblCellMar>
                      </w:tblPr>
                      <w:tblGrid>
                        <w:gridCol w:w="424"/>
                        <w:gridCol w:w="372"/>
                        <w:gridCol w:w="374"/>
                        <w:gridCol w:w="109"/>
                        <w:gridCol w:w="109"/>
                        <w:gridCol w:w="109"/>
                        <w:gridCol w:w="517"/>
                        <w:gridCol w:w="517"/>
                        <w:gridCol w:w="735"/>
                      </w:tblGrid>
                      <w:tr>
                        <w:trPr/>
                        <w:tc>
                          <w:tcPr>
                            <w:tcW w:w="424"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r>
                      <w:tr>
                        <w:trPr/>
                        <w:tc>
                          <w:tcPr>
                            <w:tcW w:w="1170"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6"/>
                              </w:rPr>
                            </w:pPr>
                            <w:r>
                              <w:rPr>
                                <w:rFonts w:ascii="Arial;sans-serif" w:hAnsi="Arial;sans-serif"/>
                                <w:b/>
                                <w:color w:val="000000"/>
                                <w:sz w:val="16"/>
                              </w:rPr>
                              <w:t>SI-BONE, Inc.</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000000"/>
                                <w:sz w:val="16"/>
                              </w:rPr>
                            </w:pPr>
                            <w:r>
                              <w:rPr>
                                <w:rFonts w:ascii="Arial;sans-serif" w:hAnsi="Arial;sans-serif"/>
                                <w:b/>
                                <w:color w:val="000000"/>
                                <w:sz w:val="16"/>
                              </w:rPr>
                              <w:t>51</w:t>
                            </w:r>
                          </w:p>
                        </w:tc>
                        <w:tc>
                          <w:tcPr>
                            <w:tcW w:w="176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2025 Proxy Statement</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center"/>
        <w:rPr/>
      </w:pPr>
      <w:r>
        <w:rPr/>
        <w:drawing>
          <wp:inline distT="0" distB="0" distL="0" distR="0">
            <wp:extent cx="6353175" cy="8229600"/>
            <wp:effectExtent l="0" t="0" r="0" b="0"/>
            <wp:docPr id="81"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 name="Image25" descr=""/>
                    <pic:cNvPicPr>
                      <a:picLocks noChangeAspect="1" noChangeArrowheads="1"/>
                    </pic:cNvPicPr>
                  </pic:nvPicPr>
                  <pic:blipFill>
                    <a:blip r:embed="rId26"/>
                    <a:stretch>
                      <a:fillRect/>
                    </a:stretch>
                  </pic:blipFill>
                  <pic:spPr bwMode="auto">
                    <a:xfrm>
                      <a:off x="0" y="0"/>
                      <a:ext cx="6353175" cy="8229600"/>
                    </a:xfrm>
                    <a:prstGeom prst="rect">
                      <a:avLst/>
                    </a:prstGeom>
                  </pic:spPr>
                </pic:pic>
              </a:graphicData>
            </a:graphic>
          </wp:inline>
        </w:drawing>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6480175" cy="175260"/>
                <wp:effectExtent l="0" t="0" r="0" b="0"/>
                <wp:wrapNone/>
                <wp:docPr id="82" name="Frame5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center"/>
        <w:rPr/>
      </w:pPr>
      <w:r>
        <w:rPr/>
        <w:drawing>
          <wp:inline distT="0" distB="0" distL="0" distR="0">
            <wp:extent cx="6353175" cy="8229600"/>
            <wp:effectExtent l="0" t="0" r="0" b="0"/>
            <wp:docPr id="83"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 name="Image26" descr=""/>
                    <pic:cNvPicPr>
                      <a:picLocks noChangeAspect="1" noChangeArrowheads="1"/>
                    </pic:cNvPicPr>
                  </pic:nvPicPr>
                  <pic:blipFill>
                    <a:blip r:embed="rId27"/>
                    <a:stretch>
                      <a:fillRect/>
                    </a:stretch>
                  </pic:blipFill>
                  <pic:spPr bwMode="auto">
                    <a:xfrm>
                      <a:off x="0" y="0"/>
                      <a:ext cx="6353175" cy="8229600"/>
                    </a:xfrm>
                    <a:prstGeom prst="rect">
                      <a:avLst/>
                    </a:prstGeom>
                  </pic:spPr>
                </pic:pic>
              </a:graphicData>
            </a:graphic>
          </wp:inline>
        </w:drawing>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6480175" cy="175260"/>
                <wp:effectExtent l="0" t="0" r="0" b="0"/>
                <wp:wrapNone/>
                <wp:docPr id="84" name="Frame5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center"/>
        <w:rPr/>
      </w:pPr>
      <w:r>
        <w:rPr/>
        <w:drawing>
          <wp:inline distT="0" distB="0" distL="0" distR="0">
            <wp:extent cx="6353175" cy="8229600"/>
            <wp:effectExtent l="0" t="0" r="0" b="0"/>
            <wp:docPr id="85"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 name="Image27" descr=""/>
                    <pic:cNvPicPr>
                      <a:picLocks noChangeAspect="1" noChangeArrowheads="1"/>
                    </pic:cNvPicPr>
                  </pic:nvPicPr>
                  <pic:blipFill>
                    <a:blip r:embed="rId28"/>
                    <a:stretch>
                      <a:fillRect/>
                    </a:stretch>
                  </pic:blipFill>
                  <pic:spPr bwMode="auto">
                    <a:xfrm>
                      <a:off x="0" y="0"/>
                      <a:ext cx="6353175" cy="8229600"/>
                    </a:xfrm>
                    <a:prstGeom prst="rect">
                      <a:avLst/>
                    </a:prstGeom>
                  </pic:spPr>
                </pic:pic>
              </a:graphicData>
            </a:graphic>
          </wp:inline>
        </w:drawing>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6480175" cy="175260"/>
                <wp:effectExtent l="0" t="0" r="0" b="0"/>
                <wp:wrapNone/>
                <wp:docPr id="86" name="Frame5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jc w:val="center"/>
        <w:rPr/>
      </w:pPr>
      <w:r>
        <w:rPr/>
        <w:drawing>
          <wp:inline distT="0" distB="0" distL="0" distR="0">
            <wp:extent cx="6353175" cy="8229600"/>
            <wp:effectExtent l="0" t="0" r="0" b="0"/>
            <wp:docPr id="87"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 name="Image28" descr=""/>
                    <pic:cNvPicPr>
                      <a:picLocks noChangeAspect="1" noChangeArrowheads="1"/>
                    </pic:cNvPicPr>
                  </pic:nvPicPr>
                  <pic:blipFill>
                    <a:blip r:embed="rId29"/>
                    <a:stretch>
                      <a:fillRect/>
                    </a:stretch>
                  </pic:blipFill>
                  <pic:spPr bwMode="auto">
                    <a:xfrm>
                      <a:off x="0" y="0"/>
                      <a:ext cx="6353175" cy="8229600"/>
                    </a:xfrm>
                    <a:prstGeom prst="rect">
                      <a:avLst/>
                    </a:prstGeom>
                  </pic:spPr>
                </pic:pic>
              </a:graphicData>
            </a:graphic>
          </wp:inline>
        </w:drawing>
      </w:r>
    </w:p>
    <w:p>
      <w:pPr>
        <w:pStyle w:val="TextBody"/>
        <w:bidi w:val="0"/>
        <w:spacing w:before="0" w:after="283"/>
        <w:jc w:val="left"/>
        <w:rPr/>
      </w:pPr>
      <w:r>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6480175" cy="175260"/>
                <wp:effectExtent l="0" t="0" r="0" b="0"/>
                <wp:wrapNone/>
                <wp:docPr id="88" name="Frame6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ans-serif"/>
    <w:charset w:val="01"/>
    <w:family w:val="auto"/>
    <w:pitch w:val="default"/>
  </w:font>
  <w:font w:name="Arial">
    <w:altName w:val="sans-serif"/>
    <w:charset w:val="01"/>
    <w:family w:val="auto"/>
    <w:pitch w:val="default"/>
  </w:font>
  <w:font w:name="Wingdings">
    <w:altName w:val="sans-serif"/>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1.jpeg"/><Relationship Id="rId4" Type="http://schemas.openxmlformats.org/officeDocument/2006/relationships/image" Target="media/image1.jpeg"/><Relationship Id="rId5" Type="http://schemas.openxmlformats.org/officeDocument/2006/relationships/image" Target="media/image2.jpeg"/><Relationship Id="rId6" Type="http://schemas.openxmlformats.org/officeDocument/2006/relationships/image" Target="media/image3.jpeg"/><Relationship Id="rId7" Type="http://schemas.openxmlformats.org/officeDocument/2006/relationships/image" Target="media/image4.jpeg"/><Relationship Id="rId8" Type="http://schemas.openxmlformats.org/officeDocument/2006/relationships/image" Target="media/image5.jpeg"/><Relationship Id="rId9" Type="http://schemas.openxmlformats.org/officeDocument/2006/relationships/image" Target="media/image6.jpeg"/><Relationship Id="rId10" Type="http://schemas.openxmlformats.org/officeDocument/2006/relationships/image" Target="media/image7.jpeg"/><Relationship Id="rId11" Type="http://schemas.openxmlformats.org/officeDocument/2006/relationships/image" Target="media/image8.jpeg"/><Relationship Id="rId12" Type="http://schemas.openxmlformats.org/officeDocument/2006/relationships/image" Target="media/image9.jpeg"/><Relationship Id="rId13" Type="http://schemas.openxmlformats.org/officeDocument/2006/relationships/image" Target="media/image10.jpeg"/><Relationship Id="rId14" Type="http://schemas.openxmlformats.org/officeDocument/2006/relationships/image" Target="media/image11.jpeg"/><Relationship Id="rId15" Type="http://schemas.openxmlformats.org/officeDocument/2006/relationships/image" Target="media/image12.jpeg"/><Relationship Id="rId16" Type="http://schemas.openxmlformats.org/officeDocument/2006/relationships/image" Target="media/image13.jpeg"/><Relationship Id="rId17" Type="http://schemas.openxmlformats.org/officeDocument/2006/relationships/image" Target="media/image14.jpeg"/><Relationship Id="rId18" Type="http://schemas.openxmlformats.org/officeDocument/2006/relationships/image" Target="media/image15.jpeg"/><Relationship Id="rId19" Type="http://schemas.openxmlformats.org/officeDocument/2006/relationships/image" Target="media/image16.jpeg"/><Relationship Id="rId20" Type="http://schemas.openxmlformats.org/officeDocument/2006/relationships/image" Target="media/image17.jpeg"/><Relationship Id="rId21" Type="http://schemas.openxmlformats.org/officeDocument/2006/relationships/image" Target="media/image18.jpeg"/><Relationship Id="rId22" Type="http://schemas.openxmlformats.org/officeDocument/2006/relationships/image" Target="media/image19.gif"/><Relationship Id="rId23" Type="http://schemas.openxmlformats.org/officeDocument/2006/relationships/image" Target="media/image20.jpeg"/><Relationship Id="rId24" Type="http://schemas.openxmlformats.org/officeDocument/2006/relationships/image" Target="media/image21.jpeg"/><Relationship Id="rId25" Type="http://schemas.openxmlformats.org/officeDocument/2006/relationships/image" Target="media/image22.jpeg"/><Relationship Id="rId26" Type="http://schemas.openxmlformats.org/officeDocument/2006/relationships/image" Target="media/image23.jpeg"/><Relationship Id="rId27" Type="http://schemas.openxmlformats.org/officeDocument/2006/relationships/image" Target="media/image24.jpeg"/><Relationship Id="rId28" Type="http://schemas.openxmlformats.org/officeDocument/2006/relationships/image" Target="media/image25.jpeg"/><Relationship Id="rId29" Type="http://schemas.openxmlformats.org/officeDocument/2006/relationships/image" Target="media/image26.jpeg"/><Relationship Id="rId30" Type="http://schemas.openxmlformats.org/officeDocument/2006/relationships/fontTable" Target="fontTable.xml"/><Relationship Id="rId3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5</Pages>
  <Words>30328</Words>
  <Characters>166806</Characters>
  <CharactersWithSpaces>195835</CharactersWithSpaces>
  <Paragraphs>2144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