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LAURA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SANTA CLARA 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95050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01/15/2019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5"/>
              </w:rPr>
              <w:t>22,800</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71,018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w:t>
            </w:r>
          </w:p>
        </w:tc>
        <w:tc>
          <w:tcPr>
            <w:tcW w:w="1080" w:type="dxa"/>
            <w:vAlign w:val="bottom"/>
          </w:tcPr>
          <w:p>
            <w:pPr>
              <w:ind w:left="260"/>
              <w:spacing w:after="0"/>
              <w:rPr>
                <w:sz w:val="20"/>
                <w:szCs w:val="20"/>
                <w:color w:val="auto"/>
              </w:rPr>
            </w:pPr>
            <w:r>
              <w:rPr>
                <w:rFonts w:ascii="Arial" w:cs="Arial" w:eastAsia="Arial" w:hAnsi="Arial"/>
                <w:sz w:val="13"/>
                <w:szCs w:val="13"/>
                <w:color w:val="0000FF"/>
              </w:rPr>
              <w:t>01/15/2019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49,400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01/15/2029</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49,400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49,400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ind w:left="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settlement of restricted stock units granted to the Reporting Person. Each restricted stock unit represents a contingent right to receive one shares of the Issuer's common stock. The shares subject to the restricted stock unit vest in equal quarterly installments over four years commencing on January 15, 2019, subject to the Reporting Person's continued service through each relevant vesting date.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subject to the option vest in equal monthly installments over four years commencing on January 15, 2019, subject to Reporting Person's continued service through each relevant vesting date.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01/17/2019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25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2019-12-24T04:11:51Z</dcterms:created>
  <dcterms:modified xsi:type="dcterms:W3CDTF">2019-12-24T04:11:51Z</dcterms:modified>
</cp:coreProperties>
</file>