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333-235714</w:t>
      </w:r>
    </w:p>
    <w:p>
      <w:pPr>
        <w:spacing w:after="0" w:line="207" w:lineRule="exact"/>
        <w:rPr>
          <w:sz w:val="24"/>
          <w:szCs w:val="24"/>
          <w:color w:val="auto"/>
        </w:rPr>
      </w:pPr>
    </w:p>
    <w:p>
      <w:pPr>
        <w:jc w:val="center"/>
        <w:ind w:left="340" w:right="140"/>
        <w:spacing w:after="0" w:line="261" w:lineRule="auto"/>
        <w:rPr>
          <w:sz w:val="20"/>
          <w:szCs w:val="20"/>
          <w:color w:val="auto"/>
        </w:rPr>
      </w:pPr>
      <w:r>
        <w:rPr>
          <w:rFonts w:ascii="Arial" w:cs="Arial" w:eastAsia="Arial" w:hAnsi="Arial"/>
          <w:sz w:val="18"/>
          <w:szCs w:val="18"/>
          <w:b w:val="1"/>
          <w:bCs w:val="1"/>
          <w:color w:val="EE2724"/>
        </w:rPr>
        <w:t>The information in this preliminary prospectus supplement is not complete and may be changed. A registration statement relating to these securities has been declared effective by the Securities and Exchange Commission. This preliminary prospectus supplement and accompanying prospectus are not an offer to sell these securities, and we and the selling stockholder are not soliciting offers to buy these securities, in any jurisdiction where such offer or sale is not permitted.</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E2724"/>
        </w:rPr>
        <w:t>SUBJECT TO COMPLETION, DATED OCTOBER 14, 2020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Prospectus Supplement</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Prospectus dated January 2, 2020)</w:t>
      </w:r>
    </w:p>
    <w:p>
      <w:pPr>
        <w:spacing w:after="0" w:line="31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3,190,053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20320</wp:posOffset>
            </wp:positionV>
            <wp:extent cx="2143125" cy="1225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12255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111"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We are offering 3,000,000 shares of our common stock, and the selling stockholder named in this prospectus supplement is offering 190,053 shares of our common stock.</w:t>
      </w:r>
    </w:p>
    <w:p>
      <w:pPr>
        <w:spacing w:after="0" w:line="1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Our common stock is listed on the Nasdaq Global Market under the symbol “SIBN.” On October 13, 2020, the closing price of our common stock was $24.57 per share.</w:t>
      </w:r>
    </w:p>
    <w:p>
      <w:pPr>
        <w:spacing w:after="0" w:line="1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We are an emerging growth company under the federal securities laws and are subject to reduced public company reporting requirements. See “Prospectus Supplement Summary - Implications of Being an Emerging Growth Company.”</w:t>
      </w:r>
    </w:p>
    <w:p>
      <w:pPr>
        <w:spacing w:after="0" w:line="166" w:lineRule="exact"/>
        <w:rPr>
          <w:sz w:val="24"/>
          <w:szCs w:val="24"/>
          <w:color w:val="auto"/>
        </w:rPr>
      </w:pPr>
    </w:p>
    <w:p>
      <w:pPr>
        <w:ind w:left="1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See “Risk Factors” beginning on page S-</w:t>
      </w:r>
      <w:hyperlink w:anchor="page10">
        <w:r>
          <w:rPr>
            <w:rFonts w:ascii="Arial" w:cs="Arial" w:eastAsia="Arial" w:hAnsi="Arial"/>
            <w:sz w:val="18"/>
            <w:szCs w:val="18"/>
            <w:b w:val="1"/>
            <w:bCs w:val="1"/>
            <w:u w:val="single" w:color="auto"/>
            <w:color w:val="0000FF"/>
          </w:rPr>
          <w:t>8</w:t>
        </w:r>
      </w:hyperlink>
      <w:r>
        <w:rPr>
          <w:rFonts w:ascii="Arial" w:cs="Arial" w:eastAsia="Arial" w:hAnsi="Arial"/>
          <w:sz w:val="18"/>
          <w:szCs w:val="18"/>
          <w:b w:val="1"/>
          <w:bCs w:val="1"/>
          <w:color w:val="auto"/>
        </w:rPr>
        <w:t>.</w:t>
      </w:r>
    </w:p>
    <w:p>
      <w:pPr>
        <w:spacing w:after="0" w:line="279" w:lineRule="exact"/>
        <w:rPr>
          <w:sz w:val="24"/>
          <w:szCs w:val="24"/>
          <w:color w:val="auto"/>
        </w:rPr>
      </w:pPr>
    </w:p>
    <w:tbl>
      <w:tblPr>
        <w:tblLayout w:type="fixed"/>
        <w:tblInd w:w="144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54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r>
      <w:tr>
        <w:trPr>
          <w:trHeight w:val="270"/>
        </w:trPr>
        <w:tc>
          <w:tcPr>
            <w:tcW w:w="554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to us, before expenses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Proceeds to the selling stockholder, before expenses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174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(1) See </w:t>
      </w:r>
      <w:r>
        <w:rPr>
          <w:rFonts w:ascii="Arial" w:cs="Arial" w:eastAsia="Arial" w:hAnsi="Arial"/>
          <w:sz w:val="17"/>
          <w:szCs w:val="17"/>
          <w:color w:val="auto"/>
        </w:rPr>
        <w:t>“</w:t>
      </w:r>
      <w:r>
        <w:rPr>
          <w:rFonts w:ascii="Arial" w:cs="Arial" w:eastAsia="Arial" w:hAnsi="Arial"/>
          <w:sz w:val="16"/>
          <w:szCs w:val="16"/>
          <w:color w:val="auto"/>
        </w:rPr>
        <w:t>Underwriting</w:t>
      </w:r>
      <w:r>
        <w:rPr>
          <w:rFonts w:ascii="Arial" w:cs="Arial" w:eastAsia="Arial" w:hAnsi="Arial"/>
          <w:sz w:val="17"/>
          <w:szCs w:val="17"/>
          <w:color w:val="auto"/>
        </w:rPr>
        <w:t>”</w:t>
      </w:r>
      <w:r>
        <w:rPr>
          <w:rFonts w:ascii="Arial" w:cs="Arial" w:eastAsia="Arial" w:hAnsi="Arial"/>
          <w:sz w:val="16"/>
          <w:szCs w:val="16"/>
          <w:color w:val="auto"/>
        </w:rPr>
        <w:t xml:space="preserve"> for additional information regarding underwriting compensation payable by us and payable by the selling stockholder.</w:t>
      </w:r>
    </w:p>
    <w:p>
      <w:pPr>
        <w:spacing w:after="0" w:line="129" w:lineRule="exact"/>
        <w:rPr>
          <w:sz w:val="24"/>
          <w:szCs w:val="24"/>
          <w:color w:val="auto"/>
        </w:rPr>
      </w:pPr>
    </w:p>
    <w:p>
      <w:pPr>
        <w:ind w:right="220" w:firstLine="324"/>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478,507 additional shares of our common stock from us.</w:t>
      </w:r>
    </w:p>
    <w:p>
      <w:pPr>
        <w:spacing w:after="0" w:line="62" w:lineRule="exact"/>
        <w:rPr>
          <w:sz w:val="24"/>
          <w:szCs w:val="24"/>
          <w:color w:val="auto"/>
        </w:rPr>
      </w:pPr>
    </w:p>
    <w:p>
      <w:pPr>
        <w:ind w:left="340"/>
        <w:spacing w:after="0"/>
        <w:tabs>
          <w:tab w:leader="none" w:pos="7020" w:val="left"/>
        </w:tabs>
        <w:rPr>
          <w:sz w:val="20"/>
          <w:szCs w:val="20"/>
          <w:color w:val="auto"/>
        </w:rPr>
      </w:pPr>
      <w:r>
        <w:rPr>
          <w:rFonts w:ascii="Arial" w:cs="Arial" w:eastAsia="Arial" w:hAnsi="Arial"/>
          <w:sz w:val="18"/>
          <w:szCs w:val="18"/>
          <w:color w:val="auto"/>
        </w:rPr>
        <w:t>The underwriters expect to deliver the shares against payment in New York, New York on</w:t>
      </w:r>
      <w:r>
        <w:rPr>
          <w:sz w:val="20"/>
          <w:szCs w:val="20"/>
          <w:color w:val="auto"/>
        </w:rPr>
        <w:tab/>
      </w:r>
      <w:r>
        <w:rPr>
          <w:rFonts w:ascii="Arial" w:cs="Arial" w:eastAsia="Arial" w:hAnsi="Arial"/>
          <w:sz w:val="15"/>
          <w:szCs w:val="15"/>
          <w:color w:val="auto"/>
        </w:rPr>
        <w:t>, 2020.</w:t>
      </w:r>
    </w:p>
    <w:p>
      <w:pPr>
        <w:spacing w:after="0" w:line="167" w:lineRule="exact"/>
        <w:rPr>
          <w:sz w:val="24"/>
          <w:szCs w:val="24"/>
          <w:color w:val="auto"/>
        </w:rPr>
      </w:pPr>
    </w:p>
    <w:p>
      <w:pPr>
        <w:ind w:left="160" w:right="140" w:firstLine="413"/>
        <w:spacing w:after="0" w:line="313"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w:t>
      </w:r>
    </w:p>
    <w:p>
      <w:pPr>
        <w:jc w:val="center"/>
        <w:spacing w:after="0"/>
        <w:rPr>
          <w:sz w:val="20"/>
          <w:szCs w:val="20"/>
          <w:color w:val="auto"/>
        </w:rPr>
      </w:pPr>
      <w:r>
        <w:rPr>
          <w:rFonts w:ascii="Arial" w:cs="Arial" w:eastAsia="Arial" w:hAnsi="Arial"/>
          <w:sz w:val="18"/>
          <w:szCs w:val="18"/>
          <w:b w:val="1"/>
          <w:bCs w:val="1"/>
          <w:color w:val="auto"/>
        </w:rPr>
        <w:t>offense.</w:t>
      </w:r>
    </w:p>
    <w:p>
      <w:pPr>
        <w:spacing w:after="0" w:line="116" w:lineRule="exact"/>
        <w:rPr>
          <w:sz w:val="24"/>
          <w:szCs w:val="24"/>
          <w:color w:val="auto"/>
        </w:rPr>
      </w:pPr>
    </w:p>
    <w:p>
      <w:pPr>
        <w:ind w:left="720"/>
        <w:spacing w:after="0"/>
        <w:tabs>
          <w:tab w:leader="none" w:pos="8340" w:val="left"/>
        </w:tabs>
        <w:rPr>
          <w:sz w:val="20"/>
          <w:szCs w:val="20"/>
          <w:color w:val="auto"/>
        </w:rPr>
      </w:pPr>
      <w:r>
        <w:rPr>
          <w:rFonts w:ascii="Arial" w:cs="Arial" w:eastAsia="Arial" w:hAnsi="Arial"/>
          <w:sz w:val="32"/>
          <w:szCs w:val="32"/>
          <w:b w:val="1"/>
          <w:bCs w:val="1"/>
          <w:color w:val="auto"/>
        </w:rPr>
        <w:t>Morgan Stanley</w:t>
      </w:r>
      <w:r>
        <w:rPr>
          <w:sz w:val="20"/>
          <w:szCs w:val="20"/>
          <w:color w:val="auto"/>
        </w:rPr>
        <w:tab/>
      </w:r>
      <w:r>
        <w:rPr>
          <w:rFonts w:ascii="Arial" w:cs="Arial" w:eastAsia="Arial" w:hAnsi="Arial"/>
          <w:sz w:val="29"/>
          <w:szCs w:val="29"/>
          <w:b w:val="1"/>
          <w:bCs w:val="1"/>
          <w:color w:val="auto"/>
        </w:rPr>
        <w:t>BofA Securities</w:t>
      </w:r>
    </w:p>
    <w:p>
      <w:pPr>
        <w:spacing w:after="0" w:line="69" w:lineRule="exact"/>
        <w:rPr>
          <w:sz w:val="24"/>
          <w:szCs w:val="24"/>
          <w:color w:val="auto"/>
        </w:rPr>
      </w:pPr>
    </w:p>
    <w:p>
      <w:pPr>
        <w:ind w:left="720"/>
        <w:spacing w:after="0"/>
        <w:tabs>
          <w:tab w:leader="none" w:pos="4780" w:val="left"/>
          <w:tab w:leader="none" w:pos="8100" w:val="left"/>
        </w:tabs>
        <w:rPr>
          <w:sz w:val="20"/>
          <w:szCs w:val="20"/>
          <w:color w:val="auto"/>
        </w:rPr>
      </w:pPr>
      <w:r>
        <w:rPr>
          <w:rFonts w:ascii="Arial" w:cs="Arial" w:eastAsia="Arial" w:hAnsi="Arial"/>
          <w:sz w:val="25"/>
          <w:szCs w:val="25"/>
          <w:b w:val="1"/>
          <w:bCs w:val="1"/>
          <w:color w:val="auto"/>
        </w:rPr>
        <w:t>Cantor</w:t>
      </w:r>
      <w:r>
        <w:rPr>
          <w:sz w:val="20"/>
          <w:szCs w:val="20"/>
          <w:color w:val="auto"/>
        </w:rPr>
        <w:tab/>
      </w:r>
      <w:r>
        <w:rPr>
          <w:rFonts w:ascii="Arial" w:cs="Arial" w:eastAsia="Arial" w:hAnsi="Arial"/>
          <w:sz w:val="25"/>
          <w:szCs w:val="25"/>
          <w:b w:val="1"/>
          <w:bCs w:val="1"/>
          <w:color w:val="auto"/>
        </w:rPr>
        <w:t>JMP Securities</w:t>
      </w:r>
      <w:r>
        <w:rPr>
          <w:sz w:val="20"/>
          <w:szCs w:val="20"/>
          <w:color w:val="auto"/>
        </w:rPr>
        <w:tab/>
      </w:r>
      <w:r>
        <w:rPr>
          <w:rFonts w:ascii="Arial" w:cs="Arial" w:eastAsia="Arial" w:hAnsi="Arial"/>
          <w:sz w:val="23"/>
          <w:szCs w:val="23"/>
          <w:b w:val="1"/>
          <w:bCs w:val="1"/>
          <w:color w:val="auto"/>
        </w:rPr>
        <w:t>Needham &amp; Company</w:t>
      </w:r>
    </w:p>
    <w:p>
      <w:pPr>
        <w:sectPr>
          <w:pgSz w:w="11900" w:h="16838" w:orient="portrait"/>
          <w:cols w:equalWidth="0" w:num="1">
            <w:col w:w="11240"/>
          </w:cols>
          <w:pgMar w:left="320" w:top="1053" w:right="339" w:bottom="1440" w:gutter="0" w:footer="0" w:header="0"/>
        </w:sectPr>
      </w:pPr>
    </w:p>
    <w:p>
      <w:pPr>
        <w:spacing w:after="0" w:line="261" w:lineRule="exact"/>
        <w:rPr>
          <w:sz w:val="24"/>
          <w:szCs w:val="24"/>
          <w:color w:val="auto"/>
        </w:rPr>
      </w:pPr>
    </w:p>
    <w:p>
      <w:pPr>
        <w:jc w:val="center"/>
        <w:ind w:right="-339"/>
        <w:spacing w:after="0"/>
        <w:rPr>
          <w:sz w:val="20"/>
          <w:szCs w:val="20"/>
          <w:color w:val="auto"/>
        </w:rPr>
      </w:pPr>
      <w:r>
        <w:rPr>
          <w:rFonts w:ascii="Arial" w:cs="Arial" w:eastAsia="Arial" w:hAnsi="Arial"/>
          <w:sz w:val="16"/>
          <w:szCs w:val="16"/>
          <w:color w:val="auto"/>
        </w:rPr>
        <w:t>, 2020.</w:t>
      </w:r>
    </w:p>
    <w:p>
      <w:pPr>
        <w:sectPr>
          <w:pgSz w:w="11900" w:h="16838" w:orient="portrait"/>
          <w:cols w:equalWidth="0" w:num="1">
            <w:col w:w="11240"/>
          </w:cols>
          <w:pgMar w:left="320" w:top="105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960" w:type="dxa"/>
            <w:vAlign w:val="bottom"/>
          </w:tcPr>
          <w:p>
            <w:pPr>
              <w:ind w:left="160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9"/>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9"/>
              </w:rPr>
              <w:t>Page</w:t>
            </w:r>
          </w:p>
        </w:tc>
        <w:tc>
          <w:tcPr>
            <w:tcW w:w="2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9420" w:type="dxa"/>
            <w:vAlign w:val="bottom"/>
            <w:gridSpan w:val="3"/>
          </w:tcPr>
          <w:p>
            <w:pPr>
              <w:spacing w:after="0"/>
              <w:rPr>
                <w:sz w:val="20"/>
                <w:szCs w:val="20"/>
                <w:color w:val="auto"/>
              </w:rPr>
            </w:pPr>
            <w:r>
              <w:rPr>
                <w:rFonts w:ascii="Arial" w:cs="Arial" w:eastAsia="Arial" w:hAnsi="Arial"/>
                <w:sz w:val="18"/>
                <w:szCs w:val="18"/>
                <w:b w:val="1"/>
                <w:bCs w:val="1"/>
                <w:color w:val="auto"/>
              </w:rPr>
              <w:t>PROSPECTUS SUPPLEMENT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9420" w:type="dxa"/>
            <w:vAlign w:val="bottom"/>
            <w:gridSpan w:val="3"/>
            <w:shd w:val="clear" w:color="auto" w:fill="CCEEFF"/>
          </w:tcPr>
          <w:p>
            <w:pPr>
              <w:spacing w:after="0" w:line="189" w:lineRule="exact"/>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ABOUT THIS PROSPECTUS SUPPLEMENT</w:t>
              </w:r>
            </w:hyperlink>
          </w:p>
        </w:tc>
        <w:tc>
          <w:tcPr>
            <w:tcW w:w="16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center"/>
              <w:ind w:right="160"/>
              <w:spacing w:after="0" w:line="189" w:lineRule="exact"/>
              <w:rPr>
                <w:rFonts w:ascii="Arial" w:cs="Arial" w:eastAsia="Arial" w:hAnsi="Arial"/>
                <w:sz w:val="18"/>
                <w:szCs w:val="18"/>
                <w:color w:val="0000FF"/>
                <w:w w:val="99"/>
              </w:rPr>
            </w:pPr>
            <w:r>
              <w:rPr>
                <w:rFonts w:ascii="Arial" w:cs="Arial" w:eastAsia="Arial" w:hAnsi="Arial"/>
                <w:sz w:val="18"/>
                <w:szCs w:val="18"/>
                <w:color w:val="0000FF"/>
                <w:w w:val="99"/>
              </w:rPr>
              <w:t>S-</w:t>
            </w:r>
            <w:hyperlink w:anchor="page2">
              <w:r>
                <w:rPr>
                  <w:rFonts w:ascii="Arial" w:cs="Arial" w:eastAsia="Arial" w:hAnsi="Arial"/>
                  <w:sz w:val="18"/>
                  <w:szCs w:val="18"/>
                  <w:color w:val="0000FF"/>
                  <w:w w:val="99"/>
                </w:rPr>
                <w:t>ii</w:t>
              </w:r>
            </w:hyperlink>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tcBorders>
              <w:top w:val="single" w:sz="8" w:color="CCEEFF"/>
            </w:tcBorders>
            <w:gridSpan w:val="3"/>
          </w:tcPr>
          <w:p>
            <w:pPr>
              <w:spacing w:after="0" w:line="189"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PROSPECTUS SUPPLEMENT SUMMARY</w:t>
              </w:r>
            </w:hyperlink>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0000FF"/>
              <w:bottom w:val="single" w:sz="8" w:color="0000FF"/>
            </w:tcBorders>
          </w:tcPr>
          <w:p>
            <w:pPr>
              <w:jc w:val="center"/>
              <w:spacing w:after="0" w:line="189" w:lineRule="exact"/>
              <w:rPr>
                <w:rFonts w:ascii="Arial" w:cs="Arial" w:eastAsia="Arial" w:hAnsi="Arial"/>
                <w:sz w:val="18"/>
                <w:szCs w:val="18"/>
                <w:color w:val="0000FF"/>
                <w:w w:val="92"/>
              </w:rPr>
            </w:pPr>
            <w:r>
              <w:rPr>
                <w:rFonts w:ascii="Arial" w:cs="Arial" w:eastAsia="Arial" w:hAnsi="Arial"/>
                <w:sz w:val="18"/>
                <w:szCs w:val="18"/>
                <w:color w:val="0000FF"/>
                <w:w w:val="92"/>
              </w:rPr>
              <w:t>S-</w:t>
            </w:r>
            <w:hyperlink w:anchor="page3">
              <w:r>
                <w:rPr>
                  <w:rFonts w:ascii="Arial" w:cs="Arial" w:eastAsia="Arial" w:hAnsi="Arial"/>
                  <w:sz w:val="18"/>
                  <w:szCs w:val="18"/>
                  <w:color w:val="0000FF"/>
                  <w:w w:val="92"/>
                </w:rPr>
                <w:t>1</w:t>
              </w:r>
            </w:hyperlink>
          </w:p>
        </w:tc>
        <w:tc>
          <w:tcPr>
            <w:tcW w:w="200" w:type="dxa"/>
            <w:vAlign w:val="bottom"/>
            <w:tcBorders>
              <w:top w:val="single" w:sz="8" w:color="CCEEFF"/>
            </w:tcBorders>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9420" w:type="dxa"/>
            <w:vAlign w:val="bottom"/>
            <w:tcBorders>
              <w:bottom w:val="single" w:sz="8" w:color="CCEEFF"/>
            </w:tcBorders>
            <w:gridSpan w:val="3"/>
            <w:shd w:val="clear" w:color="auto" w:fill="CCEEFF"/>
          </w:tcPr>
          <w:p>
            <w:pPr>
              <w:spacing w:after="0" w:line="189" w:lineRule="exact"/>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RISK FACTORS</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2"/>
              </w:rPr>
            </w:pPr>
            <w:r>
              <w:rPr>
                <w:rFonts w:ascii="Arial" w:cs="Arial" w:eastAsia="Arial" w:hAnsi="Arial"/>
                <w:sz w:val="18"/>
                <w:szCs w:val="18"/>
                <w:color w:val="0000FF"/>
                <w:w w:val="92"/>
              </w:rPr>
              <w:t>S-</w:t>
            </w:r>
            <w:hyperlink w:anchor="page10">
              <w:r>
                <w:rPr>
                  <w:rFonts w:ascii="Arial" w:cs="Arial" w:eastAsia="Arial" w:hAnsi="Arial"/>
                  <w:sz w:val="18"/>
                  <w:szCs w:val="18"/>
                  <w:color w:val="0000FF"/>
                  <w:w w:val="92"/>
                </w:rPr>
                <w:t>8</w:t>
              </w:r>
            </w:hyperlink>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gridSpan w:val="3"/>
          </w:tcPr>
          <w:p>
            <w:pPr>
              <w:spacing w:after="0" w:line="189" w:lineRule="exact"/>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SPECIAL NOTE REGARDING FORWARD-LOOKING STATEMENTS</w:t>
              </w:r>
            </w:hyperlink>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gridSpan w:val="3"/>
          </w:tcPr>
          <w:p>
            <w:pPr>
              <w:jc w:val="center"/>
              <w:ind w:right="200"/>
              <w:spacing w:after="0" w:line="189" w:lineRule="exact"/>
              <w:rPr>
                <w:rFonts w:ascii="Arial" w:cs="Arial" w:eastAsia="Arial" w:hAnsi="Arial"/>
                <w:sz w:val="18"/>
                <w:szCs w:val="18"/>
                <w:color w:val="0000FF"/>
                <w:w w:val="92"/>
              </w:rPr>
            </w:pPr>
            <w:r>
              <w:rPr>
                <w:rFonts w:ascii="Arial" w:cs="Arial" w:eastAsia="Arial" w:hAnsi="Arial"/>
                <w:sz w:val="18"/>
                <w:szCs w:val="18"/>
                <w:color w:val="0000FF"/>
                <w:w w:val="92"/>
              </w:rPr>
              <w:t>S-</w:t>
            </w:r>
            <w:hyperlink w:anchor="page11">
              <w:r>
                <w:rPr>
                  <w:rFonts w:ascii="Arial" w:cs="Arial" w:eastAsia="Arial" w:hAnsi="Arial"/>
                  <w:sz w:val="18"/>
                  <w:szCs w:val="18"/>
                  <w:color w:val="0000FF"/>
                  <w:w w:val="92"/>
                </w:rPr>
                <w:t>9</w:t>
              </w:r>
            </w:hyperlink>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9420" w:type="dxa"/>
            <w:vAlign w:val="bottom"/>
            <w:tcBorders>
              <w:bottom w:val="single" w:sz="8" w:color="CCEEFF"/>
            </w:tcBorders>
            <w:gridSpan w:val="3"/>
            <w:shd w:val="clear" w:color="auto" w:fill="CCEEFF"/>
          </w:tcPr>
          <w:p>
            <w:pPr>
              <w:spacing w:after="0" w:line="189" w:lineRule="exact"/>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USE OF PROCEEDS</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13">
              <w:r>
                <w:rPr>
                  <w:rFonts w:ascii="Arial" w:cs="Arial" w:eastAsia="Arial" w:hAnsi="Arial"/>
                  <w:sz w:val="18"/>
                  <w:szCs w:val="18"/>
                  <w:color w:val="0000FF"/>
                  <w:w w:val="89"/>
                </w:rPr>
                <w:t>11</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gridSpan w:val="3"/>
          </w:tcPr>
          <w:p>
            <w:pPr>
              <w:spacing w:after="0" w:line="189" w:lineRule="exact"/>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CAPITALIZATION</w:t>
              </w:r>
            </w:hyperlink>
          </w:p>
        </w:tc>
        <w:tc>
          <w:tcPr>
            <w:tcW w:w="160" w:type="dxa"/>
            <w:vAlign w:val="bottom"/>
          </w:tcPr>
          <w:p>
            <w:pPr>
              <w:spacing w:after="0"/>
              <w:rPr>
                <w:sz w:val="16"/>
                <w:szCs w:val="16"/>
                <w:color w:val="auto"/>
              </w:rPr>
            </w:pPr>
          </w:p>
        </w:tc>
        <w:tc>
          <w:tcPr>
            <w:tcW w:w="500" w:type="dxa"/>
            <w:vAlign w:val="bottom"/>
            <w:gridSpan w:val="4"/>
          </w:tcPr>
          <w:p>
            <w:pPr>
              <w:jc w:val="center"/>
              <w:ind w:right="160"/>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14">
              <w:r>
                <w:rPr>
                  <w:rFonts w:ascii="Arial" w:cs="Arial" w:eastAsia="Arial" w:hAnsi="Arial"/>
                  <w:sz w:val="18"/>
                  <w:szCs w:val="18"/>
                  <w:color w:val="0000FF"/>
                  <w:w w:val="89"/>
                </w:rPr>
                <w:t>12</w:t>
              </w:r>
            </w:hyperlink>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9420" w:type="dxa"/>
            <w:vAlign w:val="bottom"/>
            <w:tcBorders>
              <w:bottom w:val="single" w:sz="8" w:color="CCEEFF"/>
            </w:tcBorders>
            <w:gridSpan w:val="3"/>
            <w:shd w:val="clear" w:color="auto" w:fill="CCEEFF"/>
          </w:tcPr>
          <w:p>
            <w:pPr>
              <w:spacing w:after="0" w:line="189" w:lineRule="exact"/>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DILUTION</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15">
              <w:r>
                <w:rPr>
                  <w:rFonts w:ascii="Arial" w:cs="Arial" w:eastAsia="Arial" w:hAnsi="Arial"/>
                  <w:sz w:val="18"/>
                  <w:szCs w:val="18"/>
                  <w:color w:val="0000FF"/>
                  <w:w w:val="89"/>
                </w:rPr>
                <w:t>13</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gridSpan w:val="3"/>
          </w:tcPr>
          <w:p>
            <w:pPr>
              <w:spacing w:after="0" w:line="189" w:lineRule="exact"/>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SELLING STOCKHOLDER</w:t>
              </w:r>
            </w:hyperlink>
          </w:p>
        </w:tc>
        <w:tc>
          <w:tcPr>
            <w:tcW w:w="160" w:type="dxa"/>
            <w:vAlign w:val="bottom"/>
          </w:tcPr>
          <w:p>
            <w:pPr>
              <w:spacing w:after="0"/>
              <w:rPr>
                <w:sz w:val="16"/>
                <w:szCs w:val="16"/>
                <w:color w:val="auto"/>
              </w:rPr>
            </w:pPr>
          </w:p>
        </w:tc>
        <w:tc>
          <w:tcPr>
            <w:tcW w:w="500" w:type="dxa"/>
            <w:vAlign w:val="bottom"/>
            <w:gridSpan w:val="4"/>
          </w:tcPr>
          <w:p>
            <w:pPr>
              <w:jc w:val="center"/>
              <w:ind w:right="160"/>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16">
              <w:r>
                <w:rPr>
                  <w:rFonts w:ascii="Arial" w:cs="Arial" w:eastAsia="Arial" w:hAnsi="Arial"/>
                  <w:sz w:val="18"/>
                  <w:szCs w:val="18"/>
                  <w:color w:val="0000FF"/>
                  <w:w w:val="89"/>
                </w:rPr>
                <w:t>14</w:t>
              </w:r>
            </w:hyperlink>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9420" w:type="dxa"/>
            <w:vAlign w:val="bottom"/>
            <w:tcBorders>
              <w:bottom w:val="single" w:sz="8" w:color="CCEEFF"/>
            </w:tcBorders>
            <w:gridSpan w:val="3"/>
            <w:shd w:val="clear" w:color="auto" w:fill="CCEEFF"/>
          </w:tcPr>
          <w:p>
            <w:pPr>
              <w:spacing w:after="0" w:line="189" w:lineRule="exact"/>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MATERIAL U.S. FEDERAL INCOME TAX CONSEQUENCES TO NON-U.S. HOLDERS OF OUR COMMON STOCK</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17">
              <w:r>
                <w:rPr>
                  <w:rFonts w:ascii="Arial" w:cs="Arial" w:eastAsia="Arial" w:hAnsi="Arial"/>
                  <w:sz w:val="18"/>
                  <w:szCs w:val="18"/>
                  <w:color w:val="0000FF"/>
                  <w:w w:val="89"/>
                </w:rPr>
                <w:t>15</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gridSpan w:val="3"/>
          </w:tcPr>
          <w:p>
            <w:pPr>
              <w:spacing w:after="0" w:line="189" w:lineRule="exact"/>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UNDERWRITING</w:t>
              </w:r>
            </w:hyperlink>
          </w:p>
        </w:tc>
        <w:tc>
          <w:tcPr>
            <w:tcW w:w="160" w:type="dxa"/>
            <w:vAlign w:val="bottom"/>
          </w:tcPr>
          <w:p>
            <w:pPr>
              <w:spacing w:after="0"/>
              <w:rPr>
                <w:sz w:val="16"/>
                <w:szCs w:val="16"/>
                <w:color w:val="auto"/>
              </w:rPr>
            </w:pPr>
          </w:p>
        </w:tc>
        <w:tc>
          <w:tcPr>
            <w:tcW w:w="500" w:type="dxa"/>
            <w:vAlign w:val="bottom"/>
            <w:gridSpan w:val="4"/>
          </w:tcPr>
          <w:p>
            <w:pPr>
              <w:jc w:val="center"/>
              <w:ind w:right="160"/>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21">
              <w:r>
                <w:rPr>
                  <w:rFonts w:ascii="Arial" w:cs="Arial" w:eastAsia="Arial" w:hAnsi="Arial"/>
                  <w:sz w:val="18"/>
                  <w:szCs w:val="18"/>
                  <w:color w:val="0000FF"/>
                  <w:w w:val="89"/>
                </w:rPr>
                <w:t>19</w:t>
              </w:r>
            </w:hyperlink>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9420" w:type="dxa"/>
            <w:vAlign w:val="bottom"/>
            <w:tcBorders>
              <w:bottom w:val="single" w:sz="8" w:color="CCEEFF"/>
            </w:tcBorders>
            <w:gridSpan w:val="3"/>
            <w:shd w:val="clear" w:color="auto" w:fill="CCEEFF"/>
          </w:tcPr>
          <w:p>
            <w:pPr>
              <w:spacing w:after="0" w:line="189" w:lineRule="exact"/>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LEGAL MATTERS</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28">
              <w:r>
                <w:rPr>
                  <w:rFonts w:ascii="Arial" w:cs="Arial" w:eastAsia="Arial" w:hAnsi="Arial"/>
                  <w:sz w:val="18"/>
                  <w:szCs w:val="18"/>
                  <w:color w:val="0000FF"/>
                  <w:w w:val="89"/>
                </w:rPr>
                <w:t>25</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gridSpan w:val="3"/>
          </w:tcPr>
          <w:p>
            <w:pPr>
              <w:spacing w:after="0" w:line="189" w:lineRule="exact"/>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EXPERTS</w:t>
              </w:r>
            </w:hyperlink>
          </w:p>
        </w:tc>
        <w:tc>
          <w:tcPr>
            <w:tcW w:w="160" w:type="dxa"/>
            <w:vAlign w:val="bottom"/>
          </w:tcPr>
          <w:p>
            <w:pPr>
              <w:spacing w:after="0"/>
              <w:rPr>
                <w:sz w:val="16"/>
                <w:szCs w:val="16"/>
                <w:color w:val="auto"/>
              </w:rPr>
            </w:pPr>
          </w:p>
        </w:tc>
        <w:tc>
          <w:tcPr>
            <w:tcW w:w="500" w:type="dxa"/>
            <w:vAlign w:val="bottom"/>
            <w:gridSpan w:val="4"/>
          </w:tcPr>
          <w:p>
            <w:pPr>
              <w:jc w:val="center"/>
              <w:ind w:right="160"/>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28">
              <w:r>
                <w:rPr>
                  <w:rFonts w:ascii="Arial" w:cs="Arial" w:eastAsia="Arial" w:hAnsi="Arial"/>
                  <w:sz w:val="18"/>
                  <w:szCs w:val="18"/>
                  <w:color w:val="0000FF"/>
                  <w:w w:val="89"/>
                </w:rPr>
                <w:t>25</w:t>
              </w:r>
            </w:hyperlink>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9420" w:type="dxa"/>
            <w:vAlign w:val="bottom"/>
            <w:tcBorders>
              <w:bottom w:val="single" w:sz="8" w:color="CCEEFF"/>
            </w:tcBorders>
            <w:gridSpan w:val="3"/>
            <w:shd w:val="clear" w:color="auto" w:fill="CCEEFF"/>
          </w:tcPr>
          <w:p>
            <w:pPr>
              <w:spacing w:after="0" w:line="189" w:lineRule="exact"/>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WHERE YOU CAN FIND ADDITIONAL INFORMATION</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28">
              <w:r>
                <w:rPr>
                  <w:rFonts w:ascii="Arial" w:cs="Arial" w:eastAsia="Arial" w:hAnsi="Arial"/>
                  <w:sz w:val="18"/>
                  <w:szCs w:val="18"/>
                  <w:color w:val="0000FF"/>
                  <w:w w:val="89"/>
                </w:rPr>
                <w:t>25</w:t>
              </w:r>
            </w:hyperlink>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9420" w:type="dxa"/>
            <w:vAlign w:val="bottom"/>
            <w:gridSpan w:val="3"/>
          </w:tcPr>
          <w:p>
            <w:pPr>
              <w:spacing w:after="0" w:line="189" w:lineRule="exact"/>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INCORPORATION OF CERTAIN INFORMATION BY REFERENCE</w:t>
              </w:r>
            </w:hyperlink>
          </w:p>
        </w:tc>
        <w:tc>
          <w:tcPr>
            <w:tcW w:w="160" w:type="dxa"/>
            <w:vAlign w:val="bottom"/>
          </w:tcPr>
          <w:p>
            <w:pPr>
              <w:spacing w:after="0"/>
              <w:rPr>
                <w:sz w:val="16"/>
                <w:szCs w:val="16"/>
                <w:color w:val="auto"/>
              </w:rPr>
            </w:pPr>
          </w:p>
        </w:tc>
        <w:tc>
          <w:tcPr>
            <w:tcW w:w="500" w:type="dxa"/>
            <w:vAlign w:val="bottom"/>
            <w:gridSpan w:val="4"/>
          </w:tcPr>
          <w:p>
            <w:pPr>
              <w:jc w:val="center"/>
              <w:ind w:right="160"/>
              <w:spacing w:after="0" w:line="189" w:lineRule="exact"/>
              <w:rPr>
                <w:rFonts w:ascii="Arial" w:cs="Arial" w:eastAsia="Arial" w:hAnsi="Arial"/>
                <w:sz w:val="18"/>
                <w:szCs w:val="18"/>
                <w:color w:val="0000FF"/>
                <w:w w:val="89"/>
              </w:rPr>
            </w:pPr>
            <w:r>
              <w:rPr>
                <w:rFonts w:ascii="Arial" w:cs="Arial" w:eastAsia="Arial" w:hAnsi="Arial"/>
                <w:sz w:val="18"/>
                <w:szCs w:val="18"/>
                <w:color w:val="0000FF"/>
                <w:w w:val="89"/>
              </w:rPr>
              <w:t>S-</w:t>
            </w:r>
            <w:hyperlink w:anchor="page28">
              <w:r>
                <w:rPr>
                  <w:rFonts w:ascii="Arial" w:cs="Arial" w:eastAsia="Arial" w:hAnsi="Arial"/>
                  <w:sz w:val="18"/>
                  <w:szCs w:val="18"/>
                  <w:color w:val="0000FF"/>
                  <w:w w:val="89"/>
                </w:rPr>
                <w:t>26</w:t>
              </w:r>
            </w:hyperlink>
          </w:p>
        </w:tc>
        <w:tc>
          <w:tcPr>
            <w:tcW w:w="20" w:type="dxa"/>
            <w:vAlign w:val="bottom"/>
          </w:tcPr>
          <w:p>
            <w:pPr>
              <w:spacing w:after="0"/>
              <w:rPr>
                <w:sz w:val="16"/>
                <w:szCs w:val="16"/>
                <w:color w:val="auto"/>
              </w:rPr>
            </w:pPr>
          </w:p>
        </w:tc>
      </w:tr>
      <w:tr>
        <w:trPr>
          <w:trHeight w:val="601"/>
        </w:trPr>
        <w:tc>
          <w:tcPr>
            <w:tcW w:w="9460" w:type="dxa"/>
            <w:vAlign w:val="bottom"/>
            <w:gridSpan w:val="4"/>
          </w:tcPr>
          <w:p>
            <w:pPr>
              <w:ind w:left="20"/>
              <w:spacing w:after="0"/>
              <w:rPr>
                <w:sz w:val="20"/>
                <w:szCs w:val="20"/>
                <w:color w:val="auto"/>
              </w:rPr>
            </w:pPr>
            <w:r>
              <w:rPr>
                <w:rFonts w:ascii="Arial" w:cs="Arial" w:eastAsia="Arial" w:hAnsi="Arial"/>
                <w:sz w:val="18"/>
                <w:szCs w:val="18"/>
                <w:b w:val="1"/>
                <w:bCs w:val="1"/>
                <w:color w:val="auto"/>
              </w:rPr>
              <w:t>PROSPECTUS</w:t>
            </w:r>
          </w:p>
        </w:tc>
        <w:tc>
          <w:tcPr>
            <w:tcW w:w="1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ABOUT THIS PROSPECTUS</w:t>
              </w:r>
            </w:hyperlink>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center"/>
              <w:ind w:right="20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ii</w:t>
              </w:r>
            </w:hyperlink>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PROSPECTUS SUMMARY</w:t>
              </w:r>
            </w:hyperlink>
          </w:p>
        </w:tc>
        <w:tc>
          <w:tcPr>
            <w:tcW w:w="460" w:type="dxa"/>
            <w:vAlign w:val="bottom"/>
            <w:gridSpan w:val="3"/>
          </w:tcPr>
          <w:p>
            <w:pPr>
              <w:jc w:val="center"/>
              <w:ind w:left="130"/>
              <w:spacing w:after="0"/>
              <w:rPr>
                <w:rFonts w:ascii="Arial" w:cs="Arial" w:eastAsia="Arial" w:hAnsi="Arial"/>
                <w:sz w:val="18"/>
                <w:szCs w:val="18"/>
                <w:u w:val="single" w:color="auto"/>
                <w:color w:val="0000FF"/>
                <w:w w:val="79"/>
              </w:rPr>
            </w:pPr>
            <w:hyperlink w:anchor="page33">
              <w:r>
                <w:rPr>
                  <w:rFonts w:ascii="Arial" w:cs="Arial" w:eastAsia="Arial" w:hAnsi="Arial"/>
                  <w:sz w:val="18"/>
                  <w:szCs w:val="18"/>
                  <w:u w:val="single" w:color="auto"/>
                  <w:color w:val="0000FF"/>
                  <w:w w:val="79"/>
                </w:rPr>
                <w:t>1</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RISK FACTORS</w:t>
              </w:r>
            </w:hyperlink>
          </w:p>
        </w:tc>
        <w:tc>
          <w:tcPr>
            <w:tcW w:w="460" w:type="dxa"/>
            <w:vAlign w:val="bottom"/>
            <w:gridSpan w:val="3"/>
            <w:shd w:val="clear" w:color="auto" w:fill="CCEEFF"/>
          </w:tcPr>
          <w:p>
            <w:pPr>
              <w:jc w:val="center"/>
              <w:ind w:left="130"/>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5</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SPECIAL NOTE REGARDING FORWARD-LOOKING STATEMENTS</w:t>
              </w:r>
            </w:hyperlink>
          </w:p>
        </w:tc>
        <w:tc>
          <w:tcPr>
            <w:tcW w:w="460" w:type="dxa"/>
            <w:vAlign w:val="bottom"/>
            <w:gridSpan w:val="3"/>
          </w:tcPr>
          <w:p>
            <w:pPr>
              <w:jc w:val="center"/>
              <w:ind w:left="130"/>
              <w:spacing w:after="0"/>
              <w:rPr>
                <w:rFonts w:ascii="Arial" w:cs="Arial" w:eastAsia="Arial" w:hAnsi="Arial"/>
                <w:sz w:val="18"/>
                <w:szCs w:val="18"/>
                <w:u w:val="single" w:color="auto"/>
                <w:color w:val="0000FF"/>
                <w:w w:val="79"/>
              </w:rPr>
            </w:pPr>
            <w:hyperlink w:anchor="page38">
              <w:r>
                <w:rPr>
                  <w:rFonts w:ascii="Arial" w:cs="Arial" w:eastAsia="Arial" w:hAnsi="Arial"/>
                  <w:sz w:val="18"/>
                  <w:szCs w:val="18"/>
                  <w:u w:val="single" w:color="auto"/>
                  <w:color w:val="0000FF"/>
                  <w:w w:val="79"/>
                </w:rPr>
                <w:t>5</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USE OF PROCEEDS</w:t>
              </w:r>
            </w:hyperlink>
          </w:p>
        </w:tc>
        <w:tc>
          <w:tcPr>
            <w:tcW w:w="460" w:type="dxa"/>
            <w:vAlign w:val="bottom"/>
            <w:gridSpan w:val="3"/>
            <w:shd w:val="clear" w:color="auto" w:fill="CCEEFF"/>
          </w:tcPr>
          <w:p>
            <w:pPr>
              <w:jc w:val="center"/>
              <w:ind w:left="130"/>
              <w:spacing w:after="0"/>
              <w:rPr>
                <w:rFonts w:ascii="Arial" w:cs="Arial" w:eastAsia="Arial" w:hAnsi="Arial"/>
                <w:sz w:val="18"/>
                <w:szCs w:val="18"/>
                <w:u w:val="single" w:color="auto"/>
                <w:color w:val="0000FF"/>
                <w:w w:val="79"/>
              </w:rPr>
            </w:pPr>
            <w:hyperlink w:anchor="page39">
              <w:r>
                <w:rPr>
                  <w:rFonts w:ascii="Arial" w:cs="Arial" w:eastAsia="Arial" w:hAnsi="Arial"/>
                  <w:sz w:val="18"/>
                  <w:szCs w:val="18"/>
                  <w:u w:val="single" w:color="auto"/>
                  <w:color w:val="0000FF"/>
                  <w:w w:val="79"/>
                </w:rPr>
                <w:t>6</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DESCRIPTION OF CAPITAL STOCK</w:t>
              </w:r>
            </w:hyperlink>
          </w:p>
        </w:tc>
        <w:tc>
          <w:tcPr>
            <w:tcW w:w="460" w:type="dxa"/>
            <w:vAlign w:val="bottom"/>
            <w:gridSpan w:val="3"/>
          </w:tcPr>
          <w:p>
            <w:pPr>
              <w:jc w:val="center"/>
              <w:ind w:left="130"/>
              <w:spacing w:after="0"/>
              <w:rPr>
                <w:rFonts w:ascii="Arial" w:cs="Arial" w:eastAsia="Arial" w:hAnsi="Arial"/>
                <w:sz w:val="18"/>
                <w:szCs w:val="18"/>
                <w:u w:val="single" w:color="auto"/>
                <w:color w:val="0000FF"/>
                <w:w w:val="79"/>
              </w:rPr>
            </w:pPr>
            <w:hyperlink w:anchor="page39">
              <w:r>
                <w:rPr>
                  <w:rFonts w:ascii="Arial" w:cs="Arial" w:eastAsia="Arial" w:hAnsi="Arial"/>
                  <w:sz w:val="18"/>
                  <w:szCs w:val="18"/>
                  <w:u w:val="single" w:color="auto"/>
                  <w:color w:val="0000FF"/>
                  <w:w w:val="79"/>
                </w:rPr>
                <w:t>7</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DESCRIPTION OF DEBT SECURITIES</w:t>
              </w:r>
            </w:hyperlink>
          </w:p>
        </w:tc>
        <w:tc>
          <w:tcPr>
            <w:tcW w:w="460" w:type="dxa"/>
            <w:vAlign w:val="bottom"/>
            <w:gridSpan w:val="3"/>
            <w:shd w:val="clear" w:color="auto" w:fill="CCEEFF"/>
          </w:tcPr>
          <w:p>
            <w:pPr>
              <w:jc w:val="center"/>
              <w:ind w:left="11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10</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DESCRIPTION OF WARRANTS</w:t>
              </w:r>
            </w:hyperlink>
          </w:p>
        </w:tc>
        <w:tc>
          <w:tcPr>
            <w:tcW w:w="460" w:type="dxa"/>
            <w:vAlign w:val="bottom"/>
            <w:gridSpan w:val="3"/>
          </w:tcPr>
          <w:p>
            <w:pPr>
              <w:jc w:val="center"/>
              <w:ind w:left="11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15</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LEGAL OWNERSHIP SECURITIES</w:t>
              </w:r>
            </w:hyperlink>
          </w:p>
        </w:tc>
        <w:tc>
          <w:tcPr>
            <w:tcW w:w="460" w:type="dxa"/>
            <w:vAlign w:val="bottom"/>
            <w:gridSpan w:val="3"/>
            <w:shd w:val="clear" w:color="auto" w:fill="CCEEFF"/>
          </w:tcPr>
          <w:p>
            <w:pPr>
              <w:jc w:val="center"/>
              <w:ind w:left="11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17</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SELLING STOCKHOLDERS</w:t>
              </w:r>
            </w:hyperlink>
          </w:p>
        </w:tc>
        <w:tc>
          <w:tcPr>
            <w:tcW w:w="460" w:type="dxa"/>
            <w:vAlign w:val="bottom"/>
            <w:gridSpan w:val="3"/>
          </w:tcPr>
          <w:p>
            <w:pPr>
              <w:jc w:val="center"/>
              <w:ind w:left="110"/>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19</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PLAN OF DISTRIBUTION</w:t>
              </w:r>
            </w:hyperlink>
          </w:p>
        </w:tc>
        <w:tc>
          <w:tcPr>
            <w:tcW w:w="460" w:type="dxa"/>
            <w:vAlign w:val="bottom"/>
            <w:gridSpan w:val="3"/>
            <w:shd w:val="clear" w:color="auto" w:fill="CCEEFF"/>
          </w:tcPr>
          <w:p>
            <w:pPr>
              <w:jc w:val="center"/>
              <w:ind w:left="110"/>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20</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LEGAL MATTERS</w:t>
              </w:r>
            </w:hyperlink>
          </w:p>
        </w:tc>
        <w:tc>
          <w:tcPr>
            <w:tcW w:w="460" w:type="dxa"/>
            <w:vAlign w:val="bottom"/>
            <w:gridSpan w:val="3"/>
          </w:tcPr>
          <w:p>
            <w:pPr>
              <w:jc w:val="center"/>
              <w:ind w:left="11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EXPERTS</w:t>
              </w:r>
            </w:hyperlink>
          </w:p>
        </w:tc>
        <w:tc>
          <w:tcPr>
            <w:tcW w:w="460" w:type="dxa"/>
            <w:vAlign w:val="bottom"/>
            <w:gridSpan w:val="3"/>
            <w:shd w:val="clear" w:color="auto" w:fill="CCEEFF"/>
          </w:tcPr>
          <w:p>
            <w:pPr>
              <w:jc w:val="center"/>
              <w:ind w:left="11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9460" w:type="dxa"/>
            <w:vAlign w:val="bottom"/>
            <w:gridSpan w:val="4"/>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WHERE YOU CAN FIND ADDITIONAL INFORMATION</w:t>
              </w:r>
            </w:hyperlink>
          </w:p>
        </w:tc>
        <w:tc>
          <w:tcPr>
            <w:tcW w:w="460" w:type="dxa"/>
            <w:vAlign w:val="bottom"/>
            <w:gridSpan w:val="3"/>
          </w:tcPr>
          <w:p>
            <w:pPr>
              <w:jc w:val="center"/>
              <w:ind w:left="11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9460" w:type="dxa"/>
            <w:vAlign w:val="bottom"/>
            <w:gridSpan w:val="4"/>
            <w:shd w:val="clear" w:color="auto" w:fill="CCEEFF"/>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INCORPORATION OF CERTAIN INFORMATION BY REFERENCE</w:t>
              </w:r>
            </w:hyperlink>
          </w:p>
        </w:tc>
        <w:tc>
          <w:tcPr>
            <w:tcW w:w="460" w:type="dxa"/>
            <w:vAlign w:val="bottom"/>
            <w:gridSpan w:val="3"/>
            <w:shd w:val="clear" w:color="auto" w:fill="CCEEFF"/>
          </w:tcPr>
          <w:p>
            <w:pPr>
              <w:jc w:val="center"/>
              <w:ind w:left="110"/>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0140"/>
          </w:cols>
          <w:pgMar w:left="880" w:top="958"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prospectus supplement and the accompanying prospectus are part of a “shelf” registration statement on Form S-3 (File No. 333-235714) that we initially filed with the Securities and Exchange Commission (SEC) on December 27, 2019, and that was declared effective by the SEC on January 2, 2020. 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and the selling stockholder have not, and the underwriters have not, authorized anyone to provide any information other than that contained or incorporated by reference in this prospectus supplement, the accompanying prospectus or in any free writing prospectus that we have authorized for use in connection with this offering. We, the selling stockholder and the underwriters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entitled “Where You Can Find Additional Information” and “Incorporation of Certain Information by Reference” in this prospectus supplement and in the accompanying prospectus.</w:t>
      </w:r>
    </w:p>
    <w:p>
      <w:pPr>
        <w:spacing w:after="0" w:line="18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the selling stockholder and the underwriters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supplement and accompanying prospectus to “SI-BONE,” “the company,” “we,” “us,” “our” and similar references refer to SI-BONE, Inc., a corporation under the laws of the State of Delaware, and its wholly owned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Unless the context indicates otherwise, as used in this prospectus supplement and accompanying prospectus, the terms “SI-BONE” and “iFuse Implant System” or “iFuse” and other iFuse-formative trademarks, as well as other trademarks or service marks of SI-BONE appearing in this prospectus supplement and accompanying prospectus, are the property of SI-BONE. This prospectus supplement and accompanying prospectus contain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40"/>
          </w:cols>
          <w:pgMar w:left="320" w:top="94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7539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t>PROSPECTUS SUPPLEMENT SUMMARY</w:t>
      </w:r>
    </w:p>
    <w:p>
      <w:pPr>
        <w:spacing w:after="0" w:line="2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supplement or accompanying prospectus or incorporated by reference in this prospectus supplement and accompanying prospectus, and does not contain all of the information that you need to consider in making your investment decision. You should carefully read the entire prospectus supplement, accompanying prospectus and any related free writing prospectus, including the risks of investing in our securities discussed under the heading “Risk Factors” contained in this prospectus supplement and any related free writing prospectus, and under similar headings in the other documents that are incorporated by reference into this prospectus supplement and accompanying prospectus. You should also carefully read the information incorporated by reference into this prospectus supplement and accompanying prospectus, including our financial statements, and the exhibits to the registration statement of which this prospectus supplement and accompanying prospectus are a part.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a medical device company focused on the development of implantable devices used in the surgical treatment of the sacropelvic anatomy. We have pioneered a proprietary minimally invasive surgical implant system, which we call iFuse, to fuse the sacroiliac joint and treat sacroiliac joint dysfunction, which often causes severe lower back pain. Since we introduced iFuse in 2009, as of September 30, 2020, more than 50,000 procedures have been performed by over 2,200 surgeons in the United States. and 35 other countries.</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sacroiliac joint, which is the largest joint in the human body, can cause debilitating pain. Clinical studies have shown that 15% to 30% of all chronic lower back pain is associated with the sacroiliac joint. Studies have also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 We believe that the United States market opportunity for sacroiliac joint fusion may be as large as 279,000 procedures per year.</w:t>
      </w:r>
    </w:p>
    <w:p>
      <w:pPr>
        <w:spacing w:after="0" w:line="107"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2019 and 2018, we generated revenue of $67.3 million and $55.4 million, respectively, a growth rate of 22%, and incurred net losses of $38.4 million and $17.5 million, respectively. Our gross margins were 90% and 91% for 2019 and 2018, respectively. For the six months ended June 30, 2020 and 2019, we generated revenue of $30.9 million and $31.3 million, respectively, and incurred net losses of $25.2 million and $18.0 million, respectively. Our gross margins were 87% and 90% for the six months ended June 30, 2020 and 2019,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6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Our iFuse Implant System includes a series of patented triangular titanium implants and the instruments we have developed to enable surgeons to perform the procedure. Surgeons place our implants across the sacroiliac joint, either from a lateral approach through the iliac, or hip, bones into the sacrum, or from a posterior approach through the sacrum and into the iliac bones. Surgeons typically use three iFuse implants to fuse a sacroiliac joint in the lateral procedure, and one iFuse implant in each sacroiliac joint, typically alongside another device crossing the joint and joining to the spinal construct.</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iFuse implants have a triangular cross section that resists twisting or rotation of the implant within the bone within which it is implanted, regardless of the surgical approach and technique used to place the implants. The triangular shape of our implants helps stabilize the joint, and the implants’ porous surface enables biologic fixation of the bone onto the implant, or bony ongrowth and ingrowth, that results in fusion. We hold issued patents on implants with cross-sections of many non-round shapes, including the triangular shape of the iFuse implant. We also hold issued patents for the method of placing those implants across the sacroiliac joint, as well as other parts of the spine and pelvis. Each titanium iFuse implant has at least three times the strength of a typical eight-millimeter cannulated surgical screw, and the large porous surface area of our implants allows for bony ingrowth.</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introduced our second-generation implant, the iFuse-3D, in 2017. This patented titanium implant combines the triangular cross-section of the iFuse implant with the proprietary 3D-printed porous surface and fenestrated design. This design also allows the surgeon to fill the implant with ground-up bone before implantation, which some surgeons believe accelerates bone through-growth and biological fixation. iFuse-3D implants have shown positive bony ingrowth, ongrowth and through-growth in cell culture and animal studies, whether or not ground-up bone is used. We hold issued patents on 3D-printed triangular implants with fenestrations, or holes, which allow bone to grow into and through the implants.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400"/>
          </w:cols>
          <w:pgMar w:left="740" w:top="1417" w:right="759" w:bottom="1440" w:gutter="0" w:footer="0" w:header="0"/>
        </w:sectPr>
      </w:pPr>
    </w:p>
    <w:bookmarkStart w:id="4" w:name="page5"/>
    <w:bookmarkEnd w:id="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919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919210"/>
                    </a:xfrm>
                    <a:prstGeom prst="rect">
                      <a:avLst/>
                    </a:prstGeom>
                    <a:noFill/>
                  </pic:spPr>
                </pic:pic>
              </a:graphicData>
            </a:graphic>
          </wp:anchor>
        </w:drawing>
      </w:r>
    </w:p>
    <w:p>
      <w:pPr>
        <w:jc w:val="both"/>
        <w:ind w:firstLine="405"/>
        <w:spacing w:after="0" w:line="255" w:lineRule="auto"/>
        <w:rPr>
          <w:sz w:val="20"/>
          <w:szCs w:val="20"/>
          <w:color w:val="auto"/>
        </w:rPr>
      </w:pPr>
      <w:r>
        <w:rPr>
          <w:rFonts w:ascii="Arial" w:cs="Arial" w:eastAsia="Arial" w:hAnsi="Arial"/>
          <w:sz w:val="18"/>
          <w:szCs w:val="18"/>
          <w:color w:val="auto"/>
        </w:rPr>
        <w:t>In April 2019, we received clearance from the United States Food and Drug Administration, or FDA, to promote the use of our iFuse Implant System for fusion of the sacroiliac joint in conjunction with multi-level spinal fusion procedures to provide further stabilization and immobilization of the sacroiliac joint. For this indication, surgeons typically use the posterior approach, through the sacrum and into the iliac bones, which we call the Bedrock technique. We received CE marking and began marketing our iFuse Implant System for this indication and surgical technique in Europe in December 2019. In March 2020, we received FDA 510(k) clearance for an expanded indication for the iFuse Implant System to support our trauma program.</w:t>
      </w:r>
    </w:p>
    <w:p>
      <w:pPr>
        <w:spacing w:after="0" w:line="1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market our products primarily with a direct sales force as well as a number of distributors in the United States, and with a combination of a direct sales force and distributors in other countries. The cost of a reusable instrument set used in an iFuse procedure is approximately $8,000, which is less than the average total selling price of the three iFuse implants typically used in a minimally invasive sacroiliac fusion. An instrument set typically has a useful life of 3 years before the instruments are no longer reusable and in the six months ended June 30, 2020, our gross margins were 87%, creating a capital efficient model.</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business objective is to maintain and enhance our leadership position in the area of sacropelvic surgical solutions by providing clinically proven products and procedure-related training to promote relief of pain and disability in affected patients. To accomplish this objective, we intend to grow our sales force, increase surgeon activity and training, raise patient awareness, expand product offerings, and leverage broad coverage and reimbursement.</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Grow our sales force</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made significant investments in our sales force since our initial public offering in 2018. As of September 30, 2020, our United States sales force consisted of 59 territory sales managers and 57 clinical support specialists directly employed by us and 39 third-party distributors, compared to 53 territory sales managers and 53 clinical support specialists directly employed by us and 34 third-party distributors as of September 30, 2019. As of September 30, 2020, our international sales force consisted of 20 sales representatives directly employed by us and 31 third-party distributors, compared to 19 sales representatives directly employed by us and 28 third-party distributors as of September 30, 2019.</w:t>
      </w:r>
    </w:p>
    <w:p>
      <w:pPr>
        <w:spacing w:after="0" w:line="21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intend to continue to grow our specialized sales force to foster deep relationships with surgeons and drive revenue growth. Our territory sales managers are senior representatives who educate surgeons on the sacroiliac joint as a primary cause of lower back pain. The territory sales manager identifies new surgeons who are interested in learning more about the sacroiliac joint and the iFuse procedure and/or the Bedrock technique. The sales representative works closely with our medical affairs team to train surgeons on the anatomy, diagnosis, and surgical technique. Once trained, the sales representative works with the surgeon to incorporate into their practices the diagnosis of sacroiliac joint pain and the iFuse procedure to treat patients suffering from sacroiliac joint pain. Our clinical support specialists assist the territory sales managers to identify surgeons interested in training. The clinical support specialists also regularly cover cases, bringing our implants and instrument trays into the operating room for use by surgeons.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Increase surgeon activity and training</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medical affairs team works closely with our sales team to increase surgeon activity and training. Surgeon activity includes both the number of surgeons performing iFuse procedures as well as the number of procedures performed per surgeon. As of September 30, 2020 and 2019, in the United States, more than 1,500 surgeons and 1,400 surgeons, respectively, had been trained on iFuse and treated at least one patient. Outside the United States, as of both September 30, 2020 and 2019, more than 600 surgeons, have been trained on iFuse and have treated at least one patient. We will continue to pursue the remainder of the approximately 7,500 target surgeons in the United States, as well as international surgeons for training in the future.</w:t>
      </w:r>
    </w:p>
    <w:p>
      <w:pPr>
        <w:spacing w:after="0" w:line="21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believe that broader acceptance of the sacroiliac joint as a pain generator by leading surgeons may result in more widespread awareness of sacroiliac joint dysfunction and its role in causing certain types of chronic low back pain. Our ability to engage with surgeons has been impeded by COVID-19. However, we continue pursuing engagement and activities with surgeons through our virtual education series. The COVID-19 outbreak also challenged our traditional method of hands-on cadaveric and dry-lab training. Therefore, in addition to utilizing a virtual education series for surgeons and mid-level practitioners for training activities, we began using a portable, radiation free, haptics and computer-based simulator for training purposes in July 2020. The advantage of this simulator system is that the surgeon can be trained locally in 2 to 3 hours and does not need to travel to a cadaver lab, which sometimes requiring being away for as much as a day and a half. The system uses the same instruments as those that are used on surgery and can current train surgeons to perform SIJ injections, iFuse MIS sacroiliac joint fusions as well as Bedrock technique. We plan to expand the use of simulators for training purposes both in the United States and internationally. We believe this type of training will allow us to reach more surgeons cost effectively and efficiently. We will focus on increasing the number of procedures performed by active iFuse surgeons, converting recently trained surgeons to first case, and converting inactive surgeons to active surgeons.</w:t>
      </w:r>
    </w:p>
    <w:p>
      <w:pPr>
        <w:sectPr>
          <w:pgSz w:w="11900" w:h="16838" w:orient="portrait"/>
          <w:cols w:equalWidth="0" w:num="1">
            <w:col w:w="10400"/>
          </w:cols>
          <w:pgMar w:left="740" w:top="1440" w:right="759" w:bottom="8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0400"/>
          </w:cols>
          <w:pgMar w:left="740" w:top="1440" w:right="759" w:bottom="883" w:gutter="0" w:footer="0" w:header="0"/>
          <w:type w:val="continuous"/>
        </w:sectPr>
      </w:pPr>
    </w:p>
    <w:bookmarkStart w:id="5" w:name="page6"/>
    <w:bookmarkEnd w:id="5"/>
    <w:p>
      <w:pPr>
        <w:ind w:left="4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490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490585"/>
                    </a:xfrm>
                    <a:prstGeom prst="rect">
                      <a:avLst/>
                    </a:prstGeom>
                    <a:noFill/>
                  </pic:spPr>
                </pic:pic>
              </a:graphicData>
            </a:graphic>
          </wp:anchor>
        </w:drawing>
        <w:t>Raise patient awareness</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Over 30 million American adults are estimated to have chronic lower back pain. It is often difficult to identify the source of the pain and traditional methods of spine surgery do not have high success rates. We believe it is essential to raise awareness among lower back pain sufferers that their symptoms may be the result of sacroiliac joint disorders and that minimally invasive surgical treatments are available. We have implemented targeted marketing, education and direct outreach programs. We continually update our social media initiatives and post content to educate and engage patients who may be candidates for the iFuse procedure. We plan to make additional investments to further increase patient awareness, primarily through digital and broadcast marketing, including TV and radio ads, paid search, display advertising, social media and public relations.</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Expand product offerings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are leveraging our position as a pioneer in the sacropelvic surgical solutions space to develop new products that satisfy significant unmet clinical needs. We conduct training courses in several academic centers in the United States and engage key opinion leaders to support our development efforts. Our Bedrock technique is used in the treatment of adult spinal deformity. We introduced this technique in June 2019 for use in the fusion of the sacroiliac joints in conjunction with a multi-segment spinal fusion, or long construct, procedure. The Bedrock technique utilizes our proprietary iFuse implants, with one implant placed across each sacroiliac joint (for a total of two implants per case) using a posterior approach, through the sacrum, across the sacroiliac joint, and into the ilium. The Bedrock technique differs from our traditional iFuse procedure, whereby three iFuse implants are placed across one sacroiliac joint via a lateral transarticular approach through the ilium and into the sacrum. The Bedrock technique is performed to increase stability at the base of a long construct. Biomechanical testing has shown that iFuse implants placed in this position reduce sacroiliac joint motion by approximately 30% in conjunction with a long construct. Interest in the Bedrock technique among deformity surgeons, including many key opinion leaders, has provided our sales representatives with access to important academic medical centers in the United States This enables our representatives to train a broader group of spine surgeons, including residents and fellows at these centers, on both the Bedrock technique and minimally invasive sacroiliac fusion. Since the launch of Bedrock, we have conducted more than 45 training courses at academic centers in the United States, where more than 200 surgical residents and fellows have been trained. We received CE mark clearance for the promotion of the Bedrock technique in Europe and we launched the promotion of this technique in select European markets.</w:t>
      </w:r>
    </w:p>
    <w:p>
      <w:pPr>
        <w:spacing w:after="0" w:line="19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Frequently sacroiliac joint patients are aging and may have experienced one or more of the following events that have contributed to disruption and/or degeneration of the sacroiliac joint: falls, previous lumbar surgery, automobile accidents, and pregnancy. In patients with traumatic injury to the sacroiliac joint, surgeons are increasingly using iFuse for treatment closer in time to the initial traumatic injury, rather than using it to treat chronic sacroiliac joint dysfunction and the pain that it causes as the disease and pain progresses. We recently received FDA clearance for expanded indications for the use of iFuse in the treatment of pelvic trauma, including for stabilization of the sacroiliac joint in conjunction with the treatment of fractures involving the sacroiliac joint. We continue to invest in the development of products and techniques to help surgeons improve the treatment of these patients, and anticipate continuing to pursue products and indications that can be used to treat pelvic trauma patients throughout their injury recovery.</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Leverage broad coverage and reimbursement</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gained broad coverage and reimbursement for our products through our efforts with United States payors and government agencies. This includes both the number of covered lives and the Medicare physician fee for surgeons performing minimally invasive sacroiliac fusion in the United States</w:t>
      </w:r>
    </w:p>
    <w:p>
      <w:pPr>
        <w:spacing w:after="0" w:line="211" w:lineRule="exact"/>
        <w:rPr>
          <w:sz w:val="20"/>
          <w:szCs w:val="20"/>
          <w:color w:val="auto"/>
        </w:rPr>
      </w:pPr>
    </w:p>
    <w:p>
      <w:pPr>
        <w:jc w:val="both"/>
        <w:ind w:left="640" w:hanging="314"/>
        <w:spacing w:after="0" w:line="268" w:lineRule="auto"/>
        <w:tabs>
          <w:tab w:leader="none" w:pos="635"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Covered lives </w:t>
      </w:r>
      <w:r>
        <w:rPr>
          <w:rFonts w:ascii="Arial" w:cs="Arial" w:eastAsia="Arial" w:hAnsi="Arial"/>
          <w:sz w:val="17"/>
          <w:szCs w:val="17"/>
          <w:color w:val="auto"/>
        </w:rPr>
        <w:t>- As of September 30, 2020, of the United States payors covering 298.9 million lives that reimburse for iFuse, 183.1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lives are covered by private payors. This includes lives covered by Aetna, which adopted a new coverage policy for minimally invasive arthrodesis of the sacroiliac joint for sacroiliac joint syndrome and sacroiliac joint pain, effective May 28, 2020. Aetna is the third largest commercial health plan in the United States with over 22 million members. Currently, covered lives counts do not include Anthem, which covers minimally invasive sacroiliac fusion procedures in the event of pelvic girdle trauma only. On October 1, 2020, Anthem published an update to its sacroiliac joint fusion medical policy. This update retained policy language limiting indications for iFuse to cases involving a history of pelvic trauma, similar to earlier versions of the policy, and did not reflect the feedback from specialists that Anthem received in mid-2020, or other substantive updates to the evidence base. Anthem has communicated to us that this feedback and additional evidence may be taken into consideration in future policy updates in 2021. Compared to the prior year period, as of September 30, 2019, United States payors covering 268.0 million lives reimbursed for iFuse, of which 133.0 million were covered by private payors. We track the number of United States covered lives, or individuals whose healthcare is paid for by a private commercial or governmental payor that routinely reimburses for minimally invasive sacroiliac fusion, as a proxy for availability of the procedure within the United States healthcare payment system.</w:t>
      </w:r>
    </w:p>
    <w:p>
      <w:pPr>
        <w:sectPr>
          <w:pgSz w:w="11900" w:h="16838" w:orient="portrait"/>
          <w:cols w:equalWidth="0" w:num="1">
            <w:col w:w="10400"/>
          </w:cols>
          <w:pgMar w:left="740" w:top="136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0400"/>
          </w:cols>
          <w:pgMar w:left="740" w:top="1367" w:right="759" w:bottom="1440" w:gutter="0" w:footer="0" w:header="0"/>
          <w:type w:val="continuous"/>
        </w:sectPr>
      </w:pPr>
    </w:p>
    <w:bookmarkStart w:id="6" w:name="page7"/>
    <w:bookmarkEnd w:id="6"/>
    <w:p>
      <w:pPr>
        <w:jc w:val="both"/>
        <w:ind w:left="640" w:hanging="314"/>
        <w:spacing w:after="0" w:line="25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7496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496175"/>
                    </a:xfrm>
                    <a:prstGeom prst="rect">
                      <a:avLst/>
                    </a:prstGeom>
                    <a:noFill/>
                  </pic:spPr>
                </pic:pic>
              </a:graphicData>
            </a:graphic>
          </wp:anchor>
        </w:drawing>
        <w:t xml:space="preserve">Exclusive coverage policies </w:t>
      </w:r>
      <w:r>
        <w:rPr>
          <w:rFonts w:ascii="Arial" w:cs="Arial" w:eastAsia="Arial" w:hAnsi="Arial"/>
          <w:sz w:val="18"/>
          <w:szCs w:val="18"/>
          <w:color w:val="auto"/>
        </w:rPr>
        <w:t>- As of September 30, 2020, 35 United States payors have issued positive coverage policies exclusive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iFuse for sacroiliac joint fusion based on clinical evidence, compared to 34 exclusive coverage policies as of September 30, 2019. These payors have based their exclusive coverage decisions on the quality of our data. Further, as of September 30, 2020 and 2019, there were 22 and 18, respectively, United States payors that cover iFuse and other products for sacroiliac joint fusion. We believe that the full impact of each coverage decision grows over time as surgeons gain confidence that they will receive reimbursement for the majority of their diagnosed patients.</w:t>
      </w:r>
    </w:p>
    <w:p>
      <w:pPr>
        <w:spacing w:after="0" w:line="219" w:lineRule="exact"/>
        <w:rPr>
          <w:rFonts w:ascii="Arial" w:cs="Arial" w:eastAsia="Arial" w:hAnsi="Arial"/>
          <w:sz w:val="18"/>
          <w:szCs w:val="18"/>
          <w:color w:val="auto"/>
        </w:rPr>
      </w:pPr>
    </w:p>
    <w:p>
      <w:pPr>
        <w:jc w:val="both"/>
        <w:ind w:left="640" w:hanging="314"/>
        <w:spacing w:after="0" w:line="255"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Surgeon payment </w:t>
      </w:r>
      <w:r>
        <w:rPr>
          <w:rFonts w:ascii="Arial" w:cs="Arial" w:eastAsia="Arial" w:hAnsi="Arial"/>
          <w:sz w:val="18"/>
          <w:szCs w:val="18"/>
          <w:color w:val="auto"/>
        </w:rPr>
        <w:t>- The Center for Medicare &amp; Medicaid Services announced in November 2019 that the United States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physician fee reimbursement for minimally invasive sacroiliac joint fusion increased from $720, effective January 1, 2019 to $915, effective January 1, 2020. Many private payors set their payment amounts with reference to the Medicare payment, often approximately 10% to 33% higher than the Medicare payment for a procedure. We believe that expanded coverage for minimally invasive sacroiliac fusion and the increase in physician reimbursement for the procedure may enable surgeons to treat more patients diagnosed with sacroiliac joint dysfunction with iFuse.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Set forth below are preliminary expectations for the three and nine months ended September 30, 2020 compared to actual financial results for the three and nine months ended September 30, 2019. We have provided a range for preliminary revenue results because our financial closing procedures for the three months ended September 30, 2020 are not yet complete. We believe that the estimated revenue is important to an investor’s understanding of our performance, notwithstanding that we are not yet able to provide estimated loss from operations or net loss data. These preliminary results represent our estimates only based on currently available information and do not present all necessary information for an understanding of our financial condition as of September 30, 2020 or our results of operations for the three and nine months ended September 30, 2020. As we complete our interim financial close process and finalize our unaudited financial statements for the three and nine months ended September 30, 2020, we may be required to make significant judgments in a number of areas, including revenue, inventory and stock-based compensation.</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preliminary financial information, included in this prospectus supplement, has been prepared by and is the responsibility of our management. PricewaterhouseCoopers LLP, our independent registered public accounting firm, has not audited, reviewed, compiled or applied agreed-upon procedures with respect to this preliminary financial data. Accordingly, PricewaterhouseCoopers LLP does not express an opinion or any other form of assurance with respect thereto. We expect to complete our unaudited condensed consolidated financial statements for the three and nine months ended September 30, 2020 subsequent to the completion of this offering. It is possible that we may identify items that require us to make adjustments to the financial information set forth below and those changes could be material. We do not intend to update the financial information set forth below prior to completion of our interim unaudited financial statements. Accordingly, undue reliance should not be placed on these preliminary estimates. These preliminary estimates are not necessarily indicative of any future period and should be read together with “Risk Factors” and “Special Note Regarding Forward-Looking Statements” included elsewhere in this prospectus supplement and accompanying prospectus.</w:t>
      </w:r>
    </w:p>
    <w:p>
      <w:pPr>
        <w:spacing w:after="0" w:line="1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Preliminary and unaudited revenue for the three months ended September 30, 2020 is expected to be in the range of $20.1-$20.4 million, reflecting growth of 24%-26% compared to the prior year period. United States revenue is expected to be in the range of $18.7-$18.9 million, reflecting growth of 26%-27% compared to the prior year period. International revenue is expected to be in the range of $1.4-$1.5 million. Preliminary and unaudited revenue for the nine months ended September 30, 2020 is expected to be in the range of $51.0-$51.3 million, reflecting growth of approximately 7%-8% over the prior year period. United States revenue is expected to be in the range of $47.2-$47.4 million, reflecting growth of approximately 9% compared to the prior year period. International revenue is expected to be in the range of $3.8-$3.9 million.</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September 30, 2020, we expect to report incremental investment in several expense items that are not comparable to the three months ended September 30, 2019. Operating expenses include additional investments in sales force hiring, new surgeon training, new product development, higher stock compensation expenses and ongoing costs associated with being a public company. As a result, we expect our loss from operations for the three and nine months ended September 30, 2020 to be higher than the three and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400"/>
          </w:cols>
          <w:pgMar w:left="740" w:top="1367" w:right="759" w:bottom="1440" w:gutter="0" w:footer="0" w:header="0"/>
        </w:sectPr>
      </w:pPr>
    </w:p>
    <w:bookmarkStart w:id="7" w:name="page8"/>
    <w:bookmarkEnd w:id="7"/>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002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0022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2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COVID-19 pandemic and the resulting economic downturn are affecting business conditions in our industry. The overall demand for our products decreased as a result of the pandemic, which impacted our operating results for the nine months ended September 30, 2020. Many state and local governments in the United States and foreign governments issued orders that temporarily precluded elective procedures in order to conserve scarce health system resources in view of the pandemic. The decrease in hospital admission rates and elective surgeries decreases the demand for elective procedures using our iFuse implants. Prior to the COVID-19 pandemic, we experienced case growth trends consistent with those experienced in the fourth quarter of 2019. Beginning in mid-March 2020 through April 2020, we saw a substantial worldwide reduction in global case volumes due to deferral of elective surgeries as a result of the COVID-19 pandemic in the United States and across Europe. In May 2020, case volumes began to recover as hospitals and medical centers across the United States and Europe resumed performance of elective surgical procedures.</w:t>
      </w:r>
    </w:p>
    <w:p>
      <w:pPr>
        <w:spacing w:after="0" w:line="18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timing, extent and continuation of any further increase in procedures, and any corresponding increase in sales of our products, and whether there could be a future decrease in the current level of procedures as a result of the COVID-19 pandemic or otherwise, remain uncertain and are subject to a variety of factors, including:</w:t>
      </w:r>
    </w:p>
    <w:p>
      <w:pPr>
        <w:spacing w:after="0" w:line="182" w:lineRule="exact"/>
        <w:rPr>
          <w:sz w:val="20"/>
          <w:szCs w:val="20"/>
          <w:color w:val="auto"/>
        </w:rPr>
      </w:pPr>
    </w:p>
    <w:p>
      <w:pPr>
        <w:ind w:left="640" w:hanging="314"/>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return of elective procedures has been more rapid in some locations than others due to the extent and impact of the COVID-19 pandemic, and varying degrees of ongoing local restrictions related to the COVID-19 pandemic.</w:t>
      </w:r>
    </w:p>
    <w:p>
      <w:pPr>
        <w:spacing w:after="0" w:line="170" w:lineRule="exact"/>
        <w:rPr>
          <w:rFonts w:ascii="Arial" w:cs="Arial" w:eastAsia="Arial" w:hAnsi="Arial"/>
          <w:sz w:val="18"/>
          <w:szCs w:val="18"/>
          <w:color w:val="auto"/>
        </w:rPr>
      </w:pPr>
    </w:p>
    <w:p>
      <w:pPr>
        <w:ind w:left="640" w:hanging="314"/>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material increase in COVID-19 cases in one or more locations would result in an increase in hospitalizations and a corresponding decrease in elective procedures in such impacted locations.</w:t>
      </w:r>
    </w:p>
    <w:p>
      <w:pPr>
        <w:spacing w:after="0" w:line="170" w:lineRule="exact"/>
        <w:rPr>
          <w:rFonts w:ascii="Arial" w:cs="Arial" w:eastAsia="Arial" w:hAnsi="Arial"/>
          <w:sz w:val="18"/>
          <w:szCs w:val="18"/>
          <w:color w:val="auto"/>
        </w:rPr>
      </w:pPr>
    </w:p>
    <w:p>
      <w:pPr>
        <w:ind w:left="640" w:hanging="314"/>
        <w:spacing w:after="0" w:line="29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Individual surgeons and hospitals may postpone elective procedures as a result of reduced availability of physicians or space to treat patients, different treatment prioritizations, increased cost pressures and burdens on the overall healthcare infrastructure.</w:t>
      </w:r>
    </w:p>
    <w:p>
      <w:pPr>
        <w:spacing w:after="0" w:line="146" w:lineRule="exact"/>
        <w:rPr>
          <w:rFonts w:ascii="Arial" w:cs="Arial" w:eastAsia="Arial" w:hAnsi="Arial"/>
          <w:sz w:val="17"/>
          <w:szCs w:val="17"/>
          <w:color w:val="auto"/>
        </w:rPr>
      </w:pPr>
    </w:p>
    <w:p>
      <w:pPr>
        <w:ind w:left="640" w:hanging="314"/>
        <w:spacing w:after="0" w:line="29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Patients may elect to defer or avoid elective procedures due to concerns about being exposed to COVID-19 in hospital settings, loss of employer-sponsored health insurance related to the high levels of unemployment in the United States or other reasons.</w:t>
      </w:r>
    </w:p>
    <w:p>
      <w:pPr>
        <w:spacing w:after="0" w:line="146" w:lineRule="exact"/>
        <w:rPr>
          <w:rFonts w:ascii="Arial" w:cs="Arial" w:eastAsia="Arial" w:hAnsi="Arial"/>
          <w:sz w:val="17"/>
          <w:szCs w:val="17"/>
          <w:color w:val="auto"/>
        </w:rPr>
      </w:pPr>
    </w:p>
    <w:p>
      <w:pPr>
        <w:ind w:left="640" w:hanging="314"/>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Hospitals may reserve increased space for potential COVID-19 patients, especially if the number of COVID-19 cases spikes, limiting the space allocated to inpatient and outpatient elective procedures.</w:t>
      </w:r>
    </w:p>
    <w:p>
      <w:pPr>
        <w:spacing w:after="0" w:line="170" w:lineRule="exact"/>
        <w:rPr>
          <w:rFonts w:ascii="Arial" w:cs="Arial" w:eastAsia="Arial" w:hAnsi="Arial"/>
          <w:sz w:val="18"/>
          <w:szCs w:val="18"/>
          <w:color w:val="auto"/>
        </w:rPr>
      </w:pPr>
    </w:p>
    <w:p>
      <w:pPr>
        <w:jc w:val="both"/>
        <w:ind w:left="640" w:hanging="314"/>
        <w:spacing w:after="0" w:line="24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personnel are experiencing, and expect to continue to experience, restrictions on access to many customers, hospitals, labs and other medical facilities for sales activities, physician training and case support as they have been deemed to be “non-essential” personnel by those facilities or applicable local regulations.</w:t>
      </w:r>
    </w:p>
    <w:p>
      <w:pPr>
        <w:spacing w:after="0" w:line="20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existence and further duration of the COVID-19 pandemic may also further exacerbate certain risks as described in “Item 1A - Risk Factors” on our Form 10-Q for the quarter ended June 30, 2020.</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The COVID-19 pandemic is continuing globally and preliminary indications of an increase in procedure volumes and related product sales are not necessarily indicative of the results that may be reported for the remainder of fiscal 2020, or any future periods. We are unable to predict how the COVID-19 pandemic will impact procedure volumes or product sales in the future, or the extent, duration or recurrence of the COVID-19 pandemic in any location. We are, therefore, unable to predict the impact of the COVID-19 pandemic, and such could have a material adverse effect on our results of operations, financial condition and capital resources.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SI-BONE was founded in 2008 by orthopedist Mark A. Reiley, M.D., the main inventor of iFuse, as well as our President, Chief Executive Officer and Chairman, Jeffrey W. Dunn, and orthopedic surgeon Leonard Rudolf, M.D. Dr. Reiley previously invented balloon kyphoplasty and founded Kyphon Inc., which was sold to Medtronic in 2007. He also invented the INBONE total ankle replacement system, which was sold to Wright Medical Technology, Inc. in 2008.</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September 30, 2020, we had 282 employees, including a direct field sales organization of 128 in the United States and 20 in Europe. As of September 30, we had 53 issued patents throughout the world, of which 40 were in the United States, and 31 pending patent applications, of which 25 were in the United States. These patents and applications cover various aspects of the iFuse procedure, implants and instruments.</w:t>
      </w:r>
    </w:p>
    <w:p>
      <w:pPr>
        <w:sectPr>
          <w:pgSz w:w="11900" w:h="16838" w:orient="portrait"/>
          <w:cols w:equalWidth="0" w:num="1">
            <w:col w:w="10400"/>
          </w:cols>
          <w:pgMar w:left="74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10400"/>
          </w:cols>
          <w:pgMar w:left="740" w:top="1440" w:right="759" w:bottom="1440" w:gutter="0" w:footer="0" w:header="0"/>
          <w:type w:val="continuous"/>
        </w:sectPr>
      </w:pPr>
    </w:p>
    <w:bookmarkStart w:id="8" w:name="page9"/>
    <w:bookmarkEnd w:id="8"/>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627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86277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spacing w:after="0" w:line="76" w:lineRule="exact"/>
        <w:rPr>
          <w:sz w:val="20"/>
          <w:szCs w:val="20"/>
          <w:color w:val="auto"/>
        </w:rPr>
      </w:pPr>
    </w:p>
    <w:p>
      <w:pPr>
        <w:ind w:left="640" w:hanging="314"/>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89" w:lineRule="exact"/>
        <w:rPr>
          <w:rFonts w:ascii="Arial" w:cs="Arial" w:eastAsia="Arial" w:hAnsi="Arial"/>
          <w:sz w:val="18"/>
          <w:szCs w:val="18"/>
          <w:color w:val="auto"/>
        </w:rPr>
      </w:pPr>
    </w:p>
    <w:p>
      <w:pPr>
        <w:jc w:val="both"/>
        <w:ind w:left="640" w:hanging="314"/>
        <w:spacing w:after="0" w:line="263"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uncertainties concerning the duration of the COVID-19 pandemic, whether the COVID-19 pandemic will recur in the future and the ability and desire of patients and physicians to undergo and perform procedures may impact our operations, financial results, liquidity and capital resources;</w:t>
      </w:r>
    </w:p>
    <w:p>
      <w:pPr>
        <w:spacing w:after="0" w:line="89" w:lineRule="exact"/>
        <w:rPr>
          <w:rFonts w:ascii="Arial" w:cs="Arial" w:eastAsia="Arial" w:hAnsi="Arial"/>
          <w:sz w:val="18"/>
          <w:szCs w:val="18"/>
          <w:color w:val="auto"/>
        </w:rPr>
      </w:pPr>
    </w:p>
    <w:p>
      <w:pPr>
        <w:jc w:val="both"/>
        <w:ind w:left="640" w:hanging="314"/>
        <w:spacing w:after="0" w:line="286"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spacing w:after="0" w:line="70" w:lineRule="exact"/>
        <w:rPr>
          <w:rFonts w:ascii="Arial" w:cs="Arial" w:eastAsia="Arial" w:hAnsi="Arial"/>
          <w:sz w:val="17"/>
          <w:szCs w:val="17"/>
          <w:color w:val="auto"/>
        </w:rPr>
      </w:pPr>
    </w:p>
    <w:p>
      <w:pPr>
        <w:ind w:left="640" w:hanging="314"/>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89"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revenue, and ongoing and future research may prove our products to be less safe and effective than currently thought;</w:t>
      </w:r>
    </w:p>
    <w:p>
      <w:pPr>
        <w:spacing w:after="0" w:line="75" w:lineRule="exact"/>
        <w:rPr>
          <w:rFonts w:ascii="Arial" w:cs="Arial" w:eastAsia="Arial" w:hAnsi="Arial"/>
          <w:sz w:val="18"/>
          <w:szCs w:val="18"/>
          <w:color w:val="auto"/>
        </w:rPr>
      </w:pPr>
    </w:p>
    <w:p>
      <w:pPr>
        <w:ind w:left="640" w:hanging="314"/>
        <w:spacing w:after="0" w:line="308"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clinical experience with our iFuse Bedrock procedure does not result in positive outcomes for patients or if clinical trials involving the use of iFuse Bedrock fail to show meaningful patient benefit, sales of our iFuse implants could be adversely impacted;</w:t>
      </w:r>
    </w:p>
    <w:p>
      <w:pPr>
        <w:spacing w:after="0" w:line="51" w:lineRule="exact"/>
        <w:rPr>
          <w:rFonts w:ascii="Arial" w:cs="Arial" w:eastAsia="Arial" w:hAnsi="Arial"/>
          <w:sz w:val="17"/>
          <w:szCs w:val="17"/>
          <w:color w:val="auto"/>
        </w:rPr>
      </w:pPr>
    </w:p>
    <w:p>
      <w:pPr>
        <w:ind w:left="640" w:hanging="314"/>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manufacture and sell a single family of products focused on procedures, the goal of which is to stabilize and fuse the sacroiliac joint, which could negatively affect our operations and financial condition;</w:t>
      </w:r>
    </w:p>
    <w:p>
      <w:pPr>
        <w:spacing w:after="0" w:line="89" w:lineRule="exact"/>
        <w:rPr>
          <w:rFonts w:ascii="Arial" w:cs="Arial" w:eastAsia="Arial" w:hAnsi="Arial"/>
          <w:sz w:val="18"/>
          <w:szCs w:val="18"/>
          <w:color w:val="auto"/>
        </w:rPr>
      </w:pPr>
    </w:p>
    <w:p>
      <w:pPr>
        <w:jc w:val="both"/>
        <w:ind w:left="640" w:hanging="314"/>
        <w:spacing w:after="0" w:line="263"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89"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75"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 and</w:t>
      </w:r>
    </w:p>
    <w:p>
      <w:pPr>
        <w:spacing w:after="0" w:line="89" w:lineRule="exact"/>
        <w:rPr>
          <w:rFonts w:ascii="Arial" w:cs="Arial" w:eastAsia="Arial" w:hAnsi="Arial"/>
          <w:sz w:val="18"/>
          <w:szCs w:val="18"/>
          <w:color w:val="auto"/>
        </w:rPr>
      </w:pPr>
    </w:p>
    <w:p>
      <w:pPr>
        <w:jc w:val="both"/>
        <w:ind w:left="640" w:hanging="314"/>
        <w:spacing w:after="0" w:line="263"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and our sales representatives must comply with United States federal and state fraud and abuse laws, including those relating to physician kickbacks and false claims for reimbursement, as well as equivalent foreign laws, which subjects us to risk of non-compliance.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an “emerging growth company” as defined in the Jumpstart Our Business Startups Act, or the JOBS Act, and therefore we have taken, and intend to continue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from our initial public offering, which occurred in October 2018, or until we are no longer an “emerging growth company,” whichever is earlier. In addition, the JOBS Act provides that an “emerging growth company” can delay adopting new or revised accounting standards until those standards apply to private companies. We have elected to avail ourselves of this exemption and, therefore, we will not be subject to the same new or revised accounting standards as other public companies that are not “emerging growth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supplement or accompanying prospectus. We have included our website address as an inactive textual reference only.</w:t>
      </w:r>
    </w:p>
    <w:p>
      <w:pPr>
        <w:sectPr>
          <w:pgSz w:w="11900" w:h="16838" w:orient="portrait"/>
          <w:cols w:equalWidth="0" w:num="1">
            <w:col w:w="10400"/>
          </w:cols>
          <w:pgMar w:left="74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S-6</w:t>
      </w:r>
    </w:p>
    <w:p>
      <w:pPr>
        <w:sectPr>
          <w:pgSz w:w="11900" w:h="16838" w:orient="portrait"/>
          <w:cols w:equalWidth="0" w:num="1">
            <w:col w:w="10400"/>
          </w:cols>
          <w:pgMar w:left="740" w:top="1440" w:right="759" w:bottom="1440" w:gutter="0" w:footer="0" w:header="0"/>
          <w:type w:val="continuous"/>
        </w:sectPr>
      </w:pPr>
    </w:p>
    <w:bookmarkStart w:id="9" w:name="page10"/>
    <w:bookmarkEnd w:id="9"/>
    <w:p>
      <w:pPr>
        <w:spacing w:after="0" w:line="200" w:lineRule="exact"/>
        <w:rPr>
          <w:sz w:val="20"/>
          <w:szCs w:val="20"/>
          <w:color w:val="auto"/>
        </w:r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Common stock offered by us</w:t>
      </w:r>
    </w:p>
    <w:p>
      <w:pPr>
        <w:spacing w:after="0" w:line="36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Common stock offered by the selling stockholder</w:t>
      </w:r>
    </w:p>
    <w:p>
      <w:pPr>
        <w:spacing w:after="0" w:line="171" w:lineRule="exact"/>
        <w:rPr>
          <w:sz w:val="20"/>
          <w:szCs w:val="20"/>
          <w:color w:val="auto"/>
        </w:rPr>
      </w:pPr>
    </w:p>
    <w:p>
      <w:pPr>
        <w:ind w:left="80"/>
        <w:spacing w:after="0" w:line="277"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373" w:lineRule="exact"/>
        <w:rPr>
          <w:sz w:val="20"/>
          <w:szCs w:val="20"/>
          <w:color w:val="auto"/>
        </w:rPr>
      </w:pPr>
    </w:p>
    <w:p>
      <w:pPr>
        <w:ind w:left="80"/>
        <w:spacing w:after="0"/>
        <w:rPr>
          <w:sz w:val="20"/>
          <w:szCs w:val="20"/>
          <w:color w:val="auto"/>
        </w:rPr>
      </w:pPr>
      <w:r>
        <w:rPr>
          <w:rFonts w:ascii="Arial" w:cs="Arial" w:eastAsia="Arial" w:hAnsi="Arial"/>
          <w:sz w:val="18"/>
          <w:szCs w:val="18"/>
          <w:color w:val="auto"/>
        </w:rPr>
        <w:t>Option to purchase additional common stock</w:t>
      </w: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Nasdaq Global Market trading symbol</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-421005</wp:posOffset>
            </wp:positionV>
            <wp:extent cx="7136130" cy="7779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779385"/>
                    </a:xfrm>
                    <a:prstGeom prst="rect">
                      <a:avLst/>
                    </a:prstGeom>
                    <a:noFill/>
                  </pic:spPr>
                </pic:pic>
              </a:graphicData>
            </a:graphic>
          </wp:anchor>
        </w:drawing>
      </w:r>
    </w:p>
    <w:p>
      <w:pPr>
        <w:spacing w:after="0" w:line="304" w:lineRule="exact"/>
        <w:rPr>
          <w:sz w:val="20"/>
          <w:szCs w:val="20"/>
          <w:color w:val="auto"/>
        </w:rPr>
      </w:pPr>
    </w:p>
    <w:p>
      <w:pPr>
        <w:ind w:right="620"/>
        <w:spacing w:after="0" w:line="324" w:lineRule="auto"/>
        <w:rPr>
          <w:sz w:val="20"/>
          <w:szCs w:val="20"/>
          <w:color w:val="auto"/>
        </w:rPr>
      </w:pPr>
      <w:r>
        <w:rPr>
          <w:rFonts w:ascii="Arial" w:cs="Arial" w:eastAsia="Arial" w:hAnsi="Arial"/>
          <w:sz w:val="16"/>
          <w:szCs w:val="16"/>
          <w:color w:val="auto"/>
        </w:rPr>
        <w:t>3,000,000 shares (3,478,507 shares of common stock if the underwriters exercise their option to purchase additional shares in full).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190,053 shares of common stock.</w:t>
      </w:r>
    </w:p>
    <w:p>
      <w:pPr>
        <w:spacing w:after="0" w:line="131"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31,612,451 shares of common stock (or 32,090,958 shares if the underwriters exercise in full their option to purchase additional shares of common stock from us).</w:t>
      </w:r>
    </w:p>
    <w:p>
      <w:pPr>
        <w:spacing w:after="0" w:line="271"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478,507 of additional shares of common stock.</w:t>
      </w:r>
    </w:p>
    <w:p>
      <w:pPr>
        <w:spacing w:after="0" w:line="109" w:lineRule="exact"/>
        <w:rPr>
          <w:sz w:val="20"/>
          <w:szCs w:val="20"/>
          <w:color w:val="auto"/>
        </w:rPr>
      </w:pPr>
    </w:p>
    <w:p>
      <w:pPr>
        <w:jc w:val="both"/>
        <w:ind w:right="60"/>
        <w:spacing w:after="0" w:line="226" w:lineRule="auto"/>
        <w:rPr>
          <w:sz w:val="20"/>
          <w:szCs w:val="20"/>
          <w:color w:val="auto"/>
        </w:rPr>
      </w:pPr>
      <w:r>
        <w:rPr>
          <w:rFonts w:ascii="Arial" w:cs="Arial" w:eastAsia="Arial" w:hAnsi="Arial"/>
          <w:sz w:val="17"/>
          <w:szCs w:val="17"/>
          <w:color w:val="auto"/>
        </w:rPr>
        <w:t>We estimate that the net proceeds to us from this offering, after deducting underwriting discounts and commissions and estimated offering expenses payable by us, will be $68.9 million (or $80.0 million if the underwriters exercise in full their option to purchase additional shares of common stock from us). We will not receive any net proceeds from this offering from the sales of common stock by the selling stockholder.</w:t>
      </w:r>
    </w:p>
    <w:p>
      <w:pPr>
        <w:spacing w:after="0" w:line="192" w:lineRule="exact"/>
        <w:rPr>
          <w:sz w:val="20"/>
          <w:szCs w:val="20"/>
          <w:color w:val="auto"/>
        </w:rPr>
      </w:pPr>
    </w:p>
    <w:p>
      <w:pPr>
        <w:jc w:val="both"/>
        <w:ind w:right="60"/>
        <w:spacing w:after="0" w:line="222" w:lineRule="auto"/>
        <w:rPr>
          <w:rFonts w:ascii="Arial" w:cs="Arial" w:eastAsia="Arial" w:hAnsi="Arial"/>
          <w:sz w:val="17"/>
          <w:szCs w:val="17"/>
          <w:color w:val="auto"/>
        </w:rPr>
      </w:pPr>
      <w:r>
        <w:rPr>
          <w:rFonts w:ascii="Arial" w:cs="Arial" w:eastAsia="Arial" w:hAnsi="Arial"/>
          <w:sz w:val="17"/>
          <w:szCs w:val="17"/>
          <w:color w:val="auto"/>
        </w:rPr>
        <w:t>We currently intend to use the net proceeds from this offering to support the continued commercial expansion of our products, including the increase of our sales force, additional medical affairs and educational efforts, research and development and clinical studies, and direct to patient marketing, as well as for working capital and general corporate purposes. We may also use a portion of our net proceeds to acquire or invest in complementary products, technologies, or businesses; however, we currently have no agreements or commitments to complete any such transactions. See “Use of Proceeds” on page S-</w:t>
      </w:r>
      <w:hyperlink w:anchor="page13">
        <w:r>
          <w:rPr>
            <w:rFonts w:ascii="Arial" w:cs="Arial" w:eastAsia="Arial" w:hAnsi="Arial"/>
            <w:sz w:val="17"/>
            <w:szCs w:val="17"/>
            <w:u w:val="single" w:color="auto"/>
            <w:color w:val="0000FF"/>
          </w:rPr>
          <w:t>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prospectus supplement.</w:t>
      </w:r>
    </w:p>
    <w:p>
      <w:pPr>
        <w:spacing w:after="0" w:line="182"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See “Risk Factors” and the other information included in this prospectus supplement and accompanying prospectus for a discussion of factors you should consider carefully before deciding to invest in our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“SIBN”.</w:t>
      </w:r>
    </w:p>
    <w:p>
      <w:pPr>
        <w:spacing w:after="0" w:line="200" w:lineRule="exact"/>
        <w:rPr>
          <w:sz w:val="20"/>
          <w:szCs w:val="20"/>
          <w:color w:val="auto"/>
        </w:rPr>
      </w:pPr>
    </w:p>
    <w:p>
      <w:pPr>
        <w:sectPr>
          <w:pgSz w:w="11900" w:h="16838" w:orient="portrait"/>
          <w:cols w:equalWidth="0" w:num="2">
            <w:col w:w="4080" w:space="500"/>
            <w:col w:w="5820"/>
          </w:cols>
          <w:pgMar w:left="740" w:top="1417" w:right="759" w:bottom="1440" w:gutter="0" w:footer="0" w:header="0"/>
        </w:sectPr>
      </w:pP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28,612,451 shares outstanding as of June 30, 2020, and excludes:</w:t>
      </w:r>
    </w:p>
    <w:p>
      <w:pPr>
        <w:spacing w:after="0" w:line="103" w:lineRule="exact"/>
        <w:rPr>
          <w:sz w:val="20"/>
          <w:szCs w:val="20"/>
          <w:color w:val="auto"/>
        </w:rPr>
      </w:pPr>
    </w:p>
    <w:p>
      <w:pPr>
        <w:ind w:left="640" w:hanging="314"/>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2,652,683 shares of common stock underlying options outstanding at a weighted average exercise price of $8.24 per share;</w:t>
      </w:r>
    </w:p>
    <w:p>
      <w:pPr>
        <w:spacing w:after="0" w:line="169" w:lineRule="exact"/>
        <w:rPr>
          <w:rFonts w:ascii="Arial" w:cs="Arial" w:eastAsia="Arial" w:hAnsi="Arial"/>
          <w:sz w:val="17"/>
          <w:szCs w:val="17"/>
          <w:color w:val="auto"/>
        </w:rPr>
      </w:pPr>
    </w:p>
    <w:p>
      <w:pPr>
        <w:ind w:left="640" w:hanging="31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1,333,501 shares of common stock underlying restricted stock units outstanding;</w:t>
      </w:r>
    </w:p>
    <w:p>
      <w:pPr>
        <w:spacing w:after="0" w:line="157" w:lineRule="exact"/>
        <w:rPr>
          <w:rFonts w:ascii="Arial" w:cs="Arial" w:eastAsia="Arial" w:hAnsi="Arial"/>
          <w:sz w:val="18"/>
          <w:szCs w:val="18"/>
          <w:color w:val="auto"/>
        </w:rPr>
      </w:pPr>
    </w:p>
    <w:p>
      <w:pPr>
        <w:ind w:left="640" w:hanging="314"/>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118,122 shares of common stock underlying warrants outstanding at a weighted average exercise price of $13.76 per share; and</w:t>
      </w:r>
    </w:p>
    <w:p>
      <w:pPr>
        <w:spacing w:after="0" w:line="128" w:lineRule="exact"/>
        <w:rPr>
          <w:rFonts w:ascii="Arial" w:cs="Arial" w:eastAsia="Arial" w:hAnsi="Arial"/>
          <w:sz w:val="17"/>
          <w:szCs w:val="17"/>
          <w:color w:val="auto"/>
        </w:rPr>
      </w:pPr>
    </w:p>
    <w:p>
      <w:pPr>
        <w:ind w:left="640" w:hanging="314"/>
        <w:spacing w:after="0" w:line="27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3,629,995 shares of common stock available for future grant under our equity incentive plans, including our employee stock purchase plan.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all information in this prospectus supplement assumes:</w:t>
      </w:r>
    </w:p>
    <w:p>
      <w:pPr>
        <w:spacing w:after="0" w:line="225" w:lineRule="exact"/>
        <w:rPr>
          <w:sz w:val="20"/>
          <w:szCs w:val="20"/>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of outstanding options and warrants;</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vesting of outstanding restricted stock units;</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purchases of common stock under our employee stock purchase plan; and</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from us.</w:t>
      </w:r>
    </w:p>
    <w:p>
      <w:pPr>
        <w:sectPr>
          <w:pgSz w:w="11900" w:h="16838" w:orient="portrait"/>
          <w:cols w:equalWidth="0" w:num="1">
            <w:col w:w="10400"/>
          </w:cols>
          <w:pgMar w:left="740" w:top="1417"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S-7</w:t>
      </w:r>
    </w:p>
    <w:p>
      <w:pPr>
        <w:sectPr>
          <w:pgSz w:w="11900" w:h="16838" w:orient="portrait"/>
          <w:cols w:equalWidth="0" w:num="1">
            <w:col w:w="10400"/>
          </w:cols>
          <w:pgMar w:left="740" w:top="1417" w:right="75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 factors described below and the risk factors incorporated by reference from our Quarterly Report on Form 10-Q for the quarterly period ended June 30, 2020, and all other information contained or incorporated by reference in this prospectus supplement and accompanying prospectus, including our financial statements and the related notes, as may be updated by our subsequent filings under the Securities Exchange Act of 1934, as amended (“Exchange Act”) and in any free writing prospectus that we have authorized for use in connection with this offering before acquiring shares of our common stock. These risks could have a material and adverse impact on our business, results of operations, financial condition and growth prospects, which may cause the trading price of our common stock to decline and you could lose all or part of your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will have broad discretion as to the use of the proceeds from this offering, and we may not use the proceeds effectively.</w:t>
      </w:r>
    </w:p>
    <w:p>
      <w:pPr>
        <w:spacing w:after="0" w:line="2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and cause the price of our common stock to decline.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you purchase shares of common stock in this offering, you will experience immediate dilution in your investment. You will experience further dilution if we issue additional equity securities in future fundraising transactions.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Purchasers of common stock in this offering will pay a price per share in this offering that exceeds the net tangible book value per share of our common stock. Assuming an aggregate of 3,000,000 shares of common stock being sold by us at an assumed public offering price of $24.57 per share, the closing price of our common stock on the Nasdaq Global Market on October 13, 2020</w:t>
      </w:r>
      <w:r>
        <w:rPr>
          <w:rFonts w:ascii="Arial" w:cs="Arial" w:eastAsia="Arial" w:hAnsi="Arial"/>
          <w:sz w:val="18"/>
          <w:szCs w:val="18"/>
          <w:color w:val="auto"/>
        </w:rPr>
        <w:t>,</w:t>
      </w:r>
      <w:r>
        <w:rPr>
          <w:rFonts w:ascii="Arial" w:cs="Arial" w:eastAsia="Arial" w:hAnsi="Arial"/>
          <w:sz w:val="17"/>
          <w:szCs w:val="17"/>
          <w:color w:val="auto"/>
        </w:rPr>
        <w:t xml:space="preserve"> for aggregate net proceeds to us of approximately $68.9 million and after deducting underwriting discounts and commissions and estimated offering expenses payable by us, if you purchase shares of our common stock in this offering, you will experience immediate dilution of $18.98 per share, representing the difference between the assumed public offering price and our as adjusted net tangible book value per share as of June 30, 2020, after giving effect to this offering. See the section below titled “Dilution” for a more detailed illustration of the dilution you would incur if you purchase common stock in this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further dilution if we issue additional equity securities in future fundraising transactions.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we have a significant number of stock options and restricted stock units outstanding. The exercise of outstanding stock options or vesting of restricted stock units may result in further dilution of your investment.</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your investment unless you sell your common stock for a price greater than that which you paid for it.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other such factors as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320" w:top="99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supplement and accompanying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2" w:lineRule="exact"/>
        <w:rPr>
          <w:sz w:val="20"/>
          <w:szCs w:val="20"/>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the COVID-19 pandemic and the governmental actions taken to combat the COVID-19 pandemic will have on us, including our operations, financial results, liquidity and capital resources, the existence and duration of state and local orders temporarily prohibiting elective procedures including procedures using the iFuse Implant System, the ability and desire of patients and physicians to undergo and perform such procedures, the duration and any potential resurgence of the COVID-19 pandemic, and whether a similar or related pandemic will recur in the future;</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 healthy workforce in light of the ongoing COVID-19 pandemic;</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and grow our sales team based on the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who perform procedures using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determinations from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marketing clearances and authorization from the FDA and regulators in other jurisdictions;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reliance on a limited number of suppliers, including sole source suppliers, which may impact the availability of instruments and materials;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sustain or increase demand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320" w:top="945" w:right="339" w:bottom="1440" w:gutter="0" w:footer="0" w:header="0"/>
        </w:sectPr>
      </w:pPr>
    </w:p>
    <w:bookmarkStart w:id="12" w:name="page13"/>
    <w:bookmarkEnd w:id="12"/>
    <w:p>
      <w:pPr>
        <w:jc w:val="both"/>
        <w:ind w:firstLine="324"/>
        <w:spacing w:after="0" w:line="268"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this prospectus supplement, in any free writing prospectuses we may authorize for use in connection with this offering, and in our quarterly report on Form 10-Q for the quarter ended June 30, 2020, which are incorporated by reference into this prospectus supplement and accompanying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supplement and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2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320" w:top="98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estimate that we will receive net proceeds from the sale of common stock by us in this offering of approximately $68.9 million, after deducting underwriting discounts and commissions and estimated offering expenses payable by us. If the underwriters exercise in full their option to purchase additional shares of common stock from us, we estimate that the net proceeds to us will be approximately $80.0 million, after deducting underwriting discounts and commissions and estimated offering expenses payable by us. We will not receive any proceeds from this offering from the sales of common stock by the selling stockholder.</w:t>
      </w:r>
    </w:p>
    <w:p>
      <w:pPr>
        <w:spacing w:after="0" w:line="21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Each $0.50 increase (decrease) in the assumed public offering price of $24.57 per share of common stock, the closing price of our common stock on the Nasdaq Global Market on October 13, 2020, would increase (decrease) the net proceeds to us from this offering by approximately $1.4 million, assuming that the assumed number of shares of common stock offered by us remains the same, and after deducting underwriting discounts and commissions and estimated offering expenses payable by us. Each increase (decrease) of 100,000 shares of common stock in the number of shares of common stock offered by us would increase (decrease) the net proceeds to us from this offering by approximately $2.3 million, assuming that the assumed public offering price remains the same, and after deducting underwriting discounts and commissions and estimated offering expenses payable by us.</w:t>
      </w:r>
    </w:p>
    <w:p>
      <w:pPr>
        <w:spacing w:after="0" w:line="19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currently intend to use the net proceeds from this offering to support the continued commercial expansion of our products, including the increase of our sales force, additional medical affairs and educational efforts, research and development and clinical studies, and direct to patient marketing, as well as for working capital and general corporate purposes. We may also use a portion of our net proceeds to acquire or invest in complementary products, technologies, or businesses; however, we currently have no agreements or commitments to complete any such transactions.</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investment-grade instruments, certificates of deposit or direct or guaranteed obligations of the United States government.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320" w:top="95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cash, cash equivalents and investments, and capitalization as of June 30, 2020:</w:t>
      </w:r>
    </w:p>
    <w:p>
      <w:pPr>
        <w:spacing w:after="0" w:line="17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71"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by us of the 3,000,000 shares of our common stock in this offering at an assumed public offering price of $24.57 per share, the closing price of our common stock on the Nasdaq Global Market on October 13, 2020 (assuming no exercise of the underwriters' option to purchase additional shares from us), after deducting underwriting discounts and commissions and estimated offering expenses payable by us.</w:t>
      </w:r>
    </w:p>
    <w:p>
      <w:pPr>
        <w:spacing w:after="0" w:line="214"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You should read the data set forth in the table below in conjunction with (a) our consolidated financial statements, including the related notes, and “Management’s Discussion and Analysis of Financial Condition and Results of Operations” from our Annual Report on Form 10-K for the fiscal year ended December 31, 2019, and (b) our condensed consolidated financial statements, including the related notes, and “Management’s Discussion and Analysis of Financial Condition and Results of Operations” from our Quarterly Report on Form 10-Q for the quarterly period ended June 30, 2020, which are incorporated by reference into this prospectus supplement and accompanying prospectus.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6"/>
                <w:szCs w:val="16"/>
                <w:b w:val="1"/>
                <w:bCs w:val="1"/>
                <w:color w:val="auto"/>
              </w:rPr>
              <w:t>As of June 30, 2020</w:t>
            </w:r>
          </w:p>
        </w:tc>
        <w:tc>
          <w:tcPr>
            <w:tcW w:w="0" w:type="dxa"/>
            <w:vAlign w:val="bottom"/>
          </w:tcPr>
          <w:p>
            <w:pPr>
              <w:spacing w:after="0"/>
              <w:rPr>
                <w:sz w:val="1"/>
                <w:szCs w:val="1"/>
                <w:color w:val="auto"/>
              </w:rPr>
            </w:pPr>
          </w:p>
        </w:tc>
      </w:tr>
      <w:tr>
        <w:trPr>
          <w:trHeight w:val="158"/>
        </w:trPr>
        <w:tc>
          <w:tcPr>
            <w:tcW w:w="7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22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13"/>
                <w:szCs w:val="13"/>
                <w:color w:val="auto"/>
              </w:rPr>
            </w:pPr>
          </w:p>
        </w:tc>
        <w:tc>
          <w:tcPr>
            <w:tcW w:w="1020" w:type="dxa"/>
            <w:vAlign w:val="bottom"/>
          </w:tcPr>
          <w:p>
            <w:pPr>
              <w:jc w:val="right"/>
              <w:ind w:right="412"/>
              <w:spacing w:after="0" w:line="158" w:lineRule="exact"/>
              <w:rPr>
                <w:sz w:val="20"/>
                <w:szCs w:val="20"/>
                <w:color w:val="auto"/>
              </w:rPr>
            </w:pPr>
            <w:r>
              <w:rPr>
                <w:rFonts w:ascii="Arial" w:cs="Arial" w:eastAsia="Arial" w:hAnsi="Arial"/>
                <w:sz w:val="16"/>
                <w:szCs w:val="16"/>
                <w:b w:val="1"/>
                <w:bCs w:val="1"/>
                <w:color w:val="auto"/>
              </w:rPr>
              <w:t>As</w:t>
            </w:r>
          </w:p>
        </w:tc>
        <w:tc>
          <w:tcPr>
            <w:tcW w:w="0" w:type="dxa"/>
            <w:vAlign w:val="bottom"/>
          </w:tcPr>
          <w:p>
            <w:pPr>
              <w:spacing w:after="0"/>
              <w:rPr>
                <w:sz w:val="1"/>
                <w:szCs w:val="1"/>
                <w:color w:val="auto"/>
              </w:rPr>
            </w:pPr>
          </w:p>
        </w:tc>
      </w:tr>
      <w:tr>
        <w:trPr>
          <w:trHeight w:val="213"/>
        </w:trPr>
        <w:tc>
          <w:tcPr>
            <w:tcW w:w="7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6"/>
                <w:szCs w:val="16"/>
                <w:b w:val="1"/>
                <w:bCs w:val="1"/>
                <w:color w:val="auto"/>
                <w:w w:val="93"/>
              </w:rPr>
              <w:t>Adjusted</w:t>
            </w: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91"/>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137,668</w:t>
            </w: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206,590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98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39,264</w:t>
            </w:r>
          </w:p>
        </w:tc>
        <w:tc>
          <w:tcPr>
            <w:tcW w:w="2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39,264</w:t>
            </w:r>
          </w:p>
        </w:tc>
        <w:tc>
          <w:tcPr>
            <w:tcW w:w="0" w:type="dxa"/>
            <w:vAlign w:val="bottom"/>
          </w:tcPr>
          <w:p>
            <w:pPr>
              <w:spacing w:after="0"/>
              <w:rPr>
                <w:sz w:val="1"/>
                <w:szCs w:val="1"/>
                <w:color w:val="auto"/>
              </w:rPr>
            </w:pPr>
          </w:p>
        </w:tc>
      </w:tr>
      <w:tr>
        <w:trPr>
          <w:trHeight w:val="21"/>
        </w:trPr>
        <w:tc>
          <w:tcPr>
            <w:tcW w:w="7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7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Preferred stock, $0.0001 par value, 5,000,000 shares authorized; 0 shares issued and outstanding, actual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as adjusted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980" w:type="dxa"/>
            <w:vAlign w:val="bottom"/>
          </w:tcPr>
          <w:p>
            <w:pPr>
              <w:ind w:left="220"/>
              <w:spacing w:after="0" w:line="176" w:lineRule="exact"/>
              <w:rPr>
                <w:sz w:val="20"/>
                <w:szCs w:val="20"/>
                <w:color w:val="auto"/>
              </w:rPr>
            </w:pPr>
            <w:r>
              <w:rPr>
                <w:rFonts w:ascii="Arial" w:cs="Arial" w:eastAsia="Arial" w:hAnsi="Arial"/>
                <w:sz w:val="18"/>
                <w:szCs w:val="18"/>
                <w:color w:val="auto"/>
                <w:w w:val="98"/>
              </w:rPr>
              <w:t>Common stock, $0.0001 par value, 100,000,000 shares authorized; 28,612,451 shares issued and</w:t>
            </w:r>
          </w:p>
        </w:tc>
        <w:tc>
          <w:tcPr>
            <w:tcW w:w="220" w:type="dxa"/>
            <w:vAlign w:val="bottom"/>
          </w:tcPr>
          <w:p>
            <w:pPr>
              <w:spacing w:after="0"/>
              <w:rPr>
                <w:sz w:val="15"/>
                <w:szCs w:val="15"/>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outstanding, actual, 31,612,451 shares issued and outstanding as adjusted</w:t>
            </w: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328,079</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397,001</w:t>
            </w:r>
          </w:p>
        </w:tc>
        <w:tc>
          <w:tcPr>
            <w:tcW w:w="0" w:type="dxa"/>
            <w:vAlign w:val="bottom"/>
          </w:tcPr>
          <w:p>
            <w:pPr>
              <w:spacing w:after="0"/>
              <w:rPr>
                <w:sz w:val="1"/>
                <w:szCs w:val="1"/>
                <w:color w:val="auto"/>
              </w:rPr>
            </w:pPr>
          </w:p>
        </w:tc>
      </w:tr>
      <w:tr>
        <w:trPr>
          <w:trHeight w:val="243"/>
        </w:trPr>
        <w:tc>
          <w:tcPr>
            <w:tcW w:w="79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(220,824)</w:t>
            </w:r>
          </w:p>
        </w:tc>
        <w:tc>
          <w:tcPr>
            <w:tcW w:w="2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(220,824)</w:t>
            </w:r>
          </w:p>
        </w:tc>
        <w:tc>
          <w:tcPr>
            <w:tcW w:w="0" w:type="dxa"/>
            <w:vAlign w:val="bottom"/>
          </w:tcPr>
          <w:p>
            <w:pPr>
              <w:spacing w:after="0"/>
              <w:rPr>
                <w:sz w:val="1"/>
                <w:szCs w:val="1"/>
                <w:color w:val="auto"/>
              </w:rPr>
            </w:pPr>
          </w:p>
        </w:tc>
      </w:tr>
      <w:tr>
        <w:trPr>
          <w:trHeight w:val="237"/>
        </w:trPr>
        <w:tc>
          <w:tcPr>
            <w:tcW w:w="798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107,868</w:t>
            </w:r>
          </w:p>
        </w:tc>
        <w:tc>
          <w:tcPr>
            <w:tcW w:w="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176,790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7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capitalization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107,868</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176,790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1658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firstLine="332"/>
        <w:spacing w:after="0" w:line="270" w:lineRule="auto"/>
        <w:tabs>
          <w:tab w:leader="none" w:pos="528" w:val="left"/>
        </w:tabs>
        <w:numPr>
          <w:ilvl w:val="0"/>
          <w:numId w:val="9"/>
        </w:numPr>
        <w:rPr>
          <w:rFonts w:ascii="Arial" w:cs="Arial" w:eastAsia="Arial" w:hAnsi="Arial"/>
          <w:sz w:val="13"/>
          <w:szCs w:val="13"/>
          <w:color w:val="auto"/>
        </w:rPr>
      </w:pPr>
      <w:r>
        <w:rPr>
          <w:rFonts w:ascii="Arial" w:cs="Arial" w:eastAsia="Arial" w:hAnsi="Arial"/>
          <w:sz w:val="13"/>
          <w:szCs w:val="13"/>
          <w:color w:val="auto"/>
        </w:rPr>
        <w:t>Each $0.50 increase (decrease) in the assumed public offering price of $24.57 per share, the closing price of our common stock on the Nasdaq Global Market on October 13, 2020, would increase (decrease) our cash, cash equivalents and investments, total stockholders’ equity and total capitalization by approximately $1.4 million, assuming that the assumed number of shares of our common stock offered by us remains the same and after deducting underwriting discounts and commissions and estimated offering expenses payable by us. Each increase (decrease) of 100,000 shares in the assumed number of shares offered by us in this public offering would increase (decrease) the amount of our cash, cash equivalents and investments, total stockholders’ equity and total capitalization by approximately $2.3 million, assuming the assumed public offering price of $24.57 per share, the closing price of our common stock on the Nasdaq Global Market on October 13, 2020, remains the same, after deducting underwriting discounts and commissions and estimated offering expenses payable by us.</w:t>
      </w: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28,612,451 shares outstanding as of as of June 30, 2020, and excludes:</w:t>
      </w:r>
    </w:p>
    <w:p>
      <w:pPr>
        <w:spacing w:after="0" w:line="10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2,652,683 shares of common stock underlying options outstanding at a weighted average exercise price of $8.24 per share;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1,333,501 shares of common stock underlying restricted stock units outstanding;</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118,122 shares of common stock underlying warrants outstanding at a weighted average exercise price of $13.76 per share;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3,629,995 shares of common stock available for future grant under our equity incentive plans, including our employee stock purchase plan.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above discussion assumes no exercise by the underwriters of their option to purchase additional shares of our common stock from us.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40"/>
          </w:cols>
          <w:pgMar w:left="320" w:top="99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and the as adjusted net tangible book value per share of our common stock after this offering. Net tangible book value on June 30, 2020, was approximately $107.8 million, or $3.77 per share. “Net tangible book value” is total assets minus the sum of liabilities, goodwill and intangible assets. “Net tangible book value per share” is net tangible book value divided by the total number of shares outstanding. Net tangible book value per share after this offering gives effect to the sale by us of 3,000,000 shares of our common stock in this offering at the assumed public offering price of $24.57 per share, the closing price of our common stock on the Nasdaq Global Market on October 13, 2020, after deducting underwriting discounts and commissions and estimated offering expenses payable by us. Our as adjusted net tangible book value as of June 30, 2020, after giving effect to this offering as described above, would have been approximately $176.8 million, or $5.59 per share of common stock. This represents an immediate increase in net tangible book value of $1.82 per share to our existing stockholders and an immediate dilution in net tangible book value of $18.98 per share to investors participating in this offering. The following table illustrates this dilution per share to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440" w:type="dxa"/>
        <w:tblCellMar>
          <w:top w:w="0" w:type="dxa"/>
          <w:left w:w="0" w:type="dxa"/>
          <w:bottom w:w="0" w:type="dxa"/>
          <w:right w:w="0" w:type="dxa"/>
        </w:tblCellMar>
      </w:tblPr>
      <w:tr>
        <w:trPr>
          <w:trHeight w:val="27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public offering price per share</w:t>
            </w:r>
          </w:p>
        </w:tc>
        <w:tc>
          <w:tcPr>
            <w:tcW w:w="2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70"/>
        </w:trPr>
        <w:tc>
          <w:tcPr>
            <w:tcW w:w="8580" w:type="dxa"/>
            <w:vAlign w:val="bottom"/>
          </w:tcPr>
          <w:p>
            <w:pPr>
              <w:ind w:left="200"/>
              <w:spacing w:after="0"/>
              <w:rPr>
                <w:sz w:val="20"/>
                <w:szCs w:val="20"/>
                <w:color w:val="auto"/>
              </w:rPr>
            </w:pPr>
            <w:r>
              <w:rPr>
                <w:rFonts w:ascii="Arial" w:cs="Arial" w:eastAsia="Arial" w:hAnsi="Arial"/>
                <w:sz w:val="18"/>
                <w:szCs w:val="18"/>
                <w:color w:val="auto"/>
              </w:rPr>
              <w:t>Net tangible book value per share as of June 30, 2020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 in net tangible book value per share attributable to new investors in offering</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As adjusted net tangible book value per share after giving effect to the offering</w:t>
            </w: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3"/>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w:t>
            </w:r>
          </w:p>
        </w:tc>
        <w:tc>
          <w:tcPr>
            <w:tcW w:w="22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underwriters’ option to purchase additional shares in this offering from us is exercised in full, the as adjusted net tangible book value would be $5.85 per share, and the dilution to new investors participating in this offering would be $18.72 per share.</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$0.50 increase (decrease) in the assumed public offering price of $24.57 per share, the closing price of our common stock on the Nasdaq Global Market on October 13, 2020, would increase (decrease) our as adjusted net tangible book value by approximately $1.4 million, or $0.04 per share, and dilution to new investors by $0.46 per share, assuming that the assumed number of shares of our common stock offered by us in this offering remains the same and after deducting underwriting discounts and commissions and estimated offering expenses payable by us. Each increase (decrease) of 100,000 shares in the number of shares offered by us in this offering would increase (decrease) the amount of our as adjusted net tangible book value by approximately $2.3 million, or $0.06 per share, and decrease (increase) dilution to new investors by $(0.06) per share, assuming the assumed public offering price of $24.57 per share remains the same, after deducting underwriting discounts and commissions and estimated offering expenses payable by us.</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28,612,451 shares outstanding as of June 30, 2020, and excludes:</w:t>
      </w:r>
    </w:p>
    <w:p>
      <w:pPr>
        <w:spacing w:after="0" w:line="10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2,652,683 shares of common stock underlying options outstanding at a weighted average exercise price of $8.24 per share;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1,333,501 shares of common stock underlying restricted stock units outstanding;</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118,122 shares of common stock underlying warrants outstanding at a weighted average exercise price of $13.76 per share;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3,629,995 shares of common stock available for future grant under our equity incentive plans, including our employee stock purchase plan.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discussion assumes no exercise by the underwriters of their option to purchase additional shares of common stock from us.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any outstanding options are exercised or restricted stock units vest,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40"/>
          </w:cols>
          <w:pgMar w:left="320" w:top="98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2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information regarding the number of shares of our common stock as of October 12, 2020, held for the account of, and the numbers of shares being sold, by the selling stockholder. Percentage ownership is based on 28,846,279 shares of our common stock outstanding on October 12, 2020.</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89"/>
              </w:rPr>
              <w:t>Shares Beneficially Owned</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Shares Beneficially Owned</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94"/>
              </w:rPr>
              <w:t>Prior to the Offering</w:t>
            </w:r>
          </w:p>
        </w:tc>
        <w:tc>
          <w:tcPr>
            <w:tcW w:w="240" w:type="dxa"/>
            <w:vAlign w:val="bottom"/>
          </w:tcPr>
          <w:p>
            <w:pPr>
              <w:spacing w:after="0"/>
              <w:rPr>
                <w:sz w:val="18"/>
                <w:szCs w:val="18"/>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7"/>
              </w:rPr>
              <w:t>Shares Being</w:t>
            </w:r>
          </w:p>
        </w:tc>
        <w:tc>
          <w:tcPr>
            <w:tcW w:w="2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After the Offering</w:t>
            </w: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3020" w:type="dxa"/>
            <w:vAlign w:val="bottom"/>
            <w:gridSpan w:val="3"/>
          </w:tcPr>
          <w:p>
            <w:pPr>
              <w:ind w:left="300"/>
              <w:spacing w:after="0"/>
              <w:rPr>
                <w:sz w:val="20"/>
                <w:szCs w:val="20"/>
                <w:color w:val="auto"/>
              </w:rPr>
            </w:pPr>
            <w:r>
              <w:rPr>
                <w:rFonts w:ascii="Arial" w:cs="Arial" w:eastAsia="Arial" w:hAnsi="Arial"/>
                <w:sz w:val="16"/>
                <w:szCs w:val="16"/>
                <w:b w:val="1"/>
                <w:bCs w:val="1"/>
                <w:color w:val="auto"/>
              </w:rPr>
              <w:t>Name of Selling Stockholder</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2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Offered</w:t>
            </w: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Number</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Percent</w:t>
            </w: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2580" w:type="dxa"/>
            <w:vAlign w:val="bottom"/>
            <w:gridSpan w:val="2"/>
            <w:shd w:val="clear" w:color="auto" w:fill="CCEEFF"/>
          </w:tcPr>
          <w:p>
            <w:pPr>
              <w:ind w:left="220"/>
              <w:spacing w:after="0" w:line="173" w:lineRule="exact"/>
              <w:rPr>
                <w:sz w:val="20"/>
                <w:szCs w:val="20"/>
                <w:color w:val="auto"/>
              </w:rPr>
            </w:pPr>
            <w:r>
              <w:rPr>
                <w:rFonts w:ascii="Arial" w:cs="Arial" w:eastAsia="Arial" w:hAnsi="Arial"/>
                <w:sz w:val="18"/>
                <w:szCs w:val="18"/>
                <w:color w:val="auto"/>
                <w:w w:val="90"/>
              </w:rPr>
              <w:t>Skyline Venture Partners V, L.P.</w:t>
            </w:r>
          </w:p>
        </w:tc>
        <w:tc>
          <w:tcPr>
            <w:tcW w:w="440" w:type="dxa"/>
            <w:vAlign w:val="bottom"/>
            <w:shd w:val="clear" w:color="auto" w:fill="CCEEFF"/>
          </w:tcPr>
          <w:p>
            <w:pPr>
              <w:spacing w:after="0"/>
              <w:rPr>
                <w:sz w:val="15"/>
                <w:szCs w:val="15"/>
                <w:color w:val="auto"/>
              </w:rPr>
            </w:pP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2,319,985</w:t>
            </w:r>
          </w:p>
        </w:tc>
        <w:tc>
          <w:tcPr>
            <w:tcW w:w="1560" w:type="dxa"/>
            <w:vAlign w:val="bottom"/>
            <w:gridSpan w:val="2"/>
            <w:vMerge w:val="restart"/>
            <w:shd w:val="clear" w:color="auto" w:fill="CCEEFF"/>
          </w:tcPr>
          <w:p>
            <w:pPr>
              <w:jc w:val="center"/>
              <w:ind w:left="130"/>
              <w:spacing w:after="0"/>
              <w:rPr>
                <w:sz w:val="20"/>
                <w:szCs w:val="20"/>
                <w:color w:val="auto"/>
              </w:rPr>
            </w:pPr>
            <w:r>
              <w:rPr>
                <w:rFonts w:ascii="Arial" w:cs="Arial" w:eastAsia="Arial" w:hAnsi="Arial"/>
                <w:sz w:val="18"/>
                <w:szCs w:val="18"/>
                <w:color w:val="auto"/>
                <w:w w:val="89"/>
              </w:rPr>
              <w:t>190,053</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17"/>
              <w:spacing w:after="0"/>
              <w:rPr>
                <w:sz w:val="20"/>
                <w:szCs w:val="20"/>
                <w:color w:val="auto"/>
              </w:rPr>
            </w:pPr>
            <w:r>
              <w:rPr>
                <w:rFonts w:ascii="Arial" w:cs="Arial" w:eastAsia="Arial" w:hAnsi="Arial"/>
                <w:sz w:val="18"/>
                <w:szCs w:val="18"/>
                <w:color w:val="auto"/>
              </w:rPr>
              <w:t>2,129,932</w:t>
            </w: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25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38"/>
        </w:trPr>
        <w:tc>
          <w:tcPr>
            <w:tcW w:w="800" w:type="dxa"/>
            <w:vAlign w:val="bottom"/>
          </w:tcPr>
          <w:p>
            <w:pPr>
              <w:spacing w:after="0"/>
              <w:rPr>
                <w:sz w:val="12"/>
                <w:szCs w:val="12"/>
                <w:color w:val="auto"/>
              </w:rPr>
            </w:pPr>
          </w:p>
        </w:tc>
        <w:tc>
          <w:tcPr>
            <w:tcW w:w="1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(1)</w:t>
            </w:r>
          </w:p>
        </w:tc>
        <w:tc>
          <w:tcPr>
            <w:tcW w:w="15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2380" w:type="dxa"/>
            <w:vAlign w:val="bottom"/>
            <w:tcBorders>
              <w:bottom w:val="single" w:sz="8" w:color="CCEEFF"/>
            </w:tcBorders>
            <w:vMerge w:val="continue"/>
            <w:shd w:val="clear" w:color="auto" w:fill="CCEEFF"/>
          </w:tcPr>
          <w:p>
            <w:pPr>
              <w:spacing w:after="0"/>
              <w:rPr>
                <w:sz w:val="12"/>
                <w:szCs w:val="12"/>
                <w:color w:val="auto"/>
              </w:rPr>
            </w:pPr>
          </w:p>
        </w:tc>
        <w:tc>
          <w:tcPr>
            <w:tcW w:w="156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20" w:hanging="652"/>
        <w:spacing w:after="0" w:line="275" w:lineRule="auto"/>
        <w:tabs>
          <w:tab w:leader="none" w:pos="3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John G. Freund, M.D., a member of our board of directors, is a Managing Director at Skyline Venture Partners and a Managing Director of Skyline Venture Partners V,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40"/>
          </w:cols>
          <w:pgMar w:left="320" w:top="114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5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pass-through or disregarded entities for U.S. federal income tax purposes (and investors therein);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 for U.S. federal income tax purposes;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who acquire our common stock through the exercise of a compensatory option or otherwise as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who have elected to or are required to mark securities to market; and</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synthetic security, or a constructive sale, or other risk reduction strategy or integrated investment.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40"/>
          </w:cols>
          <w:pgMar w:left="320" w:top="945" w:right="339" w:bottom="1440" w:gutter="0" w:footer="0" w:header="0"/>
        </w:sectPr>
      </w:pPr>
    </w:p>
    <w:bookmarkStart w:id="18" w:name="page19"/>
    <w:bookmarkEnd w:id="18"/>
    <w:p>
      <w:pPr>
        <w:jc w:val="both"/>
        <w:ind w:firstLine="324"/>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INCLUDING ANY RECENT OR PROPOSED CHANGE IN APPLICABLE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trust if (1) its administration is subject to the primary supervision of a U.S. court and one or more U.S. persons have the authority to control all substantial decisions of the trust or (2) that has a valid election in effect under applicable U.S. Treasury Regulations to be treated as a U.S. person.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 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40"/>
          </w:cols>
          <w:pgMar w:left="320" w:top="94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170" w:lineRule="exact"/>
        <w:rPr>
          <w:sz w:val="20"/>
          <w:szCs w:val="20"/>
          <w:color w:val="auto"/>
        </w:rPr>
      </w:pPr>
    </w:p>
    <w:p>
      <w:pPr>
        <w:ind w:left="66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during the taxable year of the disposition, and certain other requirements are met; or</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as defined for purposes of applicable Treasury Regulations.</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Determining whether we are a USRPHC depends on the fair market value of our U.S. real property interests relative to the fair market value of our worldwide real property interests and our other assets used or held for use in a trade or business. We believe that we are not currently and do not anticipate becoming a USRPHC for U.S. federal income tax purposes, although there can be no assurance we will not in the future become a USRPHC.</w:t>
      </w:r>
    </w:p>
    <w:p>
      <w:pPr>
        <w:spacing w:after="0" w:line="1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dividends on our common stock paid to such holder, the name and address of the recipient,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Dividends paid by us (or our paying agents) to a non-U.S. holder may also be subject to U.S. federal backup withholding, currently imposed at a rate of 24%. Backup withholding (and for gross proceeds of a disposition of our common stock, information reporting)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otherwise establishes an exemption. Backup withholding may apply if the payor has actual knowledge, or reason to know, that the holder is a U.S. person who is not an exempt recipient.</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40"/>
          </w:cols>
          <w:pgMar w:left="320" w:top="94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Foreign Accounts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FATCA imposes a U.S. federal withholding tax of 30% on certain payments including dividends on, and, subject to the discussion of certain proposed Treasury Regulations below, gross proceeds from the sale or disposition of, our common stock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including dividends on, and, subject to the discussion of certain proposed Treasury Regulations below, gross proceeds from the sale or disposition of, our common stock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Non-U.S. holders should consult their own tax advisors regarding the possible implications of FATCA on their investment in our common stock.</w:t>
      </w:r>
    </w:p>
    <w:p>
      <w:pPr>
        <w:spacing w:after="0" w:line="18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U.S. Treasury released proposed Treasury Regulations which, if finalized in their present form, would eliminate the federal withholding tax of 30% applicable to the gross proceeds of a sale or other disposition of our common stock. In its preamble to such proposed Treasury Regulations, the U.S. Treasury stated that taxpayers may generally rely on the proposed regulations until final regulations are issued.</w:t>
      </w:r>
    </w:p>
    <w:p>
      <w:pPr>
        <w:spacing w:after="0" w:line="161" w:lineRule="exact"/>
        <w:rPr>
          <w:sz w:val="20"/>
          <w:szCs w:val="20"/>
          <w:color w:val="auto"/>
        </w:rPr>
      </w:pPr>
    </w:p>
    <w:p>
      <w:pPr>
        <w:jc w:val="both"/>
        <w:ind w:right="320" w:firstLine="445"/>
        <w:spacing w:after="0" w:line="266" w:lineRule="auto"/>
        <w:rPr>
          <w:sz w:val="20"/>
          <w:szCs w:val="20"/>
          <w:color w:val="auto"/>
        </w:rPr>
      </w:pPr>
      <w:r>
        <w:rPr>
          <w:rFonts w:ascii="Arial" w:cs="Arial" w:eastAsia="Arial" w:hAnsi="Arial"/>
          <w:sz w:val="18"/>
          <w:szCs w:val="18"/>
          <w:b w:val="1"/>
          <w:bCs w:val="1"/>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40"/>
          </w:cols>
          <w:pgMar w:left="320" w:top="94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UNDERWRITING</w:t>
      </w:r>
    </w:p>
    <w:p>
      <w:pPr>
        <w:spacing w:after="0" w:line="2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BofA Securities, Inc. are acting as representatives, have severally agreed to purchase, and we and the selling stockholder have agreed to sell to the underwriters, severally and not jointly, the number of shares indicated below:</w:t>
      </w:r>
    </w:p>
    <w:p>
      <w:pPr>
        <w:spacing w:after="0" w:line="279" w:lineRule="exact"/>
        <w:rPr>
          <w:sz w:val="20"/>
          <w:szCs w:val="20"/>
          <w:color w:val="auto"/>
        </w:rPr>
      </w:pPr>
    </w:p>
    <w:tbl>
      <w:tblPr>
        <w:tblLayout w:type="fixed"/>
        <w:tblInd w:w="1920" w:type="dxa"/>
        <w:tblCellMar>
          <w:top w:w="0" w:type="dxa"/>
          <w:left w:w="0" w:type="dxa"/>
          <w:bottom w:w="0" w:type="dxa"/>
          <w:right w:w="0" w:type="dxa"/>
        </w:tblCellMar>
      </w:tblPr>
      <w:tr>
        <w:trPr>
          <w:trHeight w:val="210"/>
        </w:trPr>
        <w:tc>
          <w:tcPr>
            <w:tcW w:w="5960" w:type="dxa"/>
            <w:vAlign w:val="bottom"/>
            <w:gridSpan w:val="2"/>
          </w:tcPr>
          <w:p>
            <w:pPr>
              <w:ind w:left="2640"/>
              <w:spacing w:after="0"/>
              <w:rPr>
                <w:sz w:val="20"/>
                <w:szCs w:val="20"/>
                <w:color w:val="auto"/>
              </w:rPr>
            </w:pPr>
            <w:r>
              <w:rPr>
                <w:rFonts w:ascii="Arial" w:cs="Arial" w:eastAsia="Arial" w:hAnsi="Arial"/>
                <w:sz w:val="16"/>
                <w:szCs w:val="16"/>
                <w:b w:val="1"/>
                <w:bCs w:val="1"/>
                <w:color w:val="auto"/>
              </w:rPr>
              <w:t>Name</w:t>
            </w:r>
          </w:p>
        </w:tc>
        <w:tc>
          <w:tcPr>
            <w:tcW w:w="1460" w:type="dxa"/>
            <w:vAlign w:val="bottom"/>
          </w:tcPr>
          <w:p>
            <w:pPr>
              <w:jc w:val="right"/>
              <w:ind w:right="15"/>
              <w:spacing w:after="0"/>
              <w:rPr>
                <w:sz w:val="20"/>
                <w:szCs w:val="20"/>
                <w:color w:val="auto"/>
              </w:rPr>
            </w:pPr>
            <w:r>
              <w:rPr>
                <w:rFonts w:ascii="Arial" w:cs="Arial" w:eastAsia="Arial" w:hAnsi="Arial"/>
                <w:sz w:val="16"/>
                <w:szCs w:val="16"/>
                <w:b w:val="1"/>
                <w:bCs w:val="1"/>
                <w:color w:val="auto"/>
                <w:w w:val="97"/>
              </w:rPr>
              <w:t>Number of Shares</w:t>
            </w:r>
          </w:p>
        </w:tc>
      </w:tr>
      <w:tr>
        <w:trPr>
          <w:trHeight w:val="33"/>
        </w:trPr>
        <w:tc>
          <w:tcPr>
            <w:tcW w:w="56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46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Cantor Fitzgerald &amp; Co.</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46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Needham &amp; Company, LLC</w:t>
            </w:r>
          </w:p>
        </w:tc>
        <w:tc>
          <w:tcPr>
            <w:tcW w:w="1460" w:type="dxa"/>
            <w:vAlign w:val="bottom"/>
            <w:tcBorders>
              <w:bottom w:val="single" w:sz="8" w:color="CCEEFF"/>
            </w:tcBorders>
            <w:shd w:val="clear" w:color="auto" w:fill="CCEEFF"/>
          </w:tcPr>
          <w:p>
            <w:pPr>
              <w:spacing w:after="0"/>
              <w:rPr>
                <w:sz w:val="23"/>
                <w:szCs w:val="23"/>
                <w:color w:val="auto"/>
              </w:rPr>
            </w:pPr>
          </w:p>
        </w:tc>
      </w:tr>
      <w:tr>
        <w:trPr>
          <w:trHeight w:val="263"/>
        </w:trPr>
        <w:tc>
          <w:tcPr>
            <w:tcW w:w="5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3,190,053</w:t>
            </w:r>
          </w:p>
        </w:tc>
      </w:tr>
      <w:tr>
        <w:trPr>
          <w:trHeight w:val="21"/>
        </w:trPr>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17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 prospectus and part to certain dealers at a price that represents a concession not in excess of $__ per share under the public offering price. After the initial offering of the shares of common stock, the offering price and the other selling terms may from time to time be varied by the representatives.</w:t>
      </w:r>
    </w:p>
    <w:p>
      <w:pPr>
        <w:spacing w:after="0" w:line="14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478,507 additional shares of common stock from us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and the selling stockholder. These amounts are shown assuming both no exercise and full exercise of the underwriters’ option to purchase up to an additional 478,507 shares of common stock from us.</w:t>
      </w:r>
    </w:p>
    <w:p>
      <w:pPr>
        <w:spacing w:after="0" w:line="333"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8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auto"/>
              </w:rPr>
              <w:t>Total</w:t>
            </w:r>
          </w:p>
        </w:tc>
      </w:tr>
      <w:tr>
        <w:trPr>
          <w:trHeight w:val="33"/>
        </w:trPr>
        <w:tc>
          <w:tcPr>
            <w:tcW w:w="58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586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Per Share</w:t>
            </w:r>
          </w:p>
        </w:tc>
        <w:tc>
          <w:tcPr>
            <w:tcW w:w="1320" w:type="dxa"/>
            <w:vAlign w:val="bottom"/>
          </w:tcPr>
          <w:p>
            <w:pPr>
              <w:jc w:val="right"/>
              <w:ind w:right="72"/>
              <w:spacing w:after="0"/>
              <w:rPr>
                <w:sz w:val="20"/>
                <w:szCs w:val="20"/>
                <w:color w:val="auto"/>
              </w:rPr>
            </w:pPr>
            <w:r>
              <w:rPr>
                <w:rFonts w:ascii="Arial" w:cs="Arial" w:eastAsia="Arial" w:hAnsi="Arial"/>
                <w:sz w:val="16"/>
                <w:szCs w:val="16"/>
                <w:b w:val="1"/>
                <w:bCs w:val="1"/>
                <w:color w:val="auto"/>
              </w:rPr>
              <w:t>No Exercise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279"/>
              <w:spacing w:after="0"/>
              <w:rPr>
                <w:sz w:val="20"/>
                <w:szCs w:val="20"/>
                <w:color w:val="auto"/>
              </w:rPr>
            </w:pPr>
            <w:r>
              <w:rPr>
                <w:rFonts w:ascii="Arial" w:cs="Arial" w:eastAsia="Arial" w:hAnsi="Arial"/>
                <w:sz w:val="16"/>
                <w:szCs w:val="16"/>
                <w:b w:val="1"/>
                <w:bCs w:val="1"/>
                <w:color w:val="auto"/>
              </w:rPr>
              <w:t>Full Exercise</w:t>
            </w:r>
          </w:p>
        </w:tc>
      </w:tr>
      <w:tr>
        <w:trPr>
          <w:trHeight w:val="33"/>
        </w:trPr>
        <w:tc>
          <w:tcPr>
            <w:tcW w:w="5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00" w:type="dxa"/>
            <w:vAlign w:val="bottom"/>
            <w:tcBorders>
              <w:bottom w:val="single" w:sz="8" w:color="CCEEFF"/>
            </w:tcBorders>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gridSpan w:val="3"/>
            <w:shd w:val="clear" w:color="auto" w:fill="CCEEFF"/>
          </w:tcPr>
          <w:p>
            <w:pPr>
              <w:jc w:val="right"/>
              <w:ind w:right="1439"/>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300" w:type="dxa"/>
            <w:vAlign w:val="bottom"/>
          </w:tcPr>
          <w:p>
            <w:pPr>
              <w:jc w:val="right"/>
              <w:ind w:right="1112"/>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1320" w:type="dxa"/>
            <w:vAlign w:val="bottom"/>
          </w:tcPr>
          <w:p>
            <w:pPr>
              <w:jc w:val="right"/>
              <w:ind w:right="1112"/>
              <w:spacing w:after="0"/>
              <w:rPr>
                <w:sz w:val="20"/>
                <w:szCs w:val="20"/>
                <w:color w:val="auto"/>
              </w:rPr>
            </w:pPr>
            <w:r>
              <w:rPr>
                <w:rFonts w:ascii="Arial" w:cs="Arial" w:eastAsia="Arial" w:hAnsi="Arial"/>
                <w:sz w:val="18"/>
                <w:szCs w:val="18"/>
                <w:color w:val="auto"/>
                <w:w w:val="99"/>
              </w:rPr>
              <w:t>$</w:t>
            </w:r>
          </w:p>
        </w:tc>
        <w:tc>
          <w:tcPr>
            <w:tcW w:w="1980" w:type="dxa"/>
            <w:vAlign w:val="bottom"/>
            <w:gridSpan w:val="3"/>
          </w:tcPr>
          <w:p>
            <w:pPr>
              <w:jc w:val="right"/>
              <w:ind w:right="1439"/>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discounts  and  commissions  to  be  paid  by  the  selling</w:t>
            </w: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7"/>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w:t>
            </w:r>
          </w:p>
        </w:tc>
        <w:tc>
          <w:tcPr>
            <w:tcW w:w="1300" w:type="dxa"/>
            <w:vAlign w:val="bottom"/>
            <w:tcBorders>
              <w:bottom w:val="single" w:sz="8" w:color="CCEEFF"/>
            </w:tcBorders>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gridSpan w:val="3"/>
            <w:shd w:val="clear" w:color="auto" w:fill="CCEEFF"/>
          </w:tcPr>
          <w:p>
            <w:pPr>
              <w:jc w:val="right"/>
              <w:ind w:right="1439"/>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300" w:type="dxa"/>
            <w:vAlign w:val="bottom"/>
          </w:tcPr>
          <w:p>
            <w:pPr>
              <w:jc w:val="right"/>
              <w:ind w:right="1112"/>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1320" w:type="dxa"/>
            <w:vAlign w:val="bottom"/>
          </w:tcPr>
          <w:p>
            <w:pPr>
              <w:jc w:val="right"/>
              <w:ind w:right="1112"/>
              <w:spacing w:after="0"/>
              <w:rPr>
                <w:sz w:val="20"/>
                <w:szCs w:val="20"/>
                <w:color w:val="auto"/>
              </w:rPr>
            </w:pPr>
            <w:r>
              <w:rPr>
                <w:rFonts w:ascii="Arial" w:cs="Arial" w:eastAsia="Arial" w:hAnsi="Arial"/>
                <w:sz w:val="18"/>
                <w:szCs w:val="18"/>
                <w:color w:val="auto"/>
                <w:w w:val="99"/>
              </w:rPr>
              <w:t>$</w:t>
            </w:r>
          </w:p>
        </w:tc>
        <w:tc>
          <w:tcPr>
            <w:tcW w:w="1980" w:type="dxa"/>
            <w:vAlign w:val="bottom"/>
            <w:gridSpan w:val="3"/>
          </w:tcPr>
          <w:p>
            <w:pPr>
              <w:jc w:val="right"/>
              <w:ind w:right="1439"/>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w:t>
            </w:r>
          </w:p>
        </w:tc>
        <w:tc>
          <w:tcPr>
            <w:tcW w:w="13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1980" w:type="dxa"/>
            <w:vAlign w:val="bottom"/>
            <w:gridSpan w:val="3"/>
            <w:shd w:val="clear" w:color="auto" w:fill="CCEEFF"/>
          </w:tcPr>
          <w:p>
            <w:pPr>
              <w:jc w:val="right"/>
              <w:ind w:right="1439"/>
              <w:spacing w:after="0"/>
              <w:rPr>
                <w:sz w:val="20"/>
                <w:szCs w:val="20"/>
                <w:color w:val="auto"/>
              </w:rPr>
            </w:pPr>
            <w:r>
              <w:rPr>
                <w:rFonts w:ascii="Arial" w:cs="Arial" w:eastAsia="Arial" w:hAnsi="Arial"/>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but including expenses we are incurring in connection with the sale of the shares by the selling stockholder, are approximately $365,000. We have also agreed to reimburse the underwriters for expense relating to clearance of this offering with the Financial Industry Regulatory Authority up to $30,000.</w:t>
      </w:r>
    </w:p>
    <w:p>
      <w:pPr>
        <w:spacing w:after="0" w:line="18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ectPr>
          <w:pgSz w:w="11900" w:h="16838" w:orient="portrait"/>
          <w:cols w:equalWidth="0" w:num="1">
            <w:col w:w="11240"/>
          </w:cols>
          <w:pgMar w:left="320" w:top="999"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S-19</w:t>
      </w:r>
    </w:p>
    <w:p>
      <w:pPr>
        <w:sectPr>
          <w:pgSz w:w="11900" w:h="16838" w:orient="portrait"/>
          <w:cols w:equalWidth="0" w:num="1">
            <w:col w:w="11240"/>
          </w:cols>
          <w:pgMar w:left="320" w:top="999" w:right="339" w:bottom="1440" w:gutter="0" w:footer="0" w:header="0"/>
          <w:type w:val="continuous"/>
        </w:sectPr>
      </w:pPr>
    </w:p>
    <w:bookmarkStart w:id="22" w:name="page23"/>
    <w:bookmarkEnd w:id="22"/>
    <w:p>
      <w:pPr>
        <w:ind w:left="420"/>
        <w:spacing w:after="0"/>
        <w:rPr>
          <w:sz w:val="20"/>
          <w:szCs w:val="20"/>
          <w:color w:val="auto"/>
        </w:rPr>
      </w:pPr>
      <w:r>
        <w:rPr>
          <w:rFonts w:ascii="Arial" w:cs="Arial" w:eastAsia="Arial" w:hAnsi="Arial"/>
          <w:sz w:val="18"/>
          <w:szCs w:val="18"/>
          <w:color w:val="auto"/>
        </w:rPr>
        <w:t>Our common stock is listed on the Nasdaq Global Market under the symbol “SIBN.”</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and our directors, officers and the selling stockholder have agreed that, without the prior written consent of Morgan Stanley &amp; Co. LLC and BofA Securities, Inc. on behalf of the underwriters, we will not and they will not publicly disclose an intention to, during the period ending 90 days (30 days in the case of the selling stockholder) after the date of this prospectus (the “restricted period”):</w:t>
      </w:r>
    </w:p>
    <w:p>
      <w:pPr>
        <w:spacing w:after="0" w:line="184" w:lineRule="exact"/>
        <w:rPr>
          <w:sz w:val="20"/>
          <w:szCs w:val="20"/>
          <w:color w:val="auto"/>
        </w:rPr>
      </w:pPr>
    </w:p>
    <w:p>
      <w:pPr>
        <w:jc w:val="both"/>
        <w:ind w:left="740" w:hanging="327"/>
        <w:spacing w:after="0" w:line="263" w:lineRule="auto"/>
        <w:tabs>
          <w:tab w:leader="none" w:pos="7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183" w:lineRule="exact"/>
        <w:rPr>
          <w:rFonts w:ascii="Arial" w:cs="Arial" w:eastAsia="Arial" w:hAnsi="Arial"/>
          <w:sz w:val="18"/>
          <w:szCs w:val="18"/>
          <w:color w:val="auto"/>
        </w:rPr>
      </w:pPr>
    </w:p>
    <w:p>
      <w:pPr>
        <w:jc w:val="both"/>
        <w:ind w:left="740" w:hanging="327"/>
        <w:spacing w:after="0" w:line="291" w:lineRule="auto"/>
        <w:tabs>
          <w:tab w:leader="none" w:pos="7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 whether any such transaction described above is to be settled by delivery of common stock or such other securities, in cash or otherwise. In addition, we have agreed that we will not file any registration statement with the Securities and Exchange Commission relating to the offering of any shares of common stock or any securities convertible into or exercisable or exchangeable for common stock, subject to certain exceptions, and each such other person agrees that, without the prior written consent of Morgan Stanley &amp; Co. LLC and BofA Securities, Inc. on behalf of the underwriters,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225" w:lineRule="exact"/>
        <w:rPr>
          <w:sz w:val="20"/>
          <w:szCs w:val="20"/>
          <w:color w:val="auto"/>
        </w:rPr>
      </w:pPr>
    </w:p>
    <w:p>
      <w:pPr>
        <w:jc w:val="both"/>
        <w:ind w:left="740" w:hanging="327"/>
        <w:spacing w:after="0" w:line="286" w:lineRule="auto"/>
        <w:tabs>
          <w:tab w:leader="none" w:pos="7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transactions by a security holder relating to shares of common stock or other securities acquired in open market transactions after the closing of this offering; provided that no filing under Section 16(a) of the Exchange Act is required or voluntarily made during the restricted period in connection with subsequent sales of common stock or other securities acquired in such open market transactions;</w:t>
      </w:r>
    </w:p>
    <w:p>
      <w:pPr>
        <w:spacing w:after="0" w:line="165" w:lineRule="exact"/>
        <w:rPr>
          <w:rFonts w:ascii="Arial" w:cs="Arial" w:eastAsia="Arial" w:hAnsi="Arial"/>
          <w:sz w:val="17"/>
          <w:szCs w:val="17"/>
          <w:color w:val="auto"/>
        </w:rPr>
      </w:pPr>
    </w:p>
    <w:p>
      <w:pPr>
        <w:jc w:val="both"/>
        <w:ind w:left="740" w:hanging="327"/>
        <w:spacing w:after="0" w:line="291" w:lineRule="auto"/>
        <w:tabs>
          <w:tab w:leader="none" w:pos="7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as a bona fide gift, (ii) 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166" w:lineRule="exact"/>
        <w:rPr>
          <w:rFonts w:ascii="Arial" w:cs="Arial" w:eastAsia="Arial" w:hAnsi="Arial"/>
          <w:sz w:val="16"/>
          <w:szCs w:val="16"/>
          <w:color w:val="auto"/>
        </w:rPr>
      </w:pPr>
    </w:p>
    <w:p>
      <w:pPr>
        <w:jc w:val="both"/>
        <w:ind w:left="740" w:hanging="327"/>
        <w:spacing w:after="0" w:line="279" w:lineRule="auto"/>
        <w:tabs>
          <w:tab w:leader="none" w:pos="7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71" w:lineRule="exact"/>
        <w:rPr>
          <w:rFonts w:ascii="Arial" w:cs="Arial" w:eastAsia="Arial" w:hAnsi="Arial"/>
          <w:sz w:val="17"/>
          <w:szCs w:val="17"/>
          <w:color w:val="auto"/>
        </w:rPr>
      </w:pPr>
    </w:p>
    <w:p>
      <w:pPr>
        <w:jc w:val="both"/>
        <w:ind w:left="740" w:hanging="327"/>
        <w:spacing w:after="0" w:line="291" w:lineRule="auto"/>
        <w:tabs>
          <w:tab w:leader="none" w:pos="7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 (i) such plan does not provide for the transfer of common stock during the restricted period; provided, however, that Jeffrey W. Dunn, our President, Chief Executive Officer and Chairman, shall be permitted to establish a 10b5-1 plan and transfer shares of our common stock under such 10b5-1 plan during the restricted period so long as 30 calendar days have elapsed between the establishment of such 10b5-1 plan and the first transfer of shares of common stock pursuant to such plan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166" w:lineRule="exact"/>
        <w:rPr>
          <w:rFonts w:ascii="Arial" w:cs="Arial" w:eastAsia="Arial" w:hAnsi="Arial"/>
          <w:sz w:val="16"/>
          <w:szCs w:val="16"/>
          <w:color w:val="auto"/>
        </w:rPr>
      </w:pPr>
    </w:p>
    <w:p>
      <w:pPr>
        <w:jc w:val="both"/>
        <w:ind w:left="740" w:hanging="327"/>
        <w:spacing w:after="0" w:line="275" w:lineRule="auto"/>
        <w:tabs>
          <w:tab w:leader="none" w:pos="7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 (ii) 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320" w:top="989" w:right="339" w:bottom="1440" w:gutter="0" w:footer="0" w:header="0"/>
        </w:sectPr>
      </w:pPr>
    </w:p>
    <w:bookmarkStart w:id="23" w:name="page24"/>
    <w:bookmarkEnd w:id="23"/>
    <w:p>
      <w:pPr>
        <w:jc w:val="both"/>
        <w:ind w:left="740" w:hanging="327"/>
        <w:spacing w:after="0" w:line="286" w:lineRule="auto"/>
        <w:tabs>
          <w:tab w:leader="none" w:pos="7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be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173" w:lineRule="exact"/>
        <w:rPr>
          <w:rFonts w:ascii="Arial" w:cs="Arial" w:eastAsia="Arial" w:hAnsi="Arial"/>
          <w:sz w:val="16"/>
          <w:szCs w:val="16"/>
          <w:color w:val="auto"/>
        </w:rPr>
      </w:pPr>
    </w:p>
    <w:p>
      <w:pPr>
        <w:jc w:val="both"/>
        <w:ind w:left="740" w:hanging="327"/>
        <w:spacing w:after="0" w:line="255"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be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192" w:lineRule="exact"/>
        <w:rPr>
          <w:rFonts w:ascii="Arial" w:cs="Arial" w:eastAsia="Arial" w:hAnsi="Arial"/>
          <w:sz w:val="18"/>
          <w:szCs w:val="18"/>
          <w:color w:val="auto"/>
        </w:rPr>
      </w:pPr>
    </w:p>
    <w:p>
      <w:pPr>
        <w:jc w:val="both"/>
        <w:ind w:left="740" w:hanging="327"/>
        <w:spacing w:after="0" w:line="275" w:lineRule="auto"/>
        <w:tabs>
          <w:tab w:leader="none" w:pos="7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 (iii) the transferor does not otherwise voluntarily effect any other public filing or report regarding such transfers during the restricted period;</w:t>
      </w:r>
    </w:p>
    <w:p>
      <w:pPr>
        <w:spacing w:after="0" w:line="176" w:lineRule="exact"/>
        <w:rPr>
          <w:rFonts w:ascii="Arial" w:cs="Arial" w:eastAsia="Arial" w:hAnsi="Arial"/>
          <w:sz w:val="17"/>
          <w:szCs w:val="17"/>
          <w:color w:val="auto"/>
        </w:rPr>
      </w:pPr>
    </w:p>
    <w:p>
      <w:pPr>
        <w:jc w:val="both"/>
        <w:ind w:left="740" w:right="20" w:hanging="327"/>
        <w:spacing w:after="0" w:line="259"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sale or transfer of shares of common stock under a plan established pursuant to Rule 10b5-1 under the Exchange Act (a “10b5-1 Plan”) that is existing prior to this offering; provided, that, to the extent a public report, filing or announcement under the Exchange Act, if any, is required by, or voluntarily made by or on behalf of, such person or us regarding such transfer, such report, filing or announcement shall include a statement that such transfer is in accordance with an established 10b5-1 Plan;</w:t>
      </w:r>
    </w:p>
    <w:p>
      <w:pPr>
        <w:spacing w:after="0" w:line="186" w:lineRule="exact"/>
        <w:rPr>
          <w:rFonts w:ascii="Arial" w:cs="Arial" w:eastAsia="Arial" w:hAnsi="Arial"/>
          <w:sz w:val="18"/>
          <w:szCs w:val="18"/>
          <w:color w:val="auto"/>
        </w:rPr>
      </w:pPr>
    </w:p>
    <w:p>
      <w:pPr>
        <w:jc w:val="both"/>
        <w:ind w:left="740" w:hanging="327"/>
        <w:spacing w:after="0" w:line="273" w:lineRule="auto"/>
        <w:tabs>
          <w:tab w:leader="none" w:pos="7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sale of shares of common stock solely in connection with the payment of taxes due with respect to the vesting of restricted stock or restricted stock units granted under a stock incentive plan or pursuant to a contractual employment arrangement described or incorporated by reference in this prospectus, insofar as such restricted stock or restricted stock units are outstanding as of the date of the prospectus,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filing under Section 16(a) of the Exchange Act shall be voluntarily made during the restricted period and any filing under Section 16(a) of the Exchange Act that is required to be made shall include a note indicating that such sale was solely in connection with the payment of taxes due with respect to the vesting of such restricted stock or restricted stock units;</w:t>
      </w:r>
    </w:p>
    <w:p>
      <w:pPr>
        <w:spacing w:after="0" w:line="177" w:lineRule="exact"/>
        <w:rPr>
          <w:rFonts w:ascii="Arial" w:cs="Arial" w:eastAsia="Arial" w:hAnsi="Arial"/>
          <w:sz w:val="17"/>
          <w:szCs w:val="17"/>
          <w:color w:val="auto"/>
        </w:rPr>
      </w:pPr>
    </w:p>
    <w:p>
      <w:pPr>
        <w:jc w:val="both"/>
        <w:ind w:left="740" w:hanging="327"/>
        <w:spacing w:after="0" w:line="259"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we may the sell or issue shares of our common stock not to exceed 5% of our outstanding common stock in connection with our acquisition of one or more businesses, products or technologies (whether by means of merger, stock purchase, asset purchase or otherwise) or in connection with joint ventures, commercial relationships or other strategic transactions, </w:t>
      </w:r>
      <w:r>
        <w:rPr>
          <w:rFonts w:ascii="Arial" w:cs="Arial" w:eastAsia="Arial" w:hAnsi="Arial"/>
          <w:sz w:val="18"/>
          <w:szCs w:val="18"/>
          <w:i w:val="1"/>
          <w:iCs w:val="1"/>
          <w:color w:val="auto"/>
        </w:rPr>
        <w:t>provided</w:t>
      </w:r>
      <w:r>
        <w:rPr>
          <w:rFonts w:ascii="Arial" w:cs="Arial" w:eastAsia="Arial" w:hAnsi="Arial"/>
          <w:sz w:val="18"/>
          <w:szCs w:val="18"/>
          <w:color w:val="auto"/>
        </w:rPr>
        <w:t>, that the recipient agrees to enter into a lockup agreement similar to the lockup agreements entered into by our directors and officers; or</w:t>
      </w:r>
    </w:p>
    <w:p>
      <w:pPr>
        <w:spacing w:after="0" w:line="186"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Morgan Stanley &amp; Co. LLC and BofA Securities, Inc., in their sole discretion, may release the common stock and other securities subject to the lock-up agreements described above in whole or in part at any time.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40"/>
          </w:cols>
          <w:pgMar w:left="320" w:top="989" w:right="339" w:bottom="1440" w:gutter="0" w:footer="0" w:header="0"/>
        </w:sectPr>
      </w:pPr>
    </w:p>
    <w:bookmarkStart w:id="24" w:name="page25"/>
    <w:bookmarkEnd w:id="24"/>
    <w:p>
      <w:pPr>
        <w:jc w:val="both"/>
        <w:ind w:firstLine="405"/>
        <w:spacing w:after="0" w:line="269" w:lineRule="auto"/>
        <w:rPr>
          <w:sz w:val="20"/>
          <w:szCs w:val="20"/>
          <w:color w:val="auto"/>
        </w:rPr>
      </w:pPr>
      <w:r>
        <w:rPr>
          <w:rFonts w:ascii="Arial" w:cs="Arial" w:eastAsia="Arial" w:hAnsi="Arial"/>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option to purchase additional shares from us.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the selling stockholder and the underwriters have agreed to indemnify each other against certain liabilities, including liabilities under the Securities Act.</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22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relation to each Member State of the European Economic Area and the United Kingdom (each, a “Member State”), an offer to the public of any shares of our common stock may not be made in that Member State, except that an offer to the public in that Member State of any shares of our common stock may be made at any time under the following exemptions under the Prospectus Regulation, if they have been implemented in that Member State:</w:t>
      </w:r>
    </w:p>
    <w:p>
      <w:pPr>
        <w:spacing w:after="0" w:line="149" w:lineRule="exact"/>
        <w:rPr>
          <w:sz w:val="20"/>
          <w:szCs w:val="20"/>
          <w:color w:val="auto"/>
        </w:rPr>
      </w:pPr>
    </w:p>
    <w:p>
      <w:pPr>
        <w:ind w:left="1000" w:hanging="344"/>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25" w:lineRule="exact"/>
        <w:rPr>
          <w:rFonts w:ascii="Arial" w:cs="Arial" w:eastAsia="Arial" w:hAnsi="Arial"/>
          <w:sz w:val="18"/>
          <w:szCs w:val="18"/>
          <w:color w:val="auto"/>
        </w:rPr>
      </w:pPr>
    </w:p>
    <w:p>
      <w:pPr>
        <w:ind w:left="1300" w:hanging="644"/>
        <w:spacing w:after="0" w:line="277" w:lineRule="auto"/>
        <w:tabs>
          <w:tab w:leader="none" w:pos="11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Regulation), as permitted under the Prospectus Regulation, subject to obtaining the prior consent of the representatives for any such offer; or</w:t>
      </w:r>
    </w:p>
    <w:p>
      <w:pPr>
        <w:spacing w:after="0" w:line="170" w:lineRule="exact"/>
        <w:rPr>
          <w:rFonts w:ascii="Arial" w:cs="Arial" w:eastAsia="Arial" w:hAnsi="Arial"/>
          <w:sz w:val="18"/>
          <w:szCs w:val="18"/>
          <w:color w:val="auto"/>
        </w:rPr>
      </w:pPr>
    </w:p>
    <w:p>
      <w:pPr>
        <w:ind w:left="1300" w:hanging="644"/>
        <w:spacing w:after="0" w:line="263" w:lineRule="auto"/>
        <w:tabs>
          <w:tab w:leader="none" w:pos="11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of our common stock shall result in a requirement for the publication by us or any underwriter of a prospectus pursuant to Article 3 of the Prospectus Regulation, or supplement a prospectus pursuant to Article 23 of the Prospectus Regulation.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40"/>
          </w:cols>
          <w:pgMar w:left="320" w:top="989" w:right="339" w:bottom="1440" w:gutter="0" w:footer="0" w:header="0"/>
        </w:sectPr>
      </w:pPr>
    </w:p>
    <w:bookmarkStart w:id="25" w:name="page26"/>
    <w:bookmarkEnd w:id="25"/>
    <w:p>
      <w:pPr>
        <w:jc w:val="both"/>
        <w:ind w:firstLine="648"/>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Regulation in that Member State. For the purposes of this provision, the expression “Prospectus Regulation” means Regulation (EU) 2017/1129.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1300" w:hanging="644"/>
        <w:spacing w:after="0" w:line="259" w:lineRule="auto"/>
        <w:tabs>
          <w:tab w:leader="none" w:pos="11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186" w:lineRule="exact"/>
        <w:rPr>
          <w:rFonts w:ascii="Arial" w:cs="Arial" w:eastAsia="Arial" w:hAnsi="Arial"/>
          <w:sz w:val="18"/>
          <w:szCs w:val="18"/>
          <w:color w:val="auto"/>
        </w:rPr>
      </w:pPr>
    </w:p>
    <w:p>
      <w:pPr>
        <w:ind w:left="1300" w:right="20" w:hanging="644"/>
        <w:spacing w:after="0" w:line="277" w:lineRule="auto"/>
        <w:tabs>
          <w:tab w:leader="none" w:pos="10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S-23</w:t>
      </w:r>
    </w:p>
    <w:p>
      <w:pPr>
        <w:sectPr>
          <w:pgSz w:w="11900" w:h="16838" w:orient="portrait"/>
          <w:cols w:equalWidth="0" w:num="1">
            <w:col w:w="11240"/>
          </w:cols>
          <w:pgMar w:left="320" w:top="989"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40"/>
          </w:cols>
          <w:pgMar w:left="320" w:top="985" w:right="3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225" w:lineRule="exact"/>
        <w:rPr>
          <w:sz w:val="20"/>
          <w:szCs w:val="20"/>
          <w:color w:val="auto"/>
        </w:rPr>
      </w:pPr>
    </w:p>
    <w:p>
      <w:pPr>
        <w:ind w:left="900" w:hanging="487"/>
        <w:spacing w:after="0" w:line="277" w:lineRule="auto"/>
        <w:tabs>
          <w:tab w:leader="none" w:pos="82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jc w:val="both"/>
        <w:ind w:left="900" w:hanging="487"/>
        <w:spacing w:after="0" w:line="279" w:lineRule="auto"/>
        <w:tabs>
          <w:tab w:leader="none" w:pos="842"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the sole purpose of which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17" w:lineRule="exact"/>
        <w:rPr>
          <w:rFonts w:ascii="Arial" w:cs="Arial" w:eastAsia="Arial" w:hAnsi="Arial"/>
          <w:sz w:val="17"/>
          <w:szCs w:val="17"/>
          <w:color w:val="auto"/>
        </w:rPr>
      </w:pPr>
    </w:p>
    <w:p>
      <w:pPr>
        <w:ind w:left="1300" w:hanging="482"/>
        <w:spacing w:after="0" w:line="277" w:lineRule="auto"/>
        <w:tabs>
          <w:tab w:leader="none" w:pos="1197"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16" w:lineRule="exact"/>
        <w:rPr>
          <w:rFonts w:ascii="Arial" w:cs="Arial" w:eastAsia="Arial" w:hAnsi="Arial"/>
          <w:sz w:val="18"/>
          <w:szCs w:val="18"/>
          <w:color w:val="auto"/>
        </w:rPr>
      </w:pPr>
    </w:p>
    <w:p>
      <w:pPr>
        <w:ind w:left="1200" w:hanging="382"/>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1200" w:hanging="382"/>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1200" w:hanging="382"/>
        <w:spacing w:after="0"/>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1300" w:hanging="482"/>
        <w:spacing w:after="0" w:line="277" w:lineRule="auto"/>
        <w:tabs>
          <w:tab w:leader="none" w:pos="13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Singapore SFA Product Classification - In connection with Section 309B of the SFA and the Securities and Futures (Capital Markets Products) Regulations 2018 (the ‘‘CMP Regulations 2018’’), unless otherwise specified before an offer of shares of our common stock, we have determined, and hereby notify, all relevant persons (as defined in Section 309A(1) of the SFA), that shares of our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Cooley LLP will pass upon the validity of the securities offered by this prospectus supplement. Latham &amp; Watkins LLP is representing the underwriters in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This prospectus supplement is part of the registration statement on Form S-3 we filed with the SEC under the Securities Act and does not contain all the information set forth in the registration statement. Whenever a reference is made in this prospectus supplement or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7"/>
          <w:szCs w:val="17"/>
          <w:u w:val="single" w:color="auto"/>
          <w:color w:val="0000FF"/>
        </w:rPr>
        <w:t>www.sec.gov</w:t>
      </w:r>
      <w:r>
        <w:rPr>
          <w:rFonts w:ascii="Arial" w:cs="Arial" w:eastAsia="Arial" w:hAnsi="Arial"/>
          <w:sz w:val="17"/>
          <w:szCs w:val="17"/>
          <w:color w:val="auto"/>
        </w:rPr>
        <w:t>. The information on the SEC’s web site is not part of this prospectus supplement or the accompanying prospectus, and any references to this web site or any other web site are inactive textual references only.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40"/>
          </w:cols>
          <w:pgMar w:left="320" w:top="989"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accompanying prospectus. Information in this prospectus supplement supersedes information in the accompanying prospectus supplement or incorporated by reference that we filed with the SEC prior to the date of this prospectus supplement, while information that we file later with the SEC will automatically update and supersede the information in this prospectus supplement and accompanying prospectus. We incorporate by reference into this prospectus supplement and accompanying prospectus and the registration statement of which this prospectus is a part the information or documents listed below that we have filed with the SEC (Commission File No. 001-38701):</w:t>
      </w:r>
    </w:p>
    <w:p>
      <w:pPr>
        <w:spacing w:after="0" w:line="17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w:t>
      </w:r>
      <w:hyperlink r:id="rId18">
        <w:r>
          <w:rPr>
            <w:rFonts w:ascii="Arial" w:cs="Arial" w:eastAsia="Arial" w:hAnsi="Arial"/>
            <w:sz w:val="18"/>
            <w:szCs w:val="18"/>
            <w:u w:val="single" w:color="auto"/>
            <w:color w:val="0000FF"/>
          </w:rPr>
          <w:t>Annual Report on Form 10-K, for the year ended December 31, 2019</w:t>
        </w:r>
      </w:hyperlink>
      <w:r>
        <w:rPr>
          <w:rFonts w:ascii="Arial" w:cs="Arial" w:eastAsia="Arial" w:hAnsi="Arial"/>
          <w:sz w:val="18"/>
          <w:szCs w:val="18"/>
          <w:color w:val="auto"/>
        </w:rPr>
        <w:t>, filed with the SEC on March 11, 2020;</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0000FF"/>
        </w:rPr>
      </w:pPr>
      <w:hyperlink r:id="rId19">
        <w:r>
          <w:rPr>
            <w:rFonts w:ascii="Arial" w:cs="Arial" w:eastAsia="Arial" w:hAnsi="Arial"/>
            <w:sz w:val="18"/>
            <w:szCs w:val="18"/>
            <w:color w:val="auto"/>
          </w:rPr>
          <w:t xml:space="preserve">our </w:t>
        </w:r>
        <w:r>
          <w:rPr>
            <w:rFonts w:ascii="Arial" w:cs="Arial" w:eastAsia="Arial" w:hAnsi="Arial"/>
            <w:sz w:val="18"/>
            <w:szCs w:val="18"/>
            <w:u w:val="single" w:color="auto"/>
            <w:color w:val="0000FF"/>
          </w:rPr>
          <w:t>Quarterly Report on Form 10-Q, for the quarter ended March 31, 2020</w:t>
        </w:r>
        <w:r>
          <w:rPr>
            <w:rFonts w:ascii="Arial" w:cs="Arial" w:eastAsia="Arial" w:hAnsi="Arial"/>
            <w:sz w:val="18"/>
            <w:szCs w:val="18"/>
            <w:color w:val="auto"/>
          </w:rPr>
          <w:t xml:space="preserve">, filed with the SEC on May 5, 2020, as amended by our </w:t>
        </w:r>
        <w:r>
          <w:rPr>
            <w:rFonts w:ascii="Arial" w:cs="Arial" w:eastAsia="Arial" w:hAnsi="Arial"/>
            <w:sz w:val="18"/>
            <w:szCs w:val="18"/>
            <w:u w:val="single" w:color="auto"/>
            <w:color w:val="0000FF"/>
          </w:rPr>
          <w:t>Amendment</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FF"/>
          </w:rPr>
          <w:t>No. 1 to Quarterly Report on Form 10-Q/A</w:t>
        </w:r>
        <w:r>
          <w:rPr>
            <w:rFonts w:ascii="Arial" w:cs="Arial" w:eastAsia="Arial" w:hAnsi="Arial"/>
            <w:sz w:val="18"/>
            <w:szCs w:val="18"/>
            <w:color w:val="0000FF"/>
          </w:rPr>
          <w:t xml:space="preserve"> </w:t>
        </w:r>
        <w:r>
          <w:rPr>
            <w:rFonts w:ascii="Arial" w:cs="Arial" w:eastAsia="Arial" w:hAnsi="Arial"/>
            <w:sz w:val="18"/>
            <w:szCs w:val="18"/>
            <w:color w:val="000000"/>
          </w:rPr>
          <w:t>filed with the SEC on June 17, 2020;</w:t>
        </w:r>
      </w:hyperlink>
    </w:p>
    <w:p>
      <w:pPr>
        <w:spacing w:after="0" w:line="170" w:lineRule="exact"/>
        <w:rPr>
          <w:rFonts w:ascii="Arial" w:cs="Arial" w:eastAsia="Arial" w:hAnsi="Arial"/>
          <w:sz w:val="18"/>
          <w:szCs w:val="18"/>
          <w:color w:val="0000FF"/>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w:t>
      </w:r>
      <w:hyperlink r:id="rId20">
        <w:r>
          <w:rPr>
            <w:rFonts w:ascii="Arial" w:cs="Arial" w:eastAsia="Arial" w:hAnsi="Arial"/>
            <w:sz w:val="18"/>
            <w:szCs w:val="18"/>
            <w:u w:val="single" w:color="auto"/>
            <w:color w:val="0000FF"/>
          </w:rPr>
          <w:t>Quarterly Report on Form 10-Q, for the quarter ended June 30, 2020</w:t>
        </w:r>
      </w:hyperlink>
      <w:r>
        <w:rPr>
          <w:rFonts w:ascii="Arial" w:cs="Arial" w:eastAsia="Arial" w:hAnsi="Arial"/>
          <w:sz w:val="18"/>
          <w:szCs w:val="18"/>
          <w:color w:val="auto"/>
        </w:rPr>
        <w:t>, filed with the SEC on August 4, 2020;</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0000FF"/>
        </w:rPr>
      </w:pPr>
      <w:hyperlink r:id="rId21">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FF"/>
          </w:rPr>
          <w:t>July 17,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June 17,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June 1,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April 2,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March 30,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January 24,</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2020</w:t>
        </w:r>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22">
        <w:r>
          <w:rPr>
            <w:rFonts w:ascii="Arial" w:cs="Arial" w:eastAsia="Arial" w:hAnsi="Arial"/>
            <w:sz w:val="18"/>
            <w:szCs w:val="18"/>
            <w:u w:val="single" w:color="auto"/>
            <w:color w:val="0000FF"/>
          </w:rPr>
          <w:t>January 3, 2020</w:t>
        </w:r>
      </w:hyperlink>
      <w:hyperlink r:id="rId21">
        <w:r>
          <w:rPr>
            <w:rFonts w:ascii="Arial" w:cs="Arial" w:eastAsia="Arial" w:hAnsi="Arial"/>
            <w:sz w:val="18"/>
            <w:szCs w:val="18"/>
            <w:color w:val="000000"/>
          </w:rPr>
          <w:t>;</w:t>
        </w:r>
      </w:hyperlink>
    </w:p>
    <w:p>
      <w:pPr>
        <w:spacing w:after="0" w:line="170" w:lineRule="exact"/>
        <w:rPr>
          <w:rFonts w:ascii="Arial" w:cs="Arial" w:eastAsia="Arial" w:hAnsi="Arial"/>
          <w:sz w:val="18"/>
          <w:szCs w:val="18"/>
          <w:color w:val="0000FF"/>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w:t>
      </w:r>
      <w:hyperlink r:id="rId23">
        <w:r>
          <w:rPr>
            <w:rFonts w:ascii="Arial" w:cs="Arial" w:eastAsia="Arial" w:hAnsi="Arial"/>
            <w:sz w:val="18"/>
            <w:szCs w:val="18"/>
            <w:u w:val="single" w:color="auto"/>
            <w:color w:val="0000FF"/>
          </w:rPr>
          <w:t>Definitive Proxy Statement on Schedule 14A, filed on April 22,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(but only with respect to information required by Part III of our Annual Report on Form 10-K for the year ended December 31, 2019, which information shall update and supersede information included in Part III of our Annual Report on Form 10-K for the year ended December 31, 2019); and</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24">
        <w:r>
          <w:rPr>
            <w:rFonts w:ascii="Arial" w:cs="Arial" w:eastAsia="Arial" w:hAnsi="Arial"/>
            <w:sz w:val="18"/>
            <w:szCs w:val="18"/>
            <w:u w:val="single" w:color="auto"/>
            <w:color w:val="0000FF"/>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170" w:lineRule="exact"/>
        <w:rPr>
          <w:rFonts w:ascii="Arial" w:cs="Arial" w:eastAsia="Arial" w:hAnsi="Arial"/>
          <w:sz w:val="18"/>
          <w:szCs w:val="18"/>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accompanying prospectus, which will become a part of this prospectus supplement and accompanying prospectus from the date that such documents are filed with the SEC. Information in such future filings updates and supplements the information provided in this prospectus supplement and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supplement and accompanying prospectus is delivered, upon written or oral request, a copy of any or all of the documents incorporated by reference into this prospectus supplement and accompanying prospectus but not delivered with the prospectus supplement and accompanying prospectus, including exhibits that are specifically incorporated by reference into such documents. You should direct any requests for documents to:</w:t>
      </w:r>
    </w:p>
    <w:p>
      <w:pPr>
        <w:spacing w:after="0" w:line="20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SI-BONE, Inc.</w:t>
      </w:r>
    </w:p>
    <w:p>
      <w:pPr>
        <w:spacing w:after="0" w:line="2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471 El Camino Real, Suite 101</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Santa Clara, California 95050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ind w:left="5500" w:hanging="438"/>
        <w:spacing w:after="0" w:line="207" w:lineRule="exact"/>
        <w:tabs>
          <w:tab w:leader="none" w:pos="5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S-26</w:t>
      </w:r>
    </w:p>
    <w:p>
      <w:pPr>
        <w:sectPr>
          <w:pgSz w:w="11900" w:h="16838" w:orient="portrait"/>
          <w:cols w:equalWidth="0" w:num="1">
            <w:col w:w="11240"/>
          </w:cols>
          <w:pgMar w:left="320" w:top="98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142875</wp:posOffset>
            </wp:positionV>
            <wp:extent cx="2143125" cy="1225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14312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$200,000,000</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Preferred Stock</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Debt Securities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Warrants</w:t>
      </w:r>
    </w:p>
    <w:p>
      <w:pPr>
        <w:spacing w:after="0" w:line="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2,000,000 Shares of Common Stock</w:t>
      </w:r>
    </w:p>
    <w:p>
      <w:pPr>
        <w:spacing w:after="0" w:line="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we may offer and sell up to an aggregate amount of $200,000,000 of any combination of the securities described in this prospectus, either individually or in combination. We may also offer common stock or preferred stock upon conversion of debt securities, common stock upon conversion of preferred stock, or common stock, preferred stock or debt securities upon the exercise of warrants.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selling stockholders to be named in a prospectus supplement may also offer and sell, from time to time, up to 2,000,000 shares of our common stock. To the extent that any selling stockholder resells any securities, the selling stockholder may be required to provide you with this prospectus and a prospectus supplement identifying and containing specific information about the selling stockholder and the terms of the securities being offered. We will not receive any proceeds from the sale of our common stock by selling stockholders.</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is listed on the Nasdaq Global Market under the symbol “SIBN.” On December 24, 2019, the last reported sale price of our common stock was $21.13 per share. The applicable prospectus supplement will contain information, where applicable, as to other listings, if any, on the Nasdaq Global Market or other securities exchange of the securities covered by the applicable prospectus supplement.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Before making an investment decision, you should review carefully the risks described under the heading “</w:t>
      </w:r>
      <w:r>
        <w:rPr>
          <w:rFonts w:ascii="Arial" w:cs="Arial" w:eastAsia="Arial" w:hAnsi="Arial"/>
          <w:sz w:val="18"/>
          <w:szCs w:val="18"/>
          <w:b w:val="1"/>
          <w:bCs w:val="1"/>
          <w:i w:val="1"/>
          <w:iCs w:val="1"/>
          <w:u w:val="single" w:color="auto"/>
          <w:color w:val="0000FF"/>
        </w:rPr>
        <w:t>Risk Factors</w:t>
      </w:r>
      <w:r>
        <w:rPr>
          <w:rFonts w:ascii="Arial" w:cs="Arial" w:eastAsia="Arial" w:hAnsi="Arial"/>
          <w:sz w:val="18"/>
          <w:szCs w:val="18"/>
          <w:b w:val="1"/>
          <w:bCs w:val="1"/>
          <w:i w:val="1"/>
          <w:i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accompanied by a prospectus supplement.</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securities may be sold directly by us or the selling stockholders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will be received from such sale will also be set forth in a prospectus supplement.</w:t>
      </w:r>
    </w:p>
    <w:p>
      <w:pPr>
        <w:spacing w:after="0" w:line="16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that term is used in the Jumpstart Our Business Startups Act of 2012 and, as such, we have elected to take advantage of certain reduced public company reporting requirements for this prospectus and future filings.</w:t>
      </w:r>
    </w:p>
    <w:p>
      <w:pPr>
        <w:sectPr>
          <w:pgSz w:w="11900" w:h="16838" w:orient="portrait"/>
          <w:cols w:equalWidth="0" w:num="1">
            <w:col w:w="11240"/>
          </w:cols>
          <w:pgMar w:left="320" w:top="809" w:right="339" w:bottom="1440" w:gutter="0" w:footer="0" w:header="0"/>
        </w:sectPr>
      </w:pPr>
    </w:p>
    <w:bookmarkStart w:id="30" w:name="page31"/>
    <w:bookmarkEnd w:id="30"/>
    <w:p>
      <w:pPr>
        <w:ind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88265</wp:posOffset>
            </wp:positionV>
            <wp:extent cx="198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988820" cy="17145"/>
                    </a:xfrm>
                    <a:prstGeom prst="rect">
                      <a:avLst/>
                    </a:prstGeom>
                    <a:noFill/>
                  </pic:spPr>
                </pic:pic>
              </a:graphicData>
            </a:graphic>
          </wp:anchor>
        </w:drawing>
      </w: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date of this prospectus is January 2, 2020.</w:t>
      </w:r>
    </w:p>
    <w:p>
      <w:pPr>
        <w:sectPr>
          <w:pgSz w:w="11900" w:h="16838" w:orient="portrait"/>
          <w:cols w:equalWidth="0" w:num="1">
            <w:col w:w="11240"/>
          </w:cols>
          <w:pgMar w:left="320" w:top="823" w:right="3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33"/>
        </w:trPr>
        <w:tc>
          <w:tcPr>
            <w:tcW w:w="94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28"/>
        </w:trPr>
        <w:tc>
          <w:tcPr>
            <w:tcW w:w="94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30"/>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ABOUT THIS PROSPECTUS</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ii</w:t>
              </w:r>
            </w:hyperlink>
          </w:p>
        </w:tc>
      </w:tr>
      <w:tr>
        <w:trPr>
          <w:trHeight w:val="229"/>
        </w:trPr>
        <w:tc>
          <w:tcPr>
            <w:tcW w:w="946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PROSPECTUS SUMMARY</w:t>
              </w:r>
            </w:hyperlink>
          </w:p>
        </w:tc>
        <w:tc>
          <w:tcPr>
            <w:tcW w:w="680" w:type="dxa"/>
            <w:vAlign w:val="bottom"/>
          </w:tcPr>
          <w:p>
            <w:pPr>
              <w:jc w:val="center"/>
              <w:spacing w:after="0"/>
              <w:rPr>
                <w:rFonts w:ascii="Arial" w:cs="Arial" w:eastAsia="Arial" w:hAnsi="Arial"/>
                <w:sz w:val="18"/>
                <w:szCs w:val="18"/>
                <w:u w:val="single" w:color="auto"/>
                <w:color w:val="0000FF"/>
                <w:w w:val="79"/>
              </w:rPr>
            </w:pPr>
            <w:hyperlink w:anchor="page33">
              <w:r>
                <w:rPr>
                  <w:rFonts w:ascii="Arial" w:cs="Arial" w:eastAsia="Arial" w:hAnsi="Arial"/>
                  <w:sz w:val="18"/>
                  <w:szCs w:val="18"/>
                  <w:u w:val="single" w:color="auto"/>
                  <w:color w:val="0000FF"/>
                  <w:w w:val="79"/>
                </w:rPr>
                <w:t>1</w:t>
              </w:r>
            </w:hyperlink>
          </w:p>
        </w:tc>
      </w:tr>
      <w:tr>
        <w:trPr>
          <w:trHeight w:val="229"/>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RISK FACTORS</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37">
              <w:r>
                <w:rPr>
                  <w:rFonts w:ascii="Arial" w:cs="Arial" w:eastAsia="Arial" w:hAnsi="Arial"/>
                  <w:sz w:val="18"/>
                  <w:szCs w:val="18"/>
                  <w:u w:val="single" w:color="auto"/>
                  <w:color w:val="0000FF"/>
                  <w:w w:val="79"/>
                </w:rPr>
                <w:t>5</w:t>
              </w:r>
            </w:hyperlink>
          </w:p>
        </w:tc>
      </w:tr>
      <w:tr>
        <w:trPr>
          <w:trHeight w:val="230"/>
        </w:trPr>
        <w:tc>
          <w:tcPr>
            <w:tcW w:w="9460" w:type="dxa"/>
            <w:vAlign w:val="bottom"/>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SPECIAL NOTE REGARDING FORWARD-LOOKING STATEMENTS</w:t>
              </w:r>
            </w:hyperlink>
          </w:p>
        </w:tc>
        <w:tc>
          <w:tcPr>
            <w:tcW w:w="680" w:type="dxa"/>
            <w:vAlign w:val="bottom"/>
          </w:tcPr>
          <w:p>
            <w:pPr>
              <w:jc w:val="center"/>
              <w:spacing w:after="0"/>
              <w:rPr>
                <w:rFonts w:ascii="Arial" w:cs="Arial" w:eastAsia="Arial" w:hAnsi="Arial"/>
                <w:sz w:val="18"/>
                <w:szCs w:val="18"/>
                <w:u w:val="single" w:color="auto"/>
                <w:color w:val="0000FF"/>
                <w:w w:val="79"/>
              </w:rPr>
            </w:pPr>
            <w:hyperlink w:anchor="page38">
              <w:r>
                <w:rPr>
                  <w:rFonts w:ascii="Arial" w:cs="Arial" w:eastAsia="Arial" w:hAnsi="Arial"/>
                  <w:sz w:val="18"/>
                  <w:szCs w:val="18"/>
                  <w:u w:val="single" w:color="auto"/>
                  <w:color w:val="0000FF"/>
                  <w:w w:val="79"/>
                </w:rPr>
                <w:t>5</w:t>
              </w:r>
            </w:hyperlink>
          </w:p>
        </w:tc>
      </w:tr>
      <w:tr>
        <w:trPr>
          <w:trHeight w:val="229"/>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USE OF PROCEEDS</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79"/>
              </w:rPr>
            </w:pPr>
            <w:hyperlink w:anchor="page39">
              <w:r>
                <w:rPr>
                  <w:rFonts w:ascii="Arial" w:cs="Arial" w:eastAsia="Arial" w:hAnsi="Arial"/>
                  <w:sz w:val="18"/>
                  <w:szCs w:val="18"/>
                  <w:u w:val="single" w:color="auto"/>
                  <w:color w:val="0000FF"/>
                  <w:w w:val="79"/>
                </w:rPr>
                <w:t>6</w:t>
              </w:r>
            </w:hyperlink>
          </w:p>
        </w:tc>
      </w:tr>
      <w:tr>
        <w:trPr>
          <w:trHeight w:val="230"/>
        </w:trPr>
        <w:tc>
          <w:tcPr>
            <w:tcW w:w="946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DESCRIPTION OF CAPITAL STOCK</w:t>
              </w:r>
            </w:hyperlink>
          </w:p>
        </w:tc>
        <w:tc>
          <w:tcPr>
            <w:tcW w:w="680" w:type="dxa"/>
            <w:vAlign w:val="bottom"/>
          </w:tcPr>
          <w:p>
            <w:pPr>
              <w:jc w:val="center"/>
              <w:spacing w:after="0"/>
              <w:rPr>
                <w:rFonts w:ascii="Arial" w:cs="Arial" w:eastAsia="Arial" w:hAnsi="Arial"/>
                <w:sz w:val="18"/>
                <w:szCs w:val="18"/>
                <w:u w:val="single" w:color="auto"/>
                <w:color w:val="0000FF"/>
                <w:w w:val="79"/>
              </w:rPr>
            </w:pPr>
            <w:hyperlink w:anchor="page39">
              <w:r>
                <w:rPr>
                  <w:rFonts w:ascii="Arial" w:cs="Arial" w:eastAsia="Arial" w:hAnsi="Arial"/>
                  <w:sz w:val="18"/>
                  <w:szCs w:val="18"/>
                  <w:u w:val="single" w:color="auto"/>
                  <w:color w:val="0000FF"/>
                  <w:w w:val="79"/>
                </w:rPr>
                <w:t>7</w:t>
              </w:r>
            </w:hyperlink>
          </w:p>
        </w:tc>
      </w:tr>
      <w:tr>
        <w:trPr>
          <w:trHeight w:val="229"/>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DESCRIPTION OF DEBT SECURITIES</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10</w:t>
              </w:r>
            </w:hyperlink>
          </w:p>
        </w:tc>
      </w:tr>
      <w:tr>
        <w:trPr>
          <w:trHeight w:val="229"/>
        </w:trPr>
        <w:tc>
          <w:tcPr>
            <w:tcW w:w="946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DESCRIPTION OF WARRANTS</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15</w:t>
              </w:r>
            </w:hyperlink>
          </w:p>
        </w:tc>
      </w:tr>
      <w:tr>
        <w:trPr>
          <w:trHeight w:val="230"/>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LEGAL OWNERSHIP SECURITIES</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17</w:t>
              </w:r>
            </w:hyperlink>
          </w:p>
        </w:tc>
      </w:tr>
      <w:tr>
        <w:trPr>
          <w:trHeight w:val="229"/>
        </w:trPr>
        <w:tc>
          <w:tcPr>
            <w:tcW w:w="946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SELLING STOCKHOLDERS</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19</w:t>
              </w:r>
            </w:hyperlink>
          </w:p>
        </w:tc>
      </w:tr>
      <w:tr>
        <w:trPr>
          <w:trHeight w:val="229"/>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PLAN OF DISTRIBUTION</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20</w:t>
              </w:r>
            </w:hyperlink>
          </w:p>
        </w:tc>
      </w:tr>
      <w:tr>
        <w:trPr>
          <w:trHeight w:val="230"/>
        </w:trPr>
        <w:tc>
          <w:tcPr>
            <w:tcW w:w="946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LEGAL MATTERS</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r>
      <w:tr>
        <w:trPr>
          <w:trHeight w:val="229"/>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EXPERTS</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r>
      <w:tr>
        <w:trPr>
          <w:trHeight w:val="230"/>
        </w:trPr>
        <w:tc>
          <w:tcPr>
            <w:tcW w:w="946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WHERE YOU CAN FIND ADDITIONAL INFORMATION</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r>
      <w:tr>
        <w:trPr>
          <w:trHeight w:val="229"/>
        </w:trPr>
        <w:tc>
          <w:tcPr>
            <w:tcW w:w="9460" w:type="dxa"/>
            <w:vAlign w:val="bottom"/>
            <w:shd w:val="clear" w:color="auto" w:fill="CCEEFF"/>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INCORPORATION OF CERTAIN INFORMATION BY REFERENCE</w:t>
              </w:r>
            </w:hyperlink>
          </w:p>
        </w:tc>
        <w:tc>
          <w:tcPr>
            <w:tcW w:w="6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21</w:t>
              </w:r>
            </w:hyperlink>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40"/>
          </w:cols>
          <w:pgMar w:left="880" w:top="958" w:right="8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SEC, using a “shelf” registration process. Under this shelf registration statement, we may, from time to time, offer and sell, either individually or in combination, in one or more offerings, up to a total dollar amount of $200,000,000 of any combination of the securities described in this prospectus. In addition, under this shelf process, the selling stockholders to be named in a supplement to this prospectus may, from time to time, offer or sell up to 2,000,000 shares of our common stock.</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This prospectus provides you with a general description of the securities we and the selling stockholders may offer. Each time we and/or the selling stockholders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Neither we nor the selling stockholders have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94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147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6130" cy="8147685"/>
                    </a:xfrm>
                    <a:prstGeom prst="rect">
                      <a:avLst/>
                    </a:prstGeom>
                    <a:noFill/>
                  </pic:spPr>
                </pic:pic>
              </a:graphicData>
            </a:graphic>
          </wp:anchor>
        </w:drawing>
        <w:t>PROSPECTUS SUMMARY</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42,000 procedures have been performed by over 2,000 surgeons in the United States and 34 other countries. Published clinical studies have shown that 15% to 30% of all chronic lower back pain is associated with the sacroiliac joint. We believe iFuse is currently the market leading implantable device used in minimally invasive surgical fusions of the sacroiliac joint in the United States.</w:t>
      </w:r>
    </w:p>
    <w:p>
      <w:pPr>
        <w:spacing w:after="0" w:line="2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In April 2019, we received clearance from the U.S. Food and Drug Administration (FDA) to promote our iFuse Bedrock technique for fusion of the sacroiliac joint in conjunction with multi-level spinal fusion procedures to provide further stabilization and immobilization of the sacroiliac joint. We market our products with a direct sales force and a number of distributors in the United States, and with a combination of a direct sales force and distributors in other countries.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is subject to numerous risks. You should read these risks before you invest in our common stock. In particular, our risks include, but are not limited to, the following:</w:t>
      </w:r>
    </w:p>
    <w:p>
      <w:pPr>
        <w:spacing w:after="0" w:line="62" w:lineRule="exact"/>
        <w:rPr>
          <w:sz w:val="20"/>
          <w:szCs w:val="20"/>
          <w:color w:val="auto"/>
        </w:rPr>
      </w:pPr>
    </w:p>
    <w:p>
      <w:pPr>
        <w:ind w:left="640" w:hanging="314"/>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62" w:lineRule="exact"/>
        <w:rPr>
          <w:rFonts w:ascii="Arial" w:cs="Arial" w:eastAsia="Arial" w:hAnsi="Arial"/>
          <w:sz w:val="18"/>
          <w:szCs w:val="18"/>
          <w:color w:val="auto"/>
        </w:rPr>
      </w:pPr>
    </w:p>
    <w:p>
      <w:pPr>
        <w:jc w:val="both"/>
        <w:ind w:left="640" w:hanging="314"/>
        <w:spacing w:after="0" w:line="286"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spacing w:after="0" w:line="57" w:lineRule="exact"/>
        <w:rPr>
          <w:rFonts w:ascii="Arial" w:cs="Arial" w:eastAsia="Arial" w:hAnsi="Arial"/>
          <w:sz w:val="17"/>
          <w:szCs w:val="17"/>
          <w:color w:val="auto"/>
        </w:rPr>
      </w:pPr>
    </w:p>
    <w:p>
      <w:pPr>
        <w:ind w:left="640" w:hanging="314"/>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revenue, and ongoing and future research may prove our products to be less safe and effective than initially anticipated;</w:t>
      </w:r>
    </w:p>
    <w:p>
      <w:pPr>
        <w:spacing w:after="0" w:line="62"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 pressure from our competitors, healthcare provider consolidation and payor consolidation may impact our ability to sell our product at prices necessary to support our current business strategies;</w:t>
      </w:r>
    </w:p>
    <w:p>
      <w:pPr>
        <w:spacing w:after="0" w:line="62"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currently manufacture and sell products primarily used in a single procedure, which could negatively affect our operations and financial condition;</w:t>
      </w:r>
    </w:p>
    <w:p>
      <w:pPr>
        <w:spacing w:after="0" w:line="62" w:lineRule="exact"/>
        <w:rPr>
          <w:rFonts w:ascii="Arial" w:cs="Arial" w:eastAsia="Arial" w:hAnsi="Arial"/>
          <w:sz w:val="18"/>
          <w:szCs w:val="18"/>
          <w:color w:val="auto"/>
        </w:rPr>
      </w:pPr>
    </w:p>
    <w:p>
      <w:pPr>
        <w:ind w:left="640" w:hanging="314"/>
        <w:spacing w:after="0" w:line="308"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38" w:lineRule="exact"/>
        <w:rPr>
          <w:rFonts w:ascii="Arial" w:cs="Arial" w:eastAsia="Arial" w:hAnsi="Arial"/>
          <w:sz w:val="17"/>
          <w:szCs w:val="17"/>
          <w:color w:val="auto"/>
        </w:rPr>
      </w:pPr>
    </w:p>
    <w:p>
      <w:pPr>
        <w:ind w:left="640" w:hanging="314"/>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62"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 and</w:t>
      </w:r>
    </w:p>
    <w:p>
      <w:pPr>
        <w:sectPr>
          <w:pgSz w:w="11900" w:h="16838" w:orient="portrait"/>
          <w:cols w:equalWidth="0" w:num="1">
            <w:col w:w="10400"/>
          </w:cols>
          <w:pgMar w:left="740" w:top="1363"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400"/>
          </w:cols>
          <w:pgMar w:left="740" w:top="1363" w:right="759" w:bottom="1440" w:gutter="0" w:footer="0" w:header="0"/>
          <w:type w:val="continuous"/>
        </w:sectPr>
      </w:pPr>
    </w:p>
    <w:bookmarkStart w:id="34" w:name="page35"/>
    <w:bookmarkEnd w:id="34"/>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8507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6130" cy="8507730"/>
                    </a:xfrm>
                    <a:prstGeom prst="rect">
                      <a:avLst/>
                    </a:prstGeom>
                    <a:noFill/>
                  </pic:spPr>
                </pic:pic>
              </a:graphicData>
            </a:graphic>
          </wp:anchor>
        </w:drawing>
      </w:r>
    </w:p>
    <w:p>
      <w:pPr>
        <w:ind w:left="640" w:hanging="314"/>
        <w:spacing w:after="0" w:line="342" w:lineRule="auto"/>
        <w:tabs>
          <w:tab w:leader="none" w:pos="6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and our sales representatives must comply with U.S. federal and state fraud and abuse laws, including those relating to physician kickbacks and false claims for reimbursement, as well as equivalent foreign laws, which subjects us to risk of non-compliance.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common stock is currently listed on the Nasdaq Global Market under the symbol “SIBN.” We are an “emerging growth company” under the Jumpstart Our Business Startups Act of 2012, and therefore we are subject to reduced public company reporting requirements.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up to a maximum aggregate sales price of $200,000,000.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77" w:lineRule="exact"/>
        <w:rPr>
          <w:sz w:val="20"/>
          <w:szCs w:val="20"/>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117" w:lineRule="exact"/>
        <w:rPr>
          <w:rFonts w:ascii="Arial" w:cs="Arial" w:eastAsia="Arial" w:hAnsi="Arial"/>
          <w:sz w:val="18"/>
          <w:szCs w:val="18"/>
          <w:color w:val="auto"/>
        </w:rPr>
      </w:pPr>
    </w:p>
    <w:p>
      <w:pPr>
        <w:ind w:left="640" w:hanging="314"/>
        <w:spacing w:after="0" w:line="277"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2" w:lineRule="exact"/>
        <w:rPr>
          <w:rFonts w:ascii="Arial" w:cs="Arial" w:eastAsia="Arial" w:hAnsi="Arial"/>
          <w:sz w:val="18"/>
          <w:szCs w:val="18"/>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ranking;</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addition, the selling stockholders to be named in a prospectus supplement may also offer and sell, from time to time, up to 2,000,000 shares of our common stock.</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We or the selling stockholders may sell the securities directly to investors or to or through agents, underwriters or dealers. We and the selling stockholders, and our or their agents or underwriters, reserve the right to accept or reject all or part of any proposed purchase of securities. If we or the selling stockholders do offer securities to or through agents or underwriters, we will include in the applicable prospectus supplement:</w:t>
      </w:r>
    </w:p>
    <w:p>
      <w:pPr>
        <w:sectPr>
          <w:pgSz w:w="11900" w:h="16838" w:orient="portrait"/>
          <w:cols w:equalWidth="0" w:num="1">
            <w:col w:w="10400"/>
          </w:cols>
          <w:pgMar w:left="74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400"/>
          </w:cols>
          <w:pgMar w:left="740" w:top="1440" w:right="759" w:bottom="1440" w:gutter="0" w:footer="0" w:header="0"/>
          <w:type w:val="continuous"/>
        </w:sectPr>
      </w:pPr>
    </w:p>
    <w:bookmarkStart w:id="35" w:name="page36"/>
    <w:bookmarkEnd w:id="35"/>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7393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6130" cy="7393305"/>
                    </a:xfrm>
                    <a:prstGeom prst="rect">
                      <a:avLst/>
                    </a:prstGeom>
                    <a:noFill/>
                  </pic:spPr>
                </pic:pic>
              </a:graphicData>
            </a:graphic>
          </wp:anchor>
        </w:drawing>
      </w:r>
    </w:p>
    <w:p>
      <w:pPr>
        <w:ind w:left="640" w:hanging="31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Common Stock</w:t>
      </w:r>
      <w:r>
        <w:rPr>
          <w:rFonts w:ascii="Arial" w:cs="Arial" w:eastAsia="Arial" w:hAnsi="Arial"/>
          <w:sz w:val="17"/>
          <w:szCs w:val="17"/>
          <w:color w:val="auto"/>
        </w:rPr>
        <w:t>. We may issue shares of our common stock from time to time. The selling stockholders may offer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to the extent such shares were issued and outstanding prior to the original date of filing of the registration statement to which this prospectus relates. 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We may issue shares of our preferred stock from time to time, in one or more series. Our board of directors will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We may issue debt securities from time to time, in one or more series, as either senior or subordinated debt or as senior or</w:t>
      </w:r>
      <w:r>
        <w:rPr>
          <w:rFonts w:ascii="Arial" w:cs="Arial" w:eastAsia="Arial" w:hAnsi="Arial"/>
          <w:sz w:val="17"/>
          <w:szCs w:val="17"/>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0"/>
          </w:cols>
          <w:pgMar w:left="740" w:top="1440" w:right="759" w:bottom="1440" w:gutter="0" w:footer="0" w:header="0"/>
        </w:sectPr>
      </w:pPr>
    </w:p>
    <w:bookmarkStart w:id="36" w:name="page37"/>
    <w:bookmarkEnd w:id="36"/>
    <w:p>
      <w:pPr>
        <w:jc w:val="both"/>
        <w:ind w:firstLine="324"/>
        <w:spacing w:after="0" w:line="25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609600</wp:posOffset>
            </wp:positionV>
            <wp:extent cx="7136130" cy="439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6130" cy="4392930"/>
                    </a:xfrm>
                    <a:prstGeom prst="rect">
                      <a:avLst/>
                    </a:prstGeom>
                    <a:noFill/>
                  </pic:spPr>
                </pic:pic>
              </a:graphicData>
            </a:graphic>
          </wp:anchor>
        </w:drawing>
        <w:t xml:space="preserve">Warrants. </w:t>
      </w:r>
      <w:r>
        <w:rPr>
          <w:rFonts w:ascii="Arial" w:cs="Arial" w:eastAsia="Arial" w:hAnsi="Arial"/>
          <w:sz w:val="18"/>
          <w:szCs w:val="18"/>
          <w:color w:val="auto"/>
        </w:rPr>
        <w:t>We may issue warrants for the purchase of common stock, preferred stock and/or debt securities in one or more series. We may</w:t>
      </w:r>
      <w:r>
        <w:rPr>
          <w:rFonts w:ascii="Arial" w:cs="Arial" w:eastAsia="Arial" w:hAnsi="Arial"/>
          <w:sz w:val="18"/>
          <w:szCs w:val="18"/>
          <w:i w:val="1"/>
          <w:iCs w:val="1"/>
          <w:color w:val="auto"/>
        </w:rPr>
        <w:t xml:space="preserve"> </w:t>
      </w:r>
      <w:r>
        <w:rPr>
          <w:rFonts w:ascii="Arial" w:cs="Arial" w:eastAsia="Arial" w:hAnsi="Arial"/>
          <w:sz w:val="18"/>
          <w:szCs w:val="18"/>
          <w:color w:val="auto"/>
        </w:rPr>
        <w:t>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We will not receive any proceeds from the sale of shares of our common stock by any selling stockholder. See “Use of Proceeds” in this prospectus.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is listed on the Nasdaq Global Market under the symbol “SIBN.” The applicable prospectus supplement will contain information, where applicable, as to other listings, if any, on the Nasdaq Global Market or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00"/>
          </w:cols>
          <w:pgMar w:left="740" w:top="1367" w:right="7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 that a significant portion of our revenues will be derived from sales of the iFuse Implant System, or iFuse;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indications for use and new devices;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expand our sales team to increase demand for our products and expand geographically;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identify, train, and retain surgeons to perform procedures using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favorable coverage and reimbursement determinations from third-party payors;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regarding the scope of protection from intellectual property rights covering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timing of and results from clinical and other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marketing authorization from the U.S. Food and Drug Administration or FDA;</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timing of regulatory filings and feedback;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our product;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reliance on a limited number of suppliers which may impact the availability of instruments and materials;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drive demand for our products and sustain or increase such demand;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expansion;</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999" w:right="339" w:bottom="1440" w:gutter="0" w:footer="0" w:header="0"/>
          <w:type w:val="continuous"/>
        </w:sectPr>
      </w:pPr>
    </w:p>
    <w:bookmarkStart w:id="38" w:name="page39"/>
    <w:bookmarkEnd w:id="38"/>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regarding our ability to retain and recruit key personnel and expand our sales force;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not receive any proceeds from the sale of shares of our common stock by any selling stockholder.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949"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18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ectPr>
          <w:pgSz w:w="11900" w:h="16838" w:orient="portrait"/>
          <w:cols w:equalWidth="0" w:num="1">
            <w:col w:w="11240"/>
          </w:cols>
          <w:pgMar w:left="320" w:top="945"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945" w:right="339" w:bottom="1440" w:gutter="0" w:footer="0" w:header="0"/>
          <w:type w:val="continuous"/>
        </w:sectPr>
      </w:pPr>
    </w:p>
    <w:bookmarkStart w:id="40" w:name="page41"/>
    <w:bookmarkEnd w:id="40"/>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provisions for a sinking fund,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voting rights of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transfer, sale or other assignment;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discussion of material United States federal income tax considerations applicable to the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 and Delaware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4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w:t>
      </w:r>
    </w:p>
    <w:p>
      <w:pPr>
        <w:spacing w:after="0" w:line="128" w:lineRule="exact"/>
        <w:rPr>
          <w:rFonts w:ascii="Arial" w:cs="Arial" w:eastAsia="Arial" w:hAnsi="Arial"/>
          <w:sz w:val="17"/>
          <w:szCs w:val="17"/>
          <w:color w:val="auto"/>
        </w:rPr>
      </w:pPr>
    </w:p>
    <w:p>
      <w:pPr>
        <w:ind w:left="660" w:right="100" w:hanging="328"/>
        <w:spacing w:after="0" w:line="275"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222222"/>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Arial" w:cs="Arial" w:eastAsia="Arial" w:hAnsi="Arial"/>
          <w:sz w:val="17"/>
          <w:szCs w:val="17"/>
          <w:color w:val="000000"/>
        </w:rPr>
        <w:t>or</w:t>
      </w:r>
    </w:p>
    <w:p>
      <w:pPr>
        <w:spacing w:after="0" w:line="68" w:lineRule="exact"/>
        <w:rPr>
          <w:rFonts w:ascii="Arial" w:cs="Arial" w:eastAsia="Arial" w:hAnsi="Arial"/>
          <w:sz w:val="17"/>
          <w:szCs w:val="17"/>
          <w:color w:val="auto"/>
        </w:rPr>
      </w:pPr>
    </w:p>
    <w:p>
      <w:pPr>
        <w:ind w:left="660" w:right="10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spacing w:after="0" w:line="170" w:lineRule="exact"/>
        <w:rPr>
          <w:sz w:val="20"/>
          <w:szCs w:val="20"/>
          <w:color w:val="auto"/>
        </w:rPr>
      </w:pPr>
    </w:p>
    <w:p>
      <w:pPr>
        <w:jc w:val="both"/>
        <w:ind w:left="660" w:hanging="328"/>
        <w:spacing w:after="0" w:line="279"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amended and restated certificate of incorporation and amended and restated bylaws authorize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98"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21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provides that stockholders are not 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spacing w:after="0" w:line="21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214"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Issuance of Undesignated Preferred Stock</w:t>
      </w:r>
      <w:r>
        <w:rPr>
          <w:rFonts w:ascii="Arial" w:cs="Arial" w:eastAsia="Arial" w:hAnsi="Arial"/>
          <w:sz w:val="17"/>
          <w:szCs w:val="17"/>
          <w:color w:val="auto"/>
        </w:rPr>
        <w:t>. Our board of directors have the authority, without further action by the holders of common stock,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up to 5,000,000 shares of undesignated preferred stock with rights and preferences, including voting rights, designated from time to time by the board of directors. The existence of authorized but unissued shares of preferred stock enable our board of directors to render more difficult or to discourage an attempt to obtain control of us by means of a merger, tender offer, proxy contest, or otherwise.</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9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78"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17"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945" w:right="339" w:bottom="1440" w:gutter="0" w:footer="0" w:header="0"/>
        </w:sectPr>
      </w:pPr>
    </w:p>
    <w:bookmarkStart w:id="43" w:name="page44"/>
    <w:bookmarkEnd w:id="43"/>
    <w:p>
      <w:pPr>
        <w:jc w:val="both"/>
        <w:ind w:left="66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128"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70" w:lineRule="exact"/>
        <w:rPr>
          <w:sz w:val="20"/>
          <w:szCs w:val="20"/>
          <w:color w:val="auto"/>
        </w:rPr>
      </w:pPr>
    </w:p>
    <w:p>
      <w:pPr>
        <w:jc w:val="both"/>
        <w:ind w:left="660" w:hanging="328"/>
        <w:spacing w:after="0" w:line="286"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57"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3"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6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7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17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45" w:right="339" w:bottom="1440" w:gutter="0" w:footer="0" w:header="0"/>
        </w:sectPr>
      </w:pPr>
    </w:p>
    <w:bookmarkStart w:id="45" w:name="page46"/>
    <w:bookmarkEnd w:id="45"/>
    <w:p>
      <w:pPr>
        <w:ind w:firstLine="324"/>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17"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17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49" w:right="339" w:bottom="1440" w:gutter="0" w:footer="0" w:header="0"/>
        </w:sectPr>
      </w:pPr>
    </w:p>
    <w:bookmarkStart w:id="46" w:name="page47"/>
    <w:bookmarkEnd w:id="46"/>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3"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4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45" w:right="339" w:bottom="1440" w:gutter="0" w:footer="0" w:header="0"/>
        </w:sectPr>
      </w:pPr>
    </w:p>
    <w:bookmarkStart w:id="48" w:name="page49"/>
    <w:bookmarkEnd w:id="48"/>
    <w:p>
      <w:pPr>
        <w:ind w:left="660" w:hanging="328"/>
        <w:spacing w:after="0" w:line="308"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of holding or exercising the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170" w:lineRule="exact"/>
        <w:rPr>
          <w:sz w:val="20"/>
          <w:szCs w:val="20"/>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949"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98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17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whether and how you can instruct it to send you securities registered in your own name so you can be a holder, if that is permitted in the future;</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225" w:lineRule="exact"/>
        <w:rPr>
          <w:sz w:val="20"/>
          <w:szCs w:val="20"/>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45" w:right="339" w:bottom="1440" w:gutter="0" w:footer="0" w:header="0"/>
        </w:sectPr>
      </w:pPr>
    </w:p>
    <w:bookmarkStart w:id="51" w:name="page52"/>
    <w:bookmarkEnd w:id="51"/>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we provide otherwise in the applicable prospectus supplement, the global security will terminate when the following special situations occur:</w:t>
      </w:r>
    </w:p>
    <w:p>
      <w:pPr>
        <w:spacing w:after="0" w:line="248" w:lineRule="exact"/>
        <w:rPr>
          <w:sz w:val="20"/>
          <w:szCs w:val="20"/>
          <w:color w:val="auto"/>
        </w:rPr>
      </w:pPr>
    </w:p>
    <w:p>
      <w:pPr>
        <w:ind w:left="66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prospectus also relates to the possible resale by certain of our stockholders, who we refer to in this prospectus as the “selling stockholders,” of up to 2,000,000 shares of our common stock that were issued and outstanding prior to the original date of filing of the registration statement of which this prospectus forms a part, including shares that may be owned by affiliates. The selling stockholders are (1) former holders of our preferred stock that originally acquired the shares of our common stock included in this prospectus through several private placements of our convertible preferred stock prior to our initial public offering, all of which shares of preferred stock were converted into shares of our common stock in connection with our initial public offering, or (2) a holder who acquired shares of common stock in a private placement of our common stock or pursuant to the exercise of stock options.</w:t>
      </w:r>
    </w:p>
    <w:p>
      <w:pPr>
        <w:spacing w:after="0" w:line="1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Information about the selling stockholders, where applicable, including their identities, the amount of shares of common stock owned by each selling stockholder prior to the offering, the number of shares of our common stock to be offered by each selling stockholder and the amount of common stock to be owned by each selling stockholder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selling stockholders shall not sell any shares of our common stock pursuant to this prospectus until we have identified such selling stockholders and the shares being offered for resale by such selling stockholders in a subsequent prospectus supplement. However, the selling stockholders may sell or transfer all or a portion of their shares of our common stock pursuant to any available exemption from the registration requirements of the Securities Act.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949"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or the selling stockholders may sell the securities from time to time pursuant to underwritten public offerings, direct sales to the public, negotiated transactions, block trades or a combination of these methods. We or the selling stockholders may sell the securities to or through underwriters or dealers, through agents, or directly to one or more purchasers. We or the selling stockholders may distribute securities from time to time in one or more transactions:</w:t>
      </w:r>
    </w:p>
    <w:p>
      <w:pPr>
        <w:spacing w:after="0" w:line="18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7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name or names of the underwriters, if 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stockholders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stockholders may use underwriters with whom we have a material relationship. We will describe in the prospectus supplement, naming the underwriter, the nature of any such relationship.</w:t>
      </w:r>
    </w:p>
    <w:p>
      <w:pPr>
        <w:spacing w:after="0" w:line="1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or the selling stockholders may sell securities directly or through agents we designate from time to time. We will name any agent involved in the offering and sale of securities and we will describe any commissions we or the selling stockholders will pay the agent in the prospectus supplement. Unless the prospectus supplement states otherwise, our or the selling stockholders’ agent will act on a best-efforts basis for the period of its appointment.</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or the selling stockholders may authorize agents or underwriters to solicit offers by certain types of institutional investors to purchase securities from us or the selling stockholders at the public offering price set forth in the prospectus supplement pursuant to delayed delivery contracts providing for payment and delivery on a specified date in the future. We will describe the conditions to these contracts and the commissions we or the selling stockholders must pay for solicitation of these contracts in the prospectus supplement.</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or the selling stockholders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stockholders in the ordinary course of business.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85" w:right="339" w:bottom="1440" w:gutter="0" w:footer="0" w:header="0"/>
        </w:sectPr>
      </w:pPr>
    </w:p>
    <w:bookmarkStart w:id="53" w:name="page54"/>
    <w:bookmarkEnd w:id="53"/>
    <w:p>
      <w:pPr>
        <w:jc w:val="both"/>
        <w:ind w:firstLine="324"/>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7"/>
          <w:szCs w:val="17"/>
          <w:u w:val="single" w:color="auto"/>
          <w:color w:val="0000FF"/>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949"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001-38701):</w:t>
      </w:r>
    </w:p>
    <w:p>
      <w:pPr>
        <w:spacing w:after="0" w:line="19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w:t>
      </w:r>
      <w:hyperlink r:id="rId31">
        <w:r>
          <w:rPr>
            <w:rFonts w:ascii="Arial" w:cs="Arial" w:eastAsia="Arial" w:hAnsi="Arial"/>
            <w:sz w:val="18"/>
            <w:szCs w:val="18"/>
            <w:u w:val="single" w:color="auto"/>
            <w:color w:val="0000FF"/>
          </w:rPr>
          <w:t>Annual Report on Form 10-K, for the year ended December 31, 2018</w:t>
        </w:r>
      </w:hyperlink>
      <w:r>
        <w:rPr>
          <w:rFonts w:ascii="Arial" w:cs="Arial" w:eastAsia="Arial" w:hAnsi="Arial"/>
          <w:sz w:val="18"/>
          <w:szCs w:val="18"/>
          <w:color w:val="auto"/>
        </w:rPr>
        <w:t>, filed with the SEC on March 14,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w:t>
      </w:r>
      <w:hyperlink r:id="rId32">
        <w:r>
          <w:rPr>
            <w:rFonts w:ascii="Arial" w:cs="Arial" w:eastAsia="Arial" w:hAnsi="Arial"/>
            <w:sz w:val="18"/>
            <w:szCs w:val="18"/>
            <w:u w:val="single" w:color="auto"/>
            <w:color w:val="0000FF"/>
          </w:rPr>
          <w:t>Quarterly Report on Form 10-Q, for the quarter ended March 31, 2019</w:t>
        </w:r>
      </w:hyperlink>
      <w:r>
        <w:rPr>
          <w:rFonts w:ascii="Arial" w:cs="Arial" w:eastAsia="Arial" w:hAnsi="Arial"/>
          <w:sz w:val="18"/>
          <w:szCs w:val="18"/>
          <w:color w:val="auto"/>
        </w:rPr>
        <w:t>, filed with the SEC on May 9,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w:t>
      </w:r>
      <w:hyperlink r:id="rId33">
        <w:r>
          <w:rPr>
            <w:rFonts w:ascii="Arial" w:cs="Arial" w:eastAsia="Arial" w:hAnsi="Arial"/>
            <w:sz w:val="18"/>
            <w:szCs w:val="18"/>
            <w:u w:val="single" w:color="auto"/>
            <w:color w:val="0000FF"/>
          </w:rPr>
          <w:t>Quarterly Report on Form 10-Q, for the quarter ended June 30, 2019</w:t>
        </w:r>
      </w:hyperlink>
      <w:r>
        <w:rPr>
          <w:rFonts w:ascii="Arial" w:cs="Arial" w:eastAsia="Arial" w:hAnsi="Arial"/>
          <w:sz w:val="18"/>
          <w:szCs w:val="18"/>
          <w:color w:val="auto"/>
        </w:rPr>
        <w:t>, filed with the SEC on August 7,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w:t>
      </w:r>
      <w:hyperlink r:id="rId34">
        <w:r>
          <w:rPr>
            <w:rFonts w:ascii="Arial" w:cs="Arial" w:eastAsia="Arial" w:hAnsi="Arial"/>
            <w:sz w:val="18"/>
            <w:szCs w:val="18"/>
            <w:u w:val="single" w:color="auto"/>
            <w:color w:val="0000FF"/>
          </w:rPr>
          <w:t>Quarterly Report on Form 10-Q, for the quarter ended September 30, 2019</w:t>
        </w:r>
      </w:hyperlink>
      <w:r>
        <w:rPr>
          <w:rFonts w:ascii="Arial" w:cs="Arial" w:eastAsia="Arial" w:hAnsi="Arial"/>
          <w:sz w:val="18"/>
          <w:szCs w:val="18"/>
          <w:color w:val="auto"/>
        </w:rPr>
        <w:t>, filed with the SEC on November 12, 2019;</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5">
        <w:r>
          <w:rPr>
            <w:rFonts w:ascii="Arial" w:cs="Arial" w:eastAsia="Arial" w:hAnsi="Arial"/>
            <w:sz w:val="18"/>
            <w:szCs w:val="18"/>
            <w:u w:val="single" w:color="auto"/>
            <w:color w:val="0000FF"/>
          </w:rPr>
          <w:t>January 22, 2019</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FF"/>
          </w:rPr>
          <w:t>April 11, 2019</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FF"/>
          </w:rPr>
          <w:t>June 14, 2019</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FF"/>
          </w:rPr>
          <w:t>August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related exhibit), </w:t>
      </w:r>
      <w:hyperlink r:id="rId39">
        <w:r>
          <w:rPr>
            <w:rFonts w:ascii="Arial" w:cs="Arial" w:eastAsia="Arial" w:hAnsi="Arial"/>
            <w:sz w:val="18"/>
            <w:szCs w:val="18"/>
            <w:u w:val="single" w:color="auto"/>
            <w:color w:val="0000FF"/>
          </w:rPr>
          <w:t>August 14, 2019</w:t>
        </w:r>
      </w:hyperlink>
      <w:r>
        <w:rPr>
          <w:rFonts w:ascii="Arial" w:cs="Arial" w:eastAsia="Arial" w:hAnsi="Arial"/>
          <w:sz w:val="18"/>
          <w:szCs w:val="18"/>
          <w:color w:val="auto"/>
        </w:rPr>
        <w:t xml:space="preserve">, and </w:t>
      </w:r>
      <w:hyperlink r:id="rId40">
        <w:r>
          <w:rPr>
            <w:rFonts w:ascii="Arial" w:cs="Arial" w:eastAsia="Arial" w:hAnsi="Arial"/>
            <w:sz w:val="18"/>
            <w:szCs w:val="18"/>
            <w:u w:val="single" w:color="auto"/>
            <w:color w:val="0000FF"/>
          </w:rPr>
          <w:t>December 4, 2019</w:t>
        </w:r>
      </w:hyperlink>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our </w:t>
      </w:r>
      <w:hyperlink r:id="rId41">
        <w:r>
          <w:rPr>
            <w:rFonts w:ascii="Arial" w:cs="Arial" w:eastAsia="Arial" w:hAnsi="Arial"/>
            <w:sz w:val="18"/>
            <w:szCs w:val="18"/>
            <w:u w:val="single" w:color="auto"/>
            <w:color w:val="0000FF"/>
          </w:rPr>
          <w:t>Definitive Proxy Statement on Schedule 14A, filed on April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(but only with respect to information required by Part III of our Annual Report on Form 10-K for the year ended December 31, 2018, which information shall update and supersede information included in Part III of our Annual Report on Form 10-K for the year ended December 31, 2018); and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24">
        <w:r>
          <w:rPr>
            <w:rFonts w:ascii="Arial" w:cs="Arial" w:eastAsia="Arial" w:hAnsi="Arial"/>
            <w:sz w:val="18"/>
            <w:szCs w:val="18"/>
            <w:u w:val="single" w:color="auto"/>
            <w:color w:val="0000FF"/>
          </w:rPr>
          <w:t>Form 8-A, filed with the SEC on October 11, 2018</w:t>
        </w:r>
      </w:hyperlink>
      <w:r>
        <w:rPr>
          <w:rFonts w:ascii="Arial" w:cs="Arial" w:eastAsia="Arial" w:hAnsi="Arial"/>
          <w:sz w:val="18"/>
          <w:szCs w:val="18"/>
          <w:color w:val="auto"/>
        </w:rPr>
        <w:t>, including any amendment or report filed for the purpose of updating such description.</w:t>
      </w:r>
    </w:p>
    <w:p>
      <w:pPr>
        <w:spacing w:after="0" w:line="116" w:lineRule="exact"/>
        <w:rPr>
          <w:rFonts w:ascii="Arial" w:cs="Arial" w:eastAsia="Arial" w:hAnsi="Arial"/>
          <w:sz w:val="18"/>
          <w:szCs w:val="18"/>
          <w:color w:val="auto"/>
        </w:rPr>
      </w:pPr>
    </w:p>
    <w:p>
      <w:pPr>
        <w:jc w:val="both"/>
        <w:ind w:firstLine="435"/>
        <w:spacing w:after="0" w:line="269" w:lineRule="auto"/>
        <w:rPr>
          <w:sz w:val="20"/>
          <w:szCs w:val="20"/>
          <w:color w:val="auto"/>
        </w:rPr>
      </w:pPr>
      <w:r>
        <w:rPr>
          <w:rFonts w:ascii="Arial" w:cs="Arial" w:eastAsia="Arial" w:hAnsi="Arial"/>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82"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SI-BONE,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471 El Camino Real, Suite 101</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Santa Clara, California 95050</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jc w:val="center"/>
        <w:spacing w:after="0" w:line="207" w:lineRule="exact"/>
        <w:rPr>
          <w:sz w:val="20"/>
          <w:szCs w:val="20"/>
          <w:color w:val="auto"/>
        </w:rPr>
      </w:pPr>
      <w:r>
        <w:rPr>
          <w:rFonts w:ascii="Arial" w:cs="Arial" w:eastAsia="Arial" w:hAnsi="Arial"/>
          <w:sz w:val="18"/>
          <w:szCs w:val="18"/>
          <w:color w:val="auto"/>
        </w:rPr>
        <w:t>(408) 207</w:t>
      </w:r>
      <w:r>
        <w:rPr>
          <w:rFonts w:ascii="MS PGothic" w:cs="MS PGothic" w:eastAsia="MS PGothic" w:hAnsi="MS PGothic"/>
          <w:sz w:val="18"/>
          <w:szCs w:val="18"/>
          <w:color w:val="auto"/>
        </w:rPr>
        <w:t>‑</w:t>
      </w:r>
      <w:r>
        <w:rPr>
          <w:rFonts w:ascii="Arial" w:cs="Arial" w:eastAsia="Arial" w:hAnsi="Arial"/>
          <w:sz w:val="18"/>
          <w:szCs w:val="18"/>
          <w:color w:val="auto"/>
        </w:rPr>
        <w:t>0700</w:t>
      </w:r>
    </w:p>
    <w:p>
      <w:pPr>
        <w:sectPr>
          <w:pgSz w:w="11900" w:h="16838" w:orient="portrait"/>
          <w:cols w:equalWidth="0" w:num="1">
            <w:col w:w="11240"/>
          </w:cols>
          <w:pgMar w:left="320" w:top="945"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3,190,053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239395</wp:posOffset>
            </wp:positionV>
            <wp:extent cx="2143125" cy="1225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214312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ectPr>
          <w:pgSz w:w="11900" w:h="16838" w:orient="portrait"/>
          <w:cols w:equalWidth="0" w:num="1">
            <w:col w:w="9800"/>
          </w:cols>
          <w:pgMar w:left="1040" w:top="1440" w:right="105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BofA Securities</w:t>
      </w:r>
    </w:p>
    <w:p>
      <w:pPr>
        <w:spacing w:after="0" w:line="103" w:lineRule="exact"/>
        <w:rPr>
          <w:sz w:val="20"/>
          <w:szCs w:val="20"/>
          <w:color w:val="auto"/>
        </w:rPr>
      </w:pPr>
    </w:p>
    <w:p>
      <w:pPr>
        <w:sectPr>
          <w:pgSz w:w="11900" w:h="16838" w:orient="portrait"/>
          <w:cols w:equalWidth="0" w:num="2">
            <w:col w:w="6920" w:space="720"/>
            <w:col w:w="2160"/>
          </w:cols>
          <w:pgMar w:left="1040" w:top="1440" w:right="1059" w:bottom="1440" w:gutter="0" w:footer="0" w:header="0"/>
          <w:type w:val="continuous"/>
        </w:sectPr>
      </w:pPr>
    </w:p>
    <w:p>
      <w:pPr>
        <w:spacing w:after="0"/>
        <w:rPr>
          <w:sz w:val="20"/>
          <w:szCs w:val="20"/>
          <w:color w:val="auto"/>
        </w:rPr>
      </w:pPr>
      <w:r>
        <w:rPr>
          <w:rFonts w:ascii="Arial" w:cs="Arial" w:eastAsia="Arial" w:hAnsi="Arial"/>
          <w:sz w:val="24"/>
          <w:szCs w:val="24"/>
          <w:b w:val="1"/>
          <w:bCs w:val="1"/>
          <w:color w:val="auto"/>
        </w:rPr>
        <w:t>Cantor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Needham &amp; Company</w:t>
      </w:r>
    </w:p>
    <w:p>
      <w:pPr>
        <w:spacing w:after="0" w:line="211" w:lineRule="exact"/>
        <w:rPr>
          <w:sz w:val="20"/>
          <w:szCs w:val="20"/>
          <w:color w:val="auto"/>
        </w:rPr>
      </w:pPr>
    </w:p>
    <w:p>
      <w:pPr>
        <w:sectPr>
          <w:pgSz w:w="11900" w:h="16838" w:orient="portrait"/>
          <w:cols w:equalWidth="0" w:num="3">
            <w:col w:w="3360" w:space="720"/>
            <w:col w:w="2600" w:space="720"/>
            <w:col w:w="2400"/>
          </w:cols>
          <w:pgMar w:left="1040" w:top="1440"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2020</w:t>
      </w:r>
    </w:p>
    <w:sectPr>
      <w:pgSz w:w="11900" w:h="16838" w:orient="portrait"/>
      <w:cols w:equalWidth="0" w:num="1">
        <w:col w:w="9800"/>
      </w:cols>
      <w:pgMar w:left="1040" w:top="1440" w:right="10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lowerRoman"/>
      <w:start w:val="1"/>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1)"/>
      <w:numFmt w:val="lowerLetter"/>
      <w:start w:val="1"/>
    </w:lvl>
    <w:lvl w:ilvl="1">
      <w:lvlJc w:val="left"/>
      <w:lvlText w:val="(%2)"/>
      <w:numFmt w:val="lowerLetter"/>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408"/>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jpe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42" Type="http://schemas.openxmlformats.org/officeDocument/2006/relationships/image" Target="media/image17.jpeg"/><Relationship Id="rId18" Type="http://schemas.openxmlformats.org/officeDocument/2006/relationships/hyperlink" Target="http://www.sec.gov/Archives/edgar/data/1459839/000145983920000031/sibn1231201910-k.htm" TargetMode="External"/><Relationship Id="rId19" Type="http://schemas.openxmlformats.org/officeDocument/2006/relationships/hyperlink" Target="http://www.sec.gov/Archives/edgar/data/1459839/000145983920000062/sibn331202010-qa.htm" TargetMode="External"/><Relationship Id="rId20" Type="http://schemas.openxmlformats.org/officeDocument/2006/relationships/hyperlink" Target="http://www.sec.gov/ix?doc=/Archives/edgar/data/1459839/000145983920000074/sibn-20200630.htm" TargetMode="External"/><Relationship Id="rId21" Type="http://schemas.openxmlformats.org/officeDocument/2006/relationships/hyperlink" Target="http://www.sec.gov/Archives/edgar/data/1459839/000145983920000018/sibnform8-kxunderwritingag.htm" TargetMode="External"/><Relationship Id="rId22" Type="http://schemas.openxmlformats.org/officeDocument/2006/relationships/hyperlink" Target="http://www.sec.gov/Archives/edgar/data/1459839/000145983920000003/sibn8-k132020fy2020bonuspl.htm" TargetMode="External"/><Relationship Id="rId23" Type="http://schemas.openxmlformats.org/officeDocument/2006/relationships/hyperlink" Target="http://www.sec.gov/Archives/edgar/data/1459839/000145983920000040/sibn2020proxystatement.htm" TargetMode="External"/><Relationship Id="rId24" Type="http://schemas.openxmlformats.org/officeDocument/2006/relationships/hyperlink" Target="http://www.sec.gov/Archives/edgar/data/1459839/000119312518297571/d486750d8a12b.htm" TargetMode="External"/><Relationship Id="rId31" Type="http://schemas.openxmlformats.org/officeDocument/2006/relationships/hyperlink" Target="http://www.sec.gov/Archives/edgar/data/1459839/000145983919000011/sibn1231201810-k.htm" TargetMode="External"/><Relationship Id="rId32" Type="http://schemas.openxmlformats.org/officeDocument/2006/relationships/hyperlink" Target="http://www.sec.gov/Archives/edgar/data/1459839/000145983919000026/sibn331201910-q.htm" TargetMode="External"/><Relationship Id="rId33" Type="http://schemas.openxmlformats.org/officeDocument/2006/relationships/hyperlink" Target="http://www.sec.gov/Archives/edgar/data/1459839/000145983919000035/sibn630201910-q.htm" TargetMode="External"/><Relationship Id="rId34" Type="http://schemas.openxmlformats.org/officeDocument/2006/relationships/hyperlink" Target="http://www.sec.gov/Archives/edgar/data/1459839/000145983919000044/sibn930201910-q.htm" TargetMode="External"/><Relationship Id="rId35" Type="http://schemas.openxmlformats.org/officeDocument/2006/relationships/hyperlink" Target="http://www.sec.gov/Archives/edgar/data/1459839/000145983919000004/sibn-8xkbonusplan.htm" TargetMode="External"/><Relationship Id="rId36" Type="http://schemas.openxmlformats.org/officeDocument/2006/relationships/hyperlink" Target="http://www.sec.gov/Archives/edgar/data/1459839/000145983919000017/sibn-8xkbodchange.htm" TargetMode="External"/><Relationship Id="rId37" Type="http://schemas.openxmlformats.org/officeDocument/2006/relationships/hyperlink" Target="http://www.sec.gov/Archives/edgar/data/1459839/000145983919000028/sibn8-k.htm" TargetMode="External"/><Relationship Id="rId38" Type="http://schemas.openxmlformats.org/officeDocument/2006/relationships/hyperlink" Target="http://www.sec.gov/Archives/edgar/data/1459839/000145983919000033/sibn630198-k.htm" TargetMode="External"/><Relationship Id="rId39" Type="http://schemas.openxmlformats.org/officeDocument/2006/relationships/hyperlink" Target="http://www.sec.gov/Archives/edgar/data/1459839/000145983919000037/sibn8-k8132019bodresignati.htm" TargetMode="External"/><Relationship Id="rId40" Type="http://schemas.openxmlformats.org/officeDocument/2006/relationships/hyperlink" Target="http://www.sec.gov/Archives/edgar/data/1459839/000145983919000053/sibn8-k12419bodadditionxhi.htm" TargetMode="External"/><Relationship Id="rId41" Type="http://schemas.openxmlformats.org/officeDocument/2006/relationships/hyperlink" Target="http://www.sec.gov/Archives/edgar/data/1459839/000145983919000021/sibn2019proxystat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2020-10-14T15:05:57Z</dcterms:created>
  <dcterms:modified xsi:type="dcterms:W3CDTF">2020-10-14T15:05:57Z</dcterms:modified>
</cp:coreProperties>
</file>