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422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4223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PISETSKY MICHAEL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385"/>
        <w:spacing w:after="0"/>
        <w:rPr>
          <w:sz w:val="20"/>
          <w:szCs w:val="20"/>
          <w:color w:val="auto"/>
        </w:rPr>
      </w:pPr>
      <w:r>
        <w:rPr>
          <w:rFonts w:ascii="Times New Roman" w:cs="Times New Roman" w:eastAsia="Times New Roman" w:hAnsi="Times New Roman"/>
          <w:sz w:val="17"/>
          <w:szCs w:val="17"/>
          <w:color w:val="0000FF"/>
        </w:rPr>
        <w:t>SVP, Ops &amp; Adm/Chief Legal Ofr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352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52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5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02/16/2026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58"/>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58,720</w:t>
            </w:r>
            <w:r>
              <w:rPr>
                <w:rFonts w:ascii="Times New Roman" w:cs="Times New Roman" w:eastAsia="Times New Roman" w:hAnsi="Times New Roman"/>
                <w:sz w:val="22"/>
                <w:szCs w:val="22"/>
                <w:color w:val="008000"/>
                <w:w w:val="97"/>
                <w:vertAlign w:val="superscript"/>
              </w:rPr>
              <w:t>(1)</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gridSpan w:val="2"/>
          </w:tcPr>
          <w:p>
            <w:pPr>
              <w:jc w:val="center"/>
              <w:ind w:left="8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287,156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02/16/2026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58"/>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7"/>
                <w:szCs w:val="17"/>
                <w:color w:val="0000FF"/>
                <w:w w:val="93"/>
              </w:rPr>
              <w:t>9,787</w:t>
            </w:r>
            <w:r>
              <w:rPr>
                <w:rFonts w:ascii="Times New Roman" w:cs="Times New Roman" w:eastAsia="Times New Roman" w:hAnsi="Times New Roman"/>
                <w:sz w:val="22"/>
                <w:szCs w:val="22"/>
                <w:color w:val="008000"/>
                <w:w w:val="93"/>
                <w:vertAlign w:val="superscript"/>
              </w:rPr>
              <w:t>(2)</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gridSpan w:val="2"/>
          </w:tcPr>
          <w:p>
            <w:pPr>
              <w:jc w:val="center"/>
              <w:ind w:left="8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296,943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02/16/2026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58"/>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tcBorders>
              <w:bottom w:val="single" w:sz="8" w:color="2C2C2C"/>
            </w:tcBorders>
          </w:tcPr>
          <w:p>
            <w:pPr>
              <w:jc w:val="center"/>
              <w:ind w:right="2"/>
              <w:spacing w:after="0"/>
              <w:rPr>
                <w:sz w:val="20"/>
                <w:szCs w:val="20"/>
                <w:color w:val="auto"/>
              </w:rPr>
            </w:pPr>
            <w:r>
              <w:rPr>
                <w:rFonts w:ascii="Times New Roman" w:cs="Times New Roman" w:eastAsia="Times New Roman" w:hAnsi="Times New Roman"/>
                <w:sz w:val="17"/>
                <w:szCs w:val="17"/>
                <w:color w:val="0000FF"/>
                <w:w w:val="93"/>
              </w:rPr>
              <w:t>9,787</w:t>
            </w:r>
            <w:r>
              <w:rPr>
                <w:rFonts w:ascii="Times New Roman" w:cs="Times New Roman" w:eastAsia="Times New Roman" w:hAnsi="Times New Roman"/>
                <w:sz w:val="22"/>
                <w:szCs w:val="22"/>
                <w:color w:val="008000"/>
                <w:w w:val="93"/>
                <w:vertAlign w:val="superscript"/>
              </w:rPr>
              <w:t>(2)</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gridSpan w:val="2"/>
          </w:tcPr>
          <w:p>
            <w:pPr>
              <w:jc w:val="center"/>
              <w:ind w:left="8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306,730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02/17/2026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358"/>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2,556</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15.3897</w:t>
            </w:r>
            <w:r>
              <w:rPr>
                <w:rFonts w:ascii="Times New Roman" w:cs="Times New Roman" w:eastAsia="Times New Roman" w:hAnsi="Times New Roman"/>
                <w:sz w:val="22"/>
                <w:szCs w:val="22"/>
                <w:color w:val="008000"/>
                <w:w w:val="95"/>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304,174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02/17/2026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358"/>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3,296</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15.4144</w:t>
            </w:r>
            <w:r>
              <w:rPr>
                <w:rFonts w:ascii="Times New Roman" w:cs="Times New Roman" w:eastAsia="Times New Roman" w:hAnsi="Times New Roman"/>
                <w:sz w:val="22"/>
                <w:szCs w:val="22"/>
                <w:color w:val="008000"/>
                <w:w w:val="95"/>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300,878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02/17/2026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358"/>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1,481</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15.3193</w:t>
            </w:r>
            <w:r>
              <w:rPr>
                <w:rFonts w:ascii="Times New Roman" w:cs="Times New Roman" w:eastAsia="Times New Roman" w:hAnsi="Times New Roman"/>
                <w:sz w:val="22"/>
                <w:szCs w:val="22"/>
                <w:color w:val="008000"/>
                <w:w w:val="95"/>
                <w:vertAlign w:val="superscript"/>
              </w:rPr>
              <w:t>(6)</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299,397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02/17/2026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358"/>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11,569</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15.3365</w:t>
            </w:r>
            <w:r>
              <w:rPr>
                <w:rFonts w:ascii="Times New Roman" w:cs="Times New Roman" w:eastAsia="Times New Roman" w:hAnsi="Times New Roman"/>
                <w:sz w:val="22"/>
                <w:szCs w:val="22"/>
                <w:color w:val="008000"/>
                <w:w w:val="95"/>
                <w:vertAlign w:val="superscript"/>
              </w:rPr>
              <w:t>(7)</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287,828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02/17/2026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right="358"/>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1,854</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15.3099</w:t>
            </w:r>
            <w:r>
              <w:rPr>
                <w:rFonts w:ascii="Times New Roman" w:cs="Times New Roman" w:eastAsia="Times New Roman" w:hAnsi="Times New Roman"/>
                <w:sz w:val="22"/>
                <w:szCs w:val="22"/>
                <w:color w:val="008000"/>
                <w:w w:val="95"/>
                <w:vertAlign w:val="superscript"/>
              </w:rPr>
              <w:t>(6)</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285,974</w:t>
            </w:r>
            <w:r>
              <w:rPr>
                <w:rFonts w:ascii="Times New Roman" w:cs="Times New Roman" w:eastAsia="Times New Roman" w:hAnsi="Times New Roman"/>
                <w:sz w:val="22"/>
                <w:szCs w:val="22"/>
                <w:color w:val="008000"/>
                <w:w w:val="96"/>
                <w:vertAlign w:val="superscript"/>
              </w:rPr>
              <w:t>(8)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over four years beginning on February 15, 2026, and will be released in quarterly installments, subject to the Reporting Person's continued service through each relevant vesting date.</w:t>
      </w:r>
    </w:p>
    <w:p>
      <w:pPr>
        <w:spacing w:after="0" w:line="2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if at all, over three years based on the Issuer's total shareholder return (TSR) as measured against the TSR of the company at the median of the range TSRs of a set of peer companies established by the Issuer as set forth in the grant.</w:t>
      </w:r>
    </w:p>
    <w:p>
      <w:pPr>
        <w:spacing w:after="0" w:line="20"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$15.24 USD to $15.62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$15.25 USD to $15.64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$15.13 USD to $15.51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$15.13 USD to $15.64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the range set forth in this footnote.</w:t>
      </w:r>
    </w:p>
    <w:p>
      <w:pPr>
        <w:spacing w:after="0" w:line="50" w:lineRule="exact"/>
        <w:rPr>
          <w:sz w:val="20"/>
          <w:szCs w:val="20"/>
          <w:color w:val="auto"/>
        </w:rPr>
      </w:pPr>
    </w:p>
    <w:p>
      <w:pPr>
        <w:ind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157,176 shares issuable on the settlement of restricted stock units granted to the Reporting Person. Each restricted stock unit represents a contingent right to receive one share of the Issuer's common stock.</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A. Pisetsky</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02/18/2026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96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60"/>
      </w:cols>
      <w:pgMar w:left="500" w:top="127"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4765"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2026-02-18T18:17:49Z</dcterms:created>
  <dcterms:modified xsi:type="dcterms:W3CDTF">2026-02-18T18:17:49Z</dcterms:modified>
</cp:coreProperties>
</file>