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82"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w w:val="97"/>
              </w:rPr>
            </w:pPr>
            <w:hyperlink r:id="rId11">
              <w:r>
                <w:rPr>
                  <w:rFonts w:ascii="Arial" w:cs="Arial" w:eastAsia="Arial" w:hAnsi="Arial"/>
                  <w:sz w:val="22"/>
                  <w:szCs w:val="22"/>
                  <w:color w:val="0000EE"/>
                  <w:w w:val="97"/>
                </w:rPr>
                <w:t>Montreux Equity Partners IV, L.P.</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960" w:type="dxa"/>
            <w:vAlign w:val="bottom"/>
            <w:tcBorders>
              <w:top w:val="single" w:sz="8" w:color="0000EE"/>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10/16/2018</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4"/>
                <w:szCs w:val="14"/>
                <w:color w:val="auto"/>
              </w:rPr>
              <w:t>(Last)</w:t>
            </w:r>
          </w:p>
        </w:tc>
        <w:tc>
          <w:tcPr>
            <w:tcW w:w="760" w:type="dxa"/>
            <w:vAlign w:val="bottom"/>
          </w:tcPr>
          <w:p>
            <w:pPr>
              <w:ind w:left="60"/>
              <w:spacing w:after="0"/>
              <w:rPr>
                <w:sz w:val="20"/>
                <w:szCs w:val="20"/>
                <w:color w:val="auto"/>
              </w:rPr>
            </w:pPr>
            <w:r>
              <w:rPr>
                <w:rFonts w:ascii="Arial" w:cs="Arial" w:eastAsia="Arial" w:hAnsi="Arial"/>
                <w:sz w:val="14"/>
                <w:szCs w:val="14"/>
                <w:color w:val="auto"/>
              </w:rPr>
              <w:t>(First)</w:t>
            </w:r>
          </w:p>
        </w:tc>
        <w:tc>
          <w:tcPr>
            <w:tcW w:w="1420" w:type="dxa"/>
            <w:vAlign w:val="bottom"/>
          </w:tcPr>
          <w:p>
            <w:pPr>
              <w:ind w:left="38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ONE FERRY BUILDING, SUITE 255</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7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rPr>
              <w:t>SAN</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0000FF"/>
              </w:rPr>
              <w:t>CA</w:t>
            </w:r>
          </w:p>
        </w:tc>
        <w:tc>
          <w:tcPr>
            <w:tcW w:w="1420" w:type="dxa"/>
            <w:vAlign w:val="bottom"/>
            <w:vMerge w:val="restart"/>
          </w:tcPr>
          <w:p>
            <w:pPr>
              <w:ind w:left="380"/>
              <w:spacing w:after="0"/>
              <w:rPr>
                <w:sz w:val="20"/>
                <w:szCs w:val="20"/>
                <w:color w:val="auto"/>
              </w:rPr>
            </w:pPr>
            <w:r>
              <w:rPr>
                <w:rFonts w:ascii="Arial" w:cs="Arial" w:eastAsia="Arial" w:hAnsi="Arial"/>
                <w:sz w:val="18"/>
                <w:szCs w:val="18"/>
                <w:color w:val="0000FF"/>
              </w:rPr>
              <w:t>94111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Arial" w:cs="Arial" w:eastAsia="Arial" w:hAnsi="Arial"/>
                <w:sz w:val="18"/>
                <w:szCs w:val="18"/>
                <w:color w:val="0000FF"/>
                <w:w w:val="96"/>
              </w:rPr>
              <w:t>FRANCISCO</w:t>
            </w:r>
          </w:p>
        </w:tc>
        <w:tc>
          <w:tcPr>
            <w:tcW w:w="76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Borders>
              <w:bottom w:val="single" w:sz="8" w:color="2C2C2C"/>
            </w:tcBorders>
          </w:tcPr>
          <w:p>
            <w:pPr>
              <w:spacing w:after="0"/>
              <w:rPr>
                <w:sz w:val="20"/>
                <w:szCs w:val="20"/>
                <w:color w:val="auto"/>
              </w:rPr>
            </w:pPr>
          </w:p>
        </w:tc>
        <w:tc>
          <w:tcPr>
            <w:tcW w:w="2680" w:type="dxa"/>
            <w:vAlign w:val="bottom"/>
            <w:tcBorders>
              <w:bottom w:val="single" w:sz="8" w:color="2C2C2C"/>
            </w:tcBorders>
          </w:tcPr>
          <w:p>
            <w:pPr>
              <w:spacing w:after="0"/>
              <w:rPr>
                <w:sz w:val="20"/>
                <w:szCs w:val="20"/>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1660" w:type="dxa"/>
            <w:vAlign w:val="bottom"/>
          </w:tcPr>
          <w:p>
            <w:pPr>
              <w:ind w:left="50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bl>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82"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80" w:type="dxa"/>
            <w:vAlign w:val="bottom"/>
            <w:gridSpan w:val="5"/>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5"/>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980" w:type="dxa"/>
            <w:vAlign w:val="bottom"/>
          </w:tcPr>
          <w:p>
            <w:pPr>
              <w:spacing w:after="0"/>
              <w:rPr>
                <w:sz w:val="4"/>
                <w:szCs w:val="4"/>
                <w:color w:val="auto"/>
              </w:rPr>
            </w:pPr>
          </w:p>
        </w:tc>
        <w:tc>
          <w:tcPr>
            <w:tcW w:w="9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gridSpan w:val="4"/>
          </w:tcPr>
          <w:p>
            <w:pPr>
              <w:ind w:left="80"/>
              <w:spacing w:after="0"/>
              <w:rPr>
                <w:sz w:val="20"/>
                <w:szCs w:val="20"/>
                <w:color w:val="auto"/>
              </w:rPr>
            </w:pPr>
            <w:r>
              <w:rPr>
                <w:rFonts w:ascii="Arial" w:cs="Arial" w:eastAsia="Arial" w:hAnsi="Arial"/>
                <w:sz w:val="14"/>
                <w:szCs w:val="14"/>
                <w:b w:val="1"/>
                <w:bCs w:val="1"/>
                <w:color w:val="auto"/>
              </w:rPr>
              <w:t>Date</w:t>
            </w:r>
          </w:p>
        </w:tc>
        <w:tc>
          <w:tcPr>
            <w:tcW w:w="1980" w:type="dxa"/>
            <w:vAlign w:val="bottom"/>
            <w:vMerge w:val="continue"/>
          </w:tcPr>
          <w:p>
            <w:pPr>
              <w:spacing w:after="0"/>
              <w:rPr>
                <w:sz w:val="15"/>
                <w:szCs w:val="15"/>
                <w:color w:val="auto"/>
              </w:rPr>
            </w:pPr>
          </w:p>
        </w:tc>
        <w:tc>
          <w:tcPr>
            <w:tcW w:w="900" w:type="dxa"/>
            <w:vAlign w:val="bottom"/>
          </w:tcPr>
          <w:p>
            <w:pPr>
              <w:ind w:left="1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60"/>
              <w:spacing w:after="0"/>
              <w:rPr>
                <w:sz w:val="20"/>
                <w:szCs w:val="20"/>
                <w:color w:val="auto"/>
              </w:rPr>
            </w:pPr>
            <w:r>
              <w:rPr>
                <w:rFonts w:ascii="Arial" w:cs="Arial" w:eastAsia="Arial" w:hAnsi="Arial"/>
                <w:sz w:val="18"/>
                <w:szCs w:val="18"/>
                <w:color w:val="0000FF"/>
              </w:rPr>
              <w:t>Series 5 Preferred Stock</w:t>
            </w:r>
          </w:p>
        </w:tc>
        <w:tc>
          <w:tcPr>
            <w:tcW w:w="1400" w:type="dxa"/>
            <w:vAlign w:val="bottom"/>
            <w:gridSpan w:val="3"/>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tcPr>
          <w:p>
            <w:pPr>
              <w:jc w:val="center"/>
              <w:spacing w:after="0"/>
              <w:rPr>
                <w:sz w:val="20"/>
                <w:szCs w:val="20"/>
                <w:color w:val="auto"/>
              </w:rPr>
            </w:pPr>
            <w:r>
              <w:rPr>
                <w:rFonts w:ascii="Arial" w:cs="Arial" w:eastAsia="Arial" w:hAnsi="Arial"/>
                <w:sz w:val="18"/>
                <w:szCs w:val="18"/>
                <w:color w:val="0000FF"/>
                <w:w w:val="87"/>
              </w:rPr>
              <w:t>1,096,816</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9"/>
              </w:rPr>
              <w:t>Equity Partners IV,</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3"/>
            <w:vMerge w:val="restart"/>
          </w:tcPr>
          <w:p>
            <w:pPr>
              <w:ind w:left="60"/>
              <w:spacing w:after="0"/>
              <w:rPr>
                <w:sz w:val="20"/>
                <w:szCs w:val="20"/>
                <w:color w:val="auto"/>
              </w:rPr>
            </w:pPr>
            <w:r>
              <w:rPr>
                <w:rFonts w:ascii="Arial" w:cs="Arial" w:eastAsia="Arial" w:hAnsi="Arial"/>
                <w:sz w:val="18"/>
                <w:szCs w:val="18"/>
                <w:color w:val="0000FF"/>
              </w:rPr>
              <w:t>Series 5 Preferred Stock</w:t>
            </w:r>
          </w:p>
        </w:tc>
        <w:tc>
          <w:tcPr>
            <w:tcW w:w="1400" w:type="dxa"/>
            <w:vAlign w:val="bottom"/>
            <w:gridSpan w:val="3"/>
            <w:vMerge w:val="restart"/>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7"/>
              </w:rPr>
              <w:t>78,564</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 IV</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9"/>
              </w:rPr>
              <w:t>Associates, LLC</w:t>
            </w:r>
            <w:r>
              <w:rPr>
                <w:rFonts w:ascii="Arial" w:cs="Arial" w:eastAsia="Arial" w:hAnsi="Arial"/>
                <w:sz w:val="22"/>
                <w:szCs w:val="22"/>
                <w:color w:val="008000"/>
                <w:w w:val="9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9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9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60"/>
              <w:spacing w:after="0"/>
              <w:rPr>
                <w:sz w:val="20"/>
                <w:szCs w:val="20"/>
                <w:color w:val="auto"/>
              </w:rPr>
            </w:pPr>
            <w:r>
              <w:rPr>
                <w:rFonts w:ascii="Arial" w:cs="Arial" w:eastAsia="Arial" w:hAnsi="Arial"/>
                <w:sz w:val="18"/>
                <w:szCs w:val="18"/>
                <w:color w:val="0000FF"/>
              </w:rPr>
              <w:t>Series 6 Preferred Stock</w:t>
            </w:r>
          </w:p>
        </w:tc>
        <w:tc>
          <w:tcPr>
            <w:tcW w:w="1400" w:type="dxa"/>
            <w:vAlign w:val="bottom"/>
            <w:gridSpan w:val="3"/>
          </w:tcPr>
          <w:p>
            <w:pPr>
              <w:jc w:val="right"/>
              <w:ind w:right="292"/>
              <w:spacing w:after="0"/>
              <w:rPr>
                <w:sz w:val="20"/>
                <w:szCs w:val="20"/>
                <w:color w:val="auto"/>
              </w:rPr>
            </w:pPr>
            <w:r>
              <w:rPr>
                <w:rFonts w:ascii="Arial" w:cs="Arial" w:eastAsia="Arial" w:hAnsi="Arial"/>
                <w:sz w:val="11"/>
                <w:szCs w:val="11"/>
                <w:color w:val="008000"/>
              </w:rPr>
              <w:t>(3)</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(3)</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tcPr>
          <w:p>
            <w:pPr>
              <w:jc w:val="center"/>
              <w:spacing w:after="0"/>
              <w:rPr>
                <w:sz w:val="20"/>
                <w:szCs w:val="20"/>
                <w:color w:val="auto"/>
              </w:rPr>
            </w:pPr>
            <w:r>
              <w:rPr>
                <w:rFonts w:ascii="Arial" w:cs="Arial" w:eastAsia="Arial" w:hAnsi="Arial"/>
                <w:sz w:val="18"/>
                <w:szCs w:val="18"/>
                <w:color w:val="0000FF"/>
                <w:w w:val="89"/>
              </w:rPr>
              <w:t>563,926</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9"/>
              </w:rPr>
              <w:t>Equity Partners IV,</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940" w:type="dxa"/>
            <w:vAlign w:val="bottom"/>
            <w:gridSpan w:val="3"/>
            <w:vMerge w:val="restart"/>
          </w:tcPr>
          <w:p>
            <w:pPr>
              <w:ind w:left="60"/>
              <w:spacing w:after="0"/>
              <w:rPr>
                <w:sz w:val="20"/>
                <w:szCs w:val="20"/>
                <w:color w:val="auto"/>
              </w:rPr>
            </w:pPr>
            <w:r>
              <w:rPr>
                <w:rFonts w:ascii="Arial" w:cs="Arial" w:eastAsia="Arial" w:hAnsi="Arial"/>
                <w:sz w:val="18"/>
                <w:szCs w:val="18"/>
                <w:color w:val="0000FF"/>
              </w:rPr>
              <w:t>Series 6 Preferred Stock</w:t>
            </w:r>
          </w:p>
        </w:tc>
        <w:tc>
          <w:tcPr>
            <w:tcW w:w="1400" w:type="dxa"/>
            <w:vAlign w:val="bottom"/>
            <w:gridSpan w:val="3"/>
            <w:vMerge w:val="restart"/>
          </w:tcPr>
          <w:p>
            <w:pPr>
              <w:jc w:val="right"/>
              <w:ind w:right="292"/>
              <w:spacing w:after="0"/>
              <w:rPr>
                <w:sz w:val="20"/>
                <w:szCs w:val="20"/>
                <w:color w:val="auto"/>
              </w:rPr>
            </w:pPr>
            <w:r>
              <w:rPr>
                <w:rFonts w:ascii="Arial" w:cs="Arial" w:eastAsia="Arial" w:hAnsi="Arial"/>
                <w:sz w:val="11"/>
                <w:szCs w:val="11"/>
                <w:color w:val="008000"/>
              </w:rPr>
              <w:t>(3)</w:t>
            </w:r>
          </w:p>
        </w:tc>
        <w:tc>
          <w:tcPr>
            <w:tcW w:w="800" w:type="dxa"/>
            <w:vAlign w:val="bottom"/>
            <w:gridSpan w:val="4"/>
            <w:vMerge w:val="restart"/>
          </w:tcPr>
          <w:p>
            <w:pPr>
              <w:jc w:val="center"/>
              <w:spacing w:after="0"/>
              <w:rPr>
                <w:sz w:val="20"/>
                <w:szCs w:val="20"/>
                <w:color w:val="auto"/>
              </w:rPr>
            </w:pPr>
            <w:r>
              <w:rPr>
                <w:rFonts w:ascii="Arial" w:cs="Arial" w:eastAsia="Arial" w:hAnsi="Arial"/>
                <w:sz w:val="11"/>
                <w:szCs w:val="11"/>
                <w:color w:val="008000"/>
              </w:rPr>
              <w:t>(3)</w:t>
            </w:r>
          </w:p>
        </w:tc>
        <w:tc>
          <w:tcPr>
            <w:tcW w:w="1980" w:type="dxa"/>
            <w:vAlign w:val="bottom"/>
            <w:vMerge w:val="restart"/>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0000FF"/>
                <w:w w:val="87"/>
              </w:rPr>
              <w:t>48,950</w:t>
            </w:r>
          </w:p>
        </w:tc>
        <w:tc>
          <w:tcPr>
            <w:tcW w:w="88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88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 IV</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19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w w:val="99"/>
              </w:rPr>
              <w:t>Associates, LLC</w:t>
            </w:r>
            <w:r>
              <w:rPr>
                <w:rFonts w:ascii="Arial" w:cs="Arial" w:eastAsia="Arial" w:hAnsi="Arial"/>
                <w:sz w:val="22"/>
                <w:szCs w:val="22"/>
                <w:color w:val="008000"/>
                <w:w w:val="9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9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19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60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60"/>
              <w:spacing w:after="0"/>
              <w:rPr>
                <w:sz w:val="20"/>
                <w:szCs w:val="20"/>
                <w:color w:val="auto"/>
              </w:rPr>
            </w:pPr>
            <w:r>
              <w:rPr>
                <w:rFonts w:ascii="Arial" w:cs="Arial" w:eastAsia="Arial" w:hAnsi="Arial"/>
                <w:sz w:val="18"/>
                <w:szCs w:val="18"/>
                <w:color w:val="0000FF"/>
              </w:rPr>
              <w:t>Series 7 Preferred Stock</w:t>
            </w:r>
          </w:p>
        </w:tc>
        <w:tc>
          <w:tcPr>
            <w:tcW w:w="1400" w:type="dxa"/>
            <w:vAlign w:val="bottom"/>
            <w:gridSpan w:val="3"/>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tcPr>
          <w:p>
            <w:pPr>
              <w:jc w:val="center"/>
              <w:spacing w:after="0"/>
              <w:rPr>
                <w:sz w:val="20"/>
                <w:szCs w:val="20"/>
                <w:color w:val="auto"/>
              </w:rPr>
            </w:pPr>
            <w:r>
              <w:rPr>
                <w:rFonts w:ascii="Arial" w:cs="Arial" w:eastAsia="Arial" w:hAnsi="Arial"/>
                <w:sz w:val="18"/>
                <w:szCs w:val="18"/>
                <w:color w:val="0000FF"/>
                <w:w w:val="87"/>
              </w:rPr>
              <w:t>27,409</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9"/>
              </w:rPr>
              <w:t>Equity Partners IV,</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 IV</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60"/>
              <w:spacing w:after="0"/>
              <w:rPr>
                <w:sz w:val="20"/>
                <w:szCs w:val="20"/>
                <w:color w:val="auto"/>
              </w:rPr>
            </w:pPr>
            <w:r>
              <w:rPr>
                <w:rFonts w:ascii="Arial" w:cs="Arial" w:eastAsia="Arial" w:hAnsi="Arial"/>
                <w:sz w:val="18"/>
                <w:szCs w:val="18"/>
                <w:color w:val="0000FF"/>
              </w:rPr>
              <w:t>Series 7 Preferred Stock</w:t>
            </w:r>
          </w:p>
        </w:tc>
        <w:tc>
          <w:tcPr>
            <w:tcW w:w="1400" w:type="dxa"/>
            <w:vAlign w:val="bottom"/>
            <w:gridSpan w:val="3"/>
          </w:tcPr>
          <w:p>
            <w:pPr>
              <w:jc w:val="right"/>
              <w:ind w:right="292"/>
              <w:spacing w:after="0"/>
              <w:rPr>
                <w:sz w:val="20"/>
                <w:szCs w:val="20"/>
                <w:color w:val="auto"/>
              </w:rPr>
            </w:pPr>
            <w:r>
              <w:rPr>
                <w:rFonts w:ascii="Arial" w:cs="Arial" w:eastAsia="Arial" w:hAnsi="Arial"/>
                <w:sz w:val="11"/>
                <w:szCs w:val="11"/>
                <w:color w:val="008000"/>
              </w:rPr>
              <w:t>(1)</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(1)</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Common Stock</w:t>
            </w:r>
          </w:p>
        </w:tc>
        <w:tc>
          <w:tcPr>
            <w:tcW w:w="900" w:type="dxa"/>
            <w:vAlign w:val="bottom"/>
          </w:tcPr>
          <w:p>
            <w:pPr>
              <w:jc w:val="center"/>
              <w:spacing w:after="0"/>
              <w:rPr>
                <w:sz w:val="20"/>
                <w:szCs w:val="20"/>
                <w:color w:val="auto"/>
              </w:rPr>
            </w:pPr>
            <w:r>
              <w:rPr>
                <w:rFonts w:ascii="Arial" w:cs="Arial" w:eastAsia="Arial" w:hAnsi="Arial"/>
                <w:sz w:val="18"/>
                <w:szCs w:val="18"/>
                <w:color w:val="0000FF"/>
                <w:w w:val="89"/>
              </w:rPr>
              <w:t>171,929</w:t>
            </w:r>
          </w:p>
        </w:tc>
        <w:tc>
          <w:tcPr>
            <w:tcW w:w="88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Associates IV,</w:t>
            </w: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LLC</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rPr>
              <w:t>By Montreux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gridSpan w:val="3"/>
          </w:tcPr>
          <w:p>
            <w:pPr>
              <w:ind w:left="60"/>
              <w:spacing w:after="0"/>
              <w:rPr>
                <w:sz w:val="20"/>
                <w:szCs w:val="20"/>
                <w:color w:val="auto"/>
              </w:rPr>
            </w:pPr>
            <w:r>
              <w:rPr>
                <w:rFonts w:ascii="Arial" w:cs="Arial" w:eastAsia="Arial" w:hAnsi="Arial"/>
                <w:sz w:val="18"/>
                <w:szCs w:val="18"/>
                <w:color w:val="0000FF"/>
              </w:rPr>
              <w:t>Warrant (right to buy)</w:t>
            </w:r>
          </w:p>
        </w:tc>
        <w:tc>
          <w:tcPr>
            <w:tcW w:w="1400" w:type="dxa"/>
            <w:vAlign w:val="bottom"/>
            <w:gridSpan w:val="3"/>
          </w:tcPr>
          <w:p>
            <w:pPr>
              <w:jc w:val="right"/>
              <w:ind w:right="292"/>
              <w:spacing w:after="0"/>
              <w:rPr>
                <w:sz w:val="20"/>
                <w:szCs w:val="20"/>
                <w:color w:val="auto"/>
              </w:rPr>
            </w:pPr>
            <w:r>
              <w:rPr>
                <w:rFonts w:ascii="Arial" w:cs="Arial" w:eastAsia="Arial" w:hAnsi="Arial"/>
                <w:sz w:val="11"/>
                <w:szCs w:val="11"/>
                <w:color w:val="008000"/>
              </w:rPr>
              <w:t>(4)</w:t>
            </w:r>
          </w:p>
        </w:tc>
        <w:tc>
          <w:tcPr>
            <w:tcW w:w="800" w:type="dxa"/>
            <w:vAlign w:val="bottom"/>
            <w:gridSpan w:val="4"/>
          </w:tcPr>
          <w:p>
            <w:pPr>
              <w:jc w:val="center"/>
              <w:spacing w:after="0"/>
              <w:rPr>
                <w:sz w:val="20"/>
                <w:szCs w:val="20"/>
                <w:color w:val="auto"/>
              </w:rPr>
            </w:pPr>
            <w:r>
              <w:rPr>
                <w:rFonts w:ascii="Arial" w:cs="Arial" w:eastAsia="Arial" w:hAnsi="Arial"/>
                <w:sz w:val="11"/>
                <w:szCs w:val="11"/>
                <w:color w:val="008000"/>
              </w:rPr>
              <w:t>(4)</w:t>
            </w:r>
          </w:p>
        </w:tc>
        <w:tc>
          <w:tcPr>
            <w:tcW w:w="1980" w:type="dxa"/>
            <w:vAlign w:val="bottom"/>
          </w:tcPr>
          <w:p>
            <w:pPr>
              <w:jc w:val="center"/>
              <w:spacing w:after="0"/>
              <w:rPr>
                <w:sz w:val="20"/>
                <w:szCs w:val="20"/>
                <w:color w:val="auto"/>
              </w:rPr>
            </w:pPr>
            <w:r>
              <w:rPr>
                <w:rFonts w:ascii="Arial" w:cs="Arial" w:eastAsia="Arial" w:hAnsi="Arial"/>
                <w:sz w:val="18"/>
                <w:szCs w:val="18"/>
                <w:color w:val="0000FF"/>
                <w:w w:val="87"/>
              </w:rPr>
              <w:t>Series 5 Preferred Stock</w:t>
            </w:r>
          </w:p>
        </w:tc>
        <w:tc>
          <w:tcPr>
            <w:tcW w:w="900" w:type="dxa"/>
            <w:vAlign w:val="bottom"/>
          </w:tcPr>
          <w:p>
            <w:pPr>
              <w:jc w:val="center"/>
              <w:spacing w:after="0"/>
              <w:rPr>
                <w:sz w:val="20"/>
                <w:szCs w:val="20"/>
                <w:color w:val="auto"/>
              </w:rPr>
            </w:pPr>
            <w:r>
              <w:rPr>
                <w:rFonts w:ascii="Arial" w:cs="Arial" w:eastAsia="Arial" w:hAnsi="Arial"/>
                <w:sz w:val="18"/>
                <w:szCs w:val="18"/>
                <w:color w:val="0000FF"/>
                <w:w w:val="87"/>
              </w:rPr>
              <w:t>15,496</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9.1</w:t>
            </w:r>
          </w:p>
        </w:tc>
        <w:tc>
          <w:tcPr>
            <w:tcW w:w="880" w:type="dxa"/>
            <w:vAlign w:val="bottom"/>
          </w:tcPr>
          <w:p>
            <w:pPr>
              <w:ind w:left="420"/>
              <w:spacing w:after="0"/>
              <w:rPr>
                <w:sz w:val="20"/>
                <w:szCs w:val="20"/>
                <w:color w:val="auto"/>
              </w:rPr>
            </w:pPr>
            <w:r>
              <w:rPr>
                <w:rFonts w:ascii="Arial" w:cs="Arial" w:eastAsia="Arial" w:hAnsi="Arial"/>
                <w:sz w:val="18"/>
                <w:szCs w:val="18"/>
                <w:color w:val="0000FF"/>
              </w:rPr>
              <w:t>I</w:t>
            </w:r>
          </w:p>
        </w:tc>
        <w:tc>
          <w:tcPr>
            <w:tcW w:w="1620" w:type="dxa"/>
            <w:vAlign w:val="bottom"/>
            <w:gridSpan w:val="2"/>
          </w:tcPr>
          <w:p>
            <w:pPr>
              <w:ind w:left="100"/>
              <w:spacing w:after="0"/>
              <w:rPr>
                <w:sz w:val="20"/>
                <w:szCs w:val="20"/>
                <w:color w:val="auto"/>
              </w:rPr>
            </w:pPr>
            <w:r>
              <w:rPr>
                <w:rFonts w:ascii="Arial" w:cs="Arial" w:eastAsia="Arial" w:hAnsi="Arial"/>
                <w:sz w:val="18"/>
                <w:szCs w:val="18"/>
                <w:color w:val="0000FF"/>
                <w:w w:val="99"/>
              </w:rPr>
              <w:t>Equity Partners IV,</w:t>
            </w:r>
          </w:p>
        </w:tc>
        <w:tc>
          <w:tcPr>
            <w:tcW w:w="0" w:type="dxa"/>
            <w:vAlign w:val="bottom"/>
          </w:tcPr>
          <w:p>
            <w:pPr>
              <w:spacing w:after="0"/>
              <w:rPr>
                <w:sz w:val="1"/>
                <w:szCs w:val="1"/>
                <w:color w:val="auto"/>
              </w:rPr>
            </w:pPr>
          </w:p>
        </w:tc>
      </w:tr>
      <w:tr>
        <w:trPr>
          <w:trHeight w:val="325"/>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940" w:type="dxa"/>
            <w:vAlign w:val="bottom"/>
            <w:tcBorders>
              <w:top w:val="single" w:sz="8" w:color="2C2C2C"/>
            </w:tcBorders>
            <w:gridSpan w:val="3"/>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20" w:type="dxa"/>
            <w:vAlign w:val="bottom"/>
            <w:tcBorders>
              <w:top w:val="single" w:sz="8" w:color="2C2C2C"/>
            </w:tcBorders>
          </w:tcPr>
          <w:p>
            <w:pPr>
              <w:spacing w:after="0"/>
              <w:rPr>
                <w:sz w:val="21"/>
                <w:szCs w:val="21"/>
                <w:color w:val="auto"/>
              </w:rPr>
            </w:pPr>
          </w:p>
        </w:tc>
        <w:tc>
          <w:tcPr>
            <w:tcW w:w="40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40" w:type="dxa"/>
            <w:vAlign w:val="bottom"/>
            <w:gridSpan w:val="5"/>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Montreux Equity Partners IV, L.P.</w:t>
              </w:r>
            </w:hyperlink>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90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tcPr>
          <w:p>
            <w:pPr>
              <w:ind w:left="520"/>
              <w:spacing w:after="0"/>
              <w:rPr>
                <w:sz w:val="20"/>
                <w:szCs w:val="20"/>
                <w:color w:val="auto"/>
              </w:rPr>
            </w:pPr>
            <w:r>
              <w:rPr>
                <w:rFonts w:ascii="Arial" w:cs="Arial" w:eastAsia="Arial" w:hAnsi="Arial"/>
                <w:sz w:val="14"/>
                <w:szCs w:val="14"/>
                <w:color w:val="auto"/>
              </w:rPr>
              <w:t>(First)</w:t>
            </w:r>
          </w:p>
        </w:tc>
        <w:tc>
          <w:tcPr>
            <w:tcW w:w="1400" w:type="dxa"/>
            <w:vAlign w:val="bottom"/>
            <w:gridSpan w:val="3"/>
          </w:tcPr>
          <w:p>
            <w:pPr>
              <w:ind w:left="80"/>
              <w:spacing w:after="0"/>
              <w:rPr>
                <w:sz w:val="20"/>
                <w:szCs w:val="20"/>
                <w:color w:val="auto"/>
              </w:rPr>
            </w:pPr>
            <w:r>
              <w:rPr>
                <w:rFonts w:ascii="Arial" w:cs="Arial" w:eastAsia="Arial" w:hAnsi="Arial"/>
                <w:sz w:val="14"/>
                <w:szCs w:val="14"/>
                <w:color w:val="auto"/>
              </w:rPr>
              <w:t>(Middle)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w w:val="96"/>
              </w:rPr>
              <w:t>ONE FERRY BUILDING, SUITE 255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90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520" w:type="dxa"/>
            <w:vAlign w:val="bottom"/>
            <w:gridSpan w:val="2"/>
          </w:tcPr>
          <w:p>
            <w:pPr>
              <w:ind w:left="80"/>
              <w:spacing w:after="0"/>
              <w:rPr>
                <w:sz w:val="20"/>
                <w:szCs w:val="20"/>
                <w:color w:val="auto"/>
              </w:rPr>
            </w:pPr>
            <w:r>
              <w:rPr>
                <w:rFonts w:ascii="Arial" w:cs="Arial" w:eastAsia="Arial" w:hAnsi="Arial"/>
                <w:sz w:val="18"/>
                <w:szCs w:val="18"/>
                <w:color w:val="0000FF"/>
                <w:w w:val="83"/>
              </w:rPr>
              <w:t>94111</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0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gridSpan w:val="2"/>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tcPr>
          <w:p>
            <w:pPr>
              <w:ind w:left="520"/>
              <w:spacing w:after="0"/>
              <w:rPr>
                <w:sz w:val="20"/>
                <w:szCs w:val="20"/>
                <w:color w:val="auto"/>
              </w:rPr>
            </w:pPr>
            <w:r>
              <w:rPr>
                <w:rFonts w:ascii="Arial" w:cs="Arial" w:eastAsia="Arial" w:hAnsi="Arial"/>
                <w:sz w:val="14"/>
                <w:szCs w:val="14"/>
                <w:color w:val="auto"/>
              </w:rPr>
              <w:t>(State)</w:t>
            </w:r>
          </w:p>
        </w:tc>
        <w:tc>
          <w:tcPr>
            <w:tcW w:w="1400" w:type="dxa"/>
            <w:vAlign w:val="bottom"/>
            <w:gridSpan w:val="3"/>
          </w:tcPr>
          <w:p>
            <w:pPr>
              <w:ind w:left="80"/>
              <w:spacing w:after="0"/>
              <w:rPr>
                <w:sz w:val="20"/>
                <w:szCs w:val="20"/>
                <w:color w:val="auto"/>
              </w:rPr>
            </w:pPr>
            <w:r>
              <w:rPr>
                <w:rFonts w:ascii="Arial" w:cs="Arial" w:eastAsia="Arial" w:hAnsi="Arial"/>
                <w:sz w:val="14"/>
                <w:szCs w:val="14"/>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3">
        <w:r>
          <w:rPr>
            <w:rFonts w:ascii="Arial" w:cs="Arial" w:eastAsia="Arial" w:hAnsi="Arial"/>
            <w:sz w:val="22"/>
            <w:szCs w:val="22"/>
            <w:u w:val="single" w:color="auto"/>
            <w:color w:val="0000EE"/>
          </w:rPr>
          <w:t>Montreux IV Associates, LLC</w:t>
        </w:r>
      </w:hyperlink>
    </w:p>
    <w:p>
      <w:pPr>
        <w:sectPr>
          <w:pgSz w:w="11900" w:h="16882" w:orient="portrait"/>
          <w:cols w:equalWidth="0" w:num="1">
            <w:col w:w="11420"/>
          </w:cols>
          <w:pgMar w:left="240" w:top="226" w:right="239" w:bottom="0" w:gutter="0" w:footer="0" w:header="0"/>
          <w:type w:val="continuous"/>
        </w:sectPr>
      </w:pPr>
    </w:p>
    <w:p>
      <w:pPr>
        <w:spacing w:after="0" w:line="317" w:lineRule="exact"/>
        <w:rPr>
          <w:sz w:val="24"/>
          <w:szCs w:val="24"/>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ectPr>
          <w:pgSz w:w="11900" w:h="16882" w:orient="portrait"/>
          <w:cols w:equalWidth="0" w:num="1">
            <w:col w:w="11420"/>
          </w:cols>
          <w:pgMar w:left="240" w:top="226" w:right="2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8"/>
          <w:szCs w:val="18"/>
          <w:color w:val="0000FF"/>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6041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extLst>
                    </a:blip>
                    <a:srcRect/>
                    <a:stretch>
                      <a:fillRect/>
                    </a:stretch>
                  </pic:blipFill>
                  <pic:spPr bwMode="auto">
                    <a:xfrm>
                      <a:off x="0" y="0"/>
                      <a:ext cx="2924175" cy="6041390"/>
                    </a:xfrm>
                    <a:prstGeom prst="rect">
                      <a:avLst/>
                    </a:prstGeom>
                    <a:noFill/>
                  </pic:spPr>
                </pic:pic>
              </a:graphicData>
            </a:graphic>
          </wp:anchor>
        </w:drawing>
        <w:t>ONE FERRY BUILDING, SUITE 255</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9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440" w:type="dxa"/>
            <w:vAlign w:val="bottom"/>
          </w:tcPr>
          <w:p>
            <w:pPr>
              <w:ind w:left="20"/>
              <w:spacing w:after="0"/>
              <w:rPr>
                <w:sz w:val="20"/>
                <w:szCs w:val="20"/>
                <w:color w:val="auto"/>
              </w:rPr>
            </w:pPr>
            <w:r>
              <w:rPr>
                <w:rFonts w:ascii="Arial" w:cs="Arial" w:eastAsia="Arial" w:hAnsi="Arial"/>
                <w:sz w:val="18"/>
                <w:szCs w:val="18"/>
                <w:color w:val="0000FF"/>
              </w:rPr>
              <w:t>94111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60" w:type="dxa"/>
            <w:vAlign w:val="bottom"/>
          </w:tcPr>
          <w:p>
            <w:pPr>
              <w:ind w:left="52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3000" w:type="dxa"/>
            <w:vAlign w:val="bottom"/>
            <w:gridSpan w:val="3"/>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9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5">
              <w:r>
                <w:rPr>
                  <w:rFonts w:ascii="Arial" w:cs="Arial" w:eastAsia="Arial" w:hAnsi="Arial"/>
                  <w:sz w:val="22"/>
                  <w:szCs w:val="22"/>
                  <w:color w:val="0000EE"/>
                  <w:w w:val="92"/>
                </w:rPr>
                <w:t>Montreux IV Associates IV, LLC</w:t>
              </w:r>
            </w:hyperlink>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960" w:type="dxa"/>
            <w:vAlign w:val="bottom"/>
            <w:tcBorders>
              <w:bottom w:val="single" w:sz="8" w:color="9A9A9A"/>
            </w:tcBorders>
          </w:tcPr>
          <w:p>
            <w:pPr>
              <w:spacing w:after="0"/>
              <w:rPr>
                <w:sz w:val="15"/>
                <w:szCs w:val="15"/>
                <w:color w:val="auto"/>
              </w:rPr>
            </w:pPr>
          </w:p>
        </w:tc>
        <w:tc>
          <w:tcPr>
            <w:tcW w:w="1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960" w:type="dxa"/>
            <w:vAlign w:val="bottom"/>
          </w:tcPr>
          <w:p>
            <w:pPr>
              <w:ind w:left="520"/>
              <w:spacing w:after="0"/>
              <w:rPr>
                <w:sz w:val="20"/>
                <w:szCs w:val="20"/>
                <w:color w:val="auto"/>
              </w:rPr>
            </w:pPr>
            <w:r>
              <w:rPr>
                <w:rFonts w:ascii="Arial" w:cs="Arial" w:eastAsia="Arial" w:hAnsi="Arial"/>
                <w:sz w:val="14"/>
                <w:szCs w:val="14"/>
                <w:color w:val="auto"/>
              </w:rPr>
              <w:t>(First)</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w w:val="98"/>
              </w:rPr>
              <w:t>ONE FERRY BUILDING, SUITE 255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9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9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900" w:type="dxa"/>
            <w:vAlign w:val="bottom"/>
            <w:gridSpan w:val="2"/>
          </w:tcPr>
          <w:p>
            <w:pPr>
              <w:spacing w:after="0"/>
              <w:rPr>
                <w:sz w:val="20"/>
                <w:szCs w:val="20"/>
                <w:color w:val="auto"/>
              </w:rPr>
            </w:pPr>
            <w:r>
              <w:rPr>
                <w:rFonts w:ascii="Arial" w:cs="Arial" w:eastAsia="Arial" w:hAnsi="Arial"/>
                <w:sz w:val="18"/>
                <w:szCs w:val="18"/>
                <w:color w:val="0000FF"/>
              </w:rPr>
              <w:t>SAN FRANCISCO CA</w:t>
            </w:r>
          </w:p>
        </w:tc>
        <w:tc>
          <w:tcPr>
            <w:tcW w:w="1440" w:type="dxa"/>
            <w:vAlign w:val="bottom"/>
          </w:tcPr>
          <w:p>
            <w:pPr>
              <w:ind w:left="20"/>
              <w:spacing w:after="0"/>
              <w:rPr>
                <w:sz w:val="20"/>
                <w:szCs w:val="20"/>
                <w:color w:val="auto"/>
              </w:rPr>
            </w:pPr>
            <w:r>
              <w:rPr>
                <w:rFonts w:ascii="Arial" w:cs="Arial" w:eastAsia="Arial" w:hAnsi="Arial"/>
                <w:sz w:val="18"/>
                <w:szCs w:val="18"/>
                <w:color w:val="0000FF"/>
              </w:rPr>
              <w:t>94111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60" w:type="dxa"/>
            <w:vAlign w:val="bottom"/>
          </w:tcPr>
          <w:p>
            <w:pPr>
              <w:ind w:left="520"/>
              <w:spacing w:after="0"/>
              <w:rPr>
                <w:sz w:val="20"/>
                <w:szCs w:val="20"/>
                <w:color w:val="auto"/>
              </w:rPr>
            </w:pPr>
            <w:r>
              <w:rPr>
                <w:rFonts w:ascii="Arial" w:cs="Arial" w:eastAsia="Arial" w:hAnsi="Arial"/>
                <w:sz w:val="14"/>
                <w:szCs w:val="14"/>
                <w:color w:val="auto"/>
              </w:rPr>
              <w:t>(State)</w:t>
            </w:r>
          </w:p>
        </w:tc>
        <w:tc>
          <w:tcPr>
            <w:tcW w:w="1540" w:type="dxa"/>
            <w:vAlign w:val="bottom"/>
            <w:gridSpan w:val="2"/>
          </w:tcPr>
          <w:p>
            <w:pPr>
              <w:ind w:left="2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Montreux Equity Management IV, LLC</w:t>
        </w:r>
      </w:hyperlink>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6"/>
              </w:rPr>
              <w:t>ONE FERRY BUILDING, SUITE 255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00" w:type="dxa"/>
            <w:vAlign w:val="bottom"/>
          </w:tcPr>
          <w:p>
            <w:pPr>
              <w:ind w:left="80"/>
              <w:spacing w:after="0"/>
              <w:rPr>
                <w:sz w:val="20"/>
                <w:szCs w:val="20"/>
                <w:color w:val="auto"/>
              </w:rPr>
            </w:pPr>
            <w:r>
              <w:rPr>
                <w:rFonts w:ascii="Arial" w:cs="Arial" w:eastAsia="Arial" w:hAnsi="Arial"/>
                <w:sz w:val="18"/>
                <w:szCs w:val="18"/>
                <w:color w:val="0000FF"/>
              </w:rPr>
              <w:t>94111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9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8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TURNER DANIEL K III</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2"/>
          </w:tcPr>
          <w:p>
            <w:pPr>
              <w:ind w:left="520"/>
              <w:spacing w:after="0"/>
              <w:rPr>
                <w:sz w:val="20"/>
                <w:szCs w:val="20"/>
                <w:color w:val="auto"/>
              </w:rPr>
            </w:pPr>
            <w:r>
              <w:rPr>
                <w:rFonts w:ascii="Arial" w:cs="Arial" w:eastAsia="Arial" w:hAnsi="Arial"/>
                <w:sz w:val="14"/>
                <w:szCs w:val="14"/>
                <w:color w:val="auto"/>
              </w:rPr>
              <w:t>(First)</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w w:val="96"/>
              </w:rPr>
              <w:t>ONE FERRY BUILDING, SUITE 255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0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2840" w:type="dxa"/>
            <w:vAlign w:val="bottom"/>
            <w:gridSpan w:val="3"/>
          </w:tcPr>
          <w:p>
            <w:pPr>
              <w:spacing w:after="0"/>
              <w:rPr>
                <w:sz w:val="20"/>
                <w:szCs w:val="20"/>
                <w:color w:val="auto"/>
              </w:rPr>
            </w:pPr>
            <w:r>
              <w:rPr>
                <w:rFonts w:ascii="Arial" w:cs="Arial" w:eastAsia="Arial" w:hAnsi="Arial"/>
                <w:sz w:val="18"/>
                <w:szCs w:val="18"/>
                <w:color w:val="0000FF"/>
              </w:rPr>
              <w:t>SAN FRANCISCO CA</w:t>
            </w:r>
          </w:p>
        </w:tc>
        <w:tc>
          <w:tcPr>
            <w:tcW w:w="1500" w:type="dxa"/>
            <w:vAlign w:val="bottom"/>
          </w:tcPr>
          <w:p>
            <w:pPr>
              <w:ind w:left="80"/>
              <w:spacing w:after="0"/>
              <w:rPr>
                <w:sz w:val="20"/>
                <w:szCs w:val="20"/>
                <w:color w:val="auto"/>
              </w:rPr>
            </w:pPr>
            <w:r>
              <w:rPr>
                <w:rFonts w:ascii="Arial" w:cs="Arial" w:eastAsia="Arial" w:hAnsi="Arial"/>
                <w:sz w:val="18"/>
                <w:szCs w:val="18"/>
                <w:color w:val="0000FF"/>
              </w:rPr>
              <w:t>94111</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tcPr>
          <w:p>
            <w:pPr>
              <w:ind w:left="520"/>
              <w:spacing w:after="0"/>
              <w:rPr>
                <w:sz w:val="20"/>
                <w:szCs w:val="20"/>
                <w:color w:val="auto"/>
              </w:rPr>
            </w:pPr>
            <w:r>
              <w:rPr>
                <w:rFonts w:ascii="Arial" w:cs="Arial" w:eastAsia="Arial" w:hAnsi="Arial"/>
                <w:sz w:val="14"/>
                <w:szCs w:val="14"/>
                <w:color w:val="auto"/>
              </w:rPr>
              <w:t>(State)</w:t>
            </w: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4 Preferred Stock, Series 5 Preferred Stock and Series 7 Preferred Stock will automatically convert into an equal number of shares of Issuer's common stock immediately upon the closing of the Issuer's initial public offering and has no expiration date.</w:t>
      </w:r>
    </w:p>
    <w:p>
      <w:pPr>
        <w:spacing w:after="0" w:line="30" w:lineRule="exact"/>
        <w:rPr>
          <w:rFonts w:ascii="Arial" w:cs="Arial" w:eastAsia="Arial" w:hAnsi="Arial"/>
          <w:sz w:val="14"/>
          <w:szCs w:val="14"/>
          <w:color w:val="008000"/>
        </w:rPr>
      </w:pPr>
    </w:p>
    <w:p>
      <w:pPr>
        <w:ind w:left="20" w:right="28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Montreux Equity Management IV, L.L.C. ("MEM IV LLC") is the general partner of each of Montreux Equity Partners IV, L.P., Montreux IV Associates, L.L.C and Montreux IV Associates IV, L.L.C. Daniel K. Turner III is the managing director of MEM IV LLC and may be deemed to have voting and investment power over the shares held by each of these entities. Mr. Turner disclaims beneficial ownership of such shares, except to the extent of his proportionate pecuniary interest, if any.</w:t>
      </w:r>
    </w:p>
    <w:p>
      <w:pPr>
        <w:spacing w:after="0" w:line="30" w:lineRule="exact"/>
        <w:rPr>
          <w:rFonts w:ascii="Arial" w:cs="Arial" w:eastAsia="Arial" w:hAnsi="Arial"/>
          <w:sz w:val="14"/>
          <w:szCs w:val="14"/>
          <w:color w:val="008000"/>
        </w:rPr>
      </w:pPr>
    </w:p>
    <w:p>
      <w:pPr>
        <w:ind w:left="20" w:right="16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Issuer's Series 6 Preferred Stock will automatically convert into approximately 1.05878 shares of Issuer's common stock immediately upon the closing of the Issuer's initial public offering and has no expiration date.</w:t>
      </w:r>
    </w:p>
    <w:p>
      <w:pPr>
        <w:sectPr>
          <w:pgSz w:w="11900" w:h="16838" w:orient="portrait"/>
          <w:cols w:equalWidth="0" w:num="1">
            <w:col w:w="11280"/>
          </w:cols>
          <w:pgMar w:left="260" w:top="172" w:right="359" w:bottom="0" w:gutter="0" w:footer="0" w:header="0"/>
        </w:sectPr>
      </w:pPr>
    </w:p>
    <w:p>
      <w:pPr>
        <w:spacing w:after="0" w:line="30" w:lineRule="exact"/>
        <w:rPr>
          <w:sz w:val="20"/>
          <w:szCs w:val="20"/>
          <w:color w:val="auto"/>
        </w:rPr>
      </w:pPr>
    </w:p>
    <w:p>
      <w:pPr>
        <w:ind w:left="20"/>
        <w:spacing w:after="0"/>
        <w:rPr>
          <w:sz w:val="20"/>
          <w:szCs w:val="20"/>
          <w:color w:val="auto"/>
        </w:rPr>
      </w:pPr>
      <w:r>
        <w:rPr>
          <w:rFonts w:ascii="Arial" w:cs="Arial" w:eastAsia="Arial" w:hAnsi="Arial"/>
          <w:sz w:val="12"/>
          <w:szCs w:val="12"/>
          <w:color w:val="008000"/>
        </w:rPr>
        <w:t>4. Shares subject to the warrant are immediately exercisable. The warrant will expire in connection with the closing of the Issuer's initial public offering.</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Montreux Equity Partners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16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131699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By: Montreux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3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11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35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 Turner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2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Montreux IV Associates,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83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8366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Montreux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53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9537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11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35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 Turner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26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Montreux IV Associates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490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Montreux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98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2198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IV,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611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2611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35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37350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 Turner III,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26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0826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Montreux Equity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74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IV, L.L.C., By: /s/ Daniel 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428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Turner III,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55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Daniel K. Turner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33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331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10/16/2018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20" w:space="120"/>
            <w:col w:w="2140"/>
          </w:cols>
          <w:pgMar w:left="260" w:top="172" w:right="359" w:bottom="0" w:gutter="0" w:footer="0" w:header="0"/>
          <w:type w:val="continuous"/>
        </w:sectPr>
      </w:pPr>
    </w:p>
    <w:bookmarkStart w:id="2" w:name="page3"/>
    <w:bookmarkEnd w:id="2"/>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4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4"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11" Type="http://schemas.openxmlformats.org/officeDocument/2006/relationships/hyperlink" Target="http://www.sec.gov/cgi-bin/browse-edgar?action=getcompany&amp;CIK=0001456153" TargetMode="External"/><Relationship Id="rId12" Type="http://schemas.openxmlformats.org/officeDocument/2006/relationships/hyperlink" Target="http://www.sec.gov/cgi-bin/browse-edgar?action=getcompany&amp;CIK=0001459839" TargetMode="External"/><Relationship Id="rId13" Type="http://schemas.openxmlformats.org/officeDocument/2006/relationships/hyperlink" Target="http://www.sec.gov/cgi-bin/browse-edgar?action=getcompany&amp;CIK=0001456152" TargetMode="External"/><Relationship Id="rId15" Type="http://schemas.openxmlformats.org/officeDocument/2006/relationships/hyperlink" Target="http://www.sec.gov/cgi-bin/browse-edgar?action=getcompany&amp;CIK=0001676802" TargetMode="External"/><Relationship Id="rId16" Type="http://schemas.openxmlformats.org/officeDocument/2006/relationships/hyperlink" Target="http://www.sec.gov/cgi-bin/browse-edgar?action=getcompany&amp;CIK=0001456154" TargetMode="External"/><Relationship Id="rId17" Type="http://schemas.openxmlformats.org/officeDocument/2006/relationships/hyperlink" Target="http://www.sec.gov/cgi-bin/browse-edgar?action=getcompany&amp;CIK=000128024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2019-12-24T04:15:47Z</dcterms:created>
  <dcterms:modified xsi:type="dcterms:W3CDTF">2019-12-24T04:15:47Z</dcterms:modified>
</cp:coreProperties>
</file>