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Pisetsky Michael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8"/>
          <w:szCs w:val="18"/>
          <w:color w:val="0000FF"/>
        </w:rPr>
        <w:t>GC &amp; Chief Compliance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01/03/2020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32,430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50,013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shares issuable on settlement of restricted stock units granted to the Reporting Person. Each restricted stock unit represents a contingent right to receive one shares of the Issuer's common stock. The shares subject to the restricted stock unit will be vesting over four years beginning on January 1, 2020 and will be released in quarterly installments commencing on May 15, 2020, subject to the Reporting Person's continued service through each relevant vesting date.</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41,692 shares issuable on settlement of restricted stock units granted to the Reporting Person. Each restricted stock unit represents a contingent right to receive one shares of the Issuer's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0000FF"/>
                <w:w w:val="89"/>
              </w:rPr>
              <w:t>/s/ Michael A. Pisetsky</w:t>
            </w:r>
          </w:p>
        </w:tc>
        <w:tc>
          <w:tcPr>
            <w:tcW w:w="4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01/07/2020</w:t>
            </w: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2020-01-07T14:54:31Z</dcterms:created>
  <dcterms:modified xsi:type="dcterms:W3CDTF">2020-01-07T14:54:31Z</dcterms:modified>
</cp:coreProperties>
</file>