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7"/>
        <w:spacing w:after="0"/>
        <w:rPr>
          <w:sz w:val="20"/>
          <w:szCs w:val="20"/>
          <w:color w:val="auto"/>
        </w:rPr>
      </w:pPr>
      <w:r>
        <w:rPr>
          <w:rFonts w:ascii="Arial" w:cs="Arial" w:eastAsia="Arial" w:hAnsi="Arial"/>
          <w:sz w:val="17"/>
          <w:szCs w:val="17"/>
          <w:color w:val="0000FF"/>
        </w:rPr>
        <w:t>Chief Commercial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06/16/2020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321"/>
              <w:spacing w:after="0"/>
              <w:rPr>
                <w:sz w:val="20"/>
                <w:szCs w:val="20"/>
                <w:color w:val="auto"/>
              </w:rPr>
            </w:pPr>
            <w:r>
              <w:rPr>
                <w:rFonts w:ascii="Arial" w:cs="Arial" w:eastAsia="Arial" w:hAnsi="Arial"/>
                <w:sz w:val="17"/>
                <w:szCs w:val="17"/>
                <w:color w:val="0000FF"/>
              </w:rPr>
              <w:t>76,268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17.4852</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ind w:right="241"/>
              <w:spacing w:after="0"/>
              <w:rPr>
                <w:sz w:val="20"/>
                <w:szCs w:val="20"/>
                <w:color w:val="auto"/>
              </w:rPr>
            </w:pPr>
            <w:r>
              <w:rPr>
                <w:rFonts w:ascii="Arial" w:cs="Arial" w:eastAsia="Arial" w:hAnsi="Arial"/>
                <w:sz w:val="17"/>
                <w:szCs w:val="17"/>
                <w:color w:val="0000FF"/>
              </w:rPr>
              <w:t>73,268</w:t>
            </w:r>
            <w:r>
              <w:rPr>
                <w:rFonts w:ascii="Arial" w:cs="Arial" w:eastAsia="Arial" w:hAnsi="Arial"/>
                <w:sz w:val="21"/>
                <w:szCs w:val="21"/>
                <w:color w:val="008000"/>
                <w:vertAlign w:val="superscript"/>
              </w:rPr>
              <w:t>(3)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06/16/2020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3,000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07/26/2026</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3,000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9"/>
              </w:rPr>
              <w:t>105,190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2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$17.15 to $17.76,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66,277 shares issuable on settlement of restricted stock units granted to the Reporting Person. Each restricted stock unit represents a contingent right to receive one shares of the Issuer's common stock.</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06/18/2020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06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2020-06-18T17:24:54Z</dcterms:created>
  <dcterms:modified xsi:type="dcterms:W3CDTF">2020-06-18T17:24:54Z</dcterms:modified>
</cp:coreProperties>
</file>