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5086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88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Freund John Gordon</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Borders>
              <w:bottom w:val="single" w:sz="8" w:color="0000EE"/>
            </w:tcBorders>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24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SKYLINE VENTURES</w:t>
            </w:r>
          </w:p>
        </w:tc>
        <w:tc>
          <w:tcPr>
            <w:tcW w:w="140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24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40" w:type="dxa"/>
            <w:vAlign w:val="bottom"/>
            <w:gridSpan w:val="3"/>
            <w:vMerge w:val="continue"/>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525 UNIVERSITY AVENUE, SUITE 1350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60" w:type="dxa"/>
            <w:vAlign w:val="bottom"/>
            <w:tcBorders>
              <w:bottom w:val="single" w:sz="8" w:color="2C2C2C"/>
            </w:tcBorders>
          </w:tcPr>
          <w:p>
            <w:pPr>
              <w:spacing w:after="0"/>
              <w:rPr>
                <w:sz w:val="12"/>
                <w:szCs w:val="12"/>
                <w:color w:val="auto"/>
              </w:rPr>
            </w:pPr>
          </w:p>
        </w:tc>
        <w:tc>
          <w:tcPr>
            <w:tcW w:w="24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88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886"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8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06/05/2025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8,675</w:t>
            </w:r>
            <w:r>
              <w:rPr>
                <w:rFonts w:ascii="Times New Roman" w:cs="Times New Roman" w:eastAsia="Times New Roman" w:hAnsi="Times New Roman"/>
                <w:sz w:val="22"/>
                <w:szCs w:val="22"/>
                <w:color w:val="008000"/>
                <w:vertAlign w:val="superscript"/>
              </w:rPr>
              <w:t>(1)</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140" w:type="dxa"/>
            <w:vAlign w:val="bottom"/>
            <w:tcBorders>
              <w:bottom w:val="single" w:sz="8" w:color="2C2C2C"/>
            </w:tcBorders>
          </w:tcPr>
          <w:p>
            <w:pPr>
              <w:jc w:val="center"/>
              <w:ind w:right="174"/>
              <w:spacing w:after="0"/>
              <w:rPr>
                <w:sz w:val="20"/>
                <w:szCs w:val="20"/>
                <w:color w:val="auto"/>
              </w:rPr>
            </w:pPr>
            <w:r>
              <w:rPr>
                <w:rFonts w:ascii="Times New Roman" w:cs="Times New Roman" w:eastAsia="Times New Roman" w:hAnsi="Times New Roman"/>
                <w:sz w:val="17"/>
                <w:szCs w:val="17"/>
                <w:color w:val="0000FF"/>
              </w:rPr>
              <w:t>43,301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John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Freund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0000FF"/>
              </w:rPr>
              <w:t>103,899</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IV, LP</w:t>
            </w:r>
            <w:r>
              <w:rPr>
                <w:rFonts w:ascii="Times New Roman" w:cs="Times New Roman" w:eastAsia="Times New Roman" w:hAnsi="Times New Roman"/>
                <w:sz w:val="22"/>
                <w:szCs w:val="22"/>
                <w:color w:val="008000"/>
                <w:vertAlign w:val="superscript"/>
              </w:rPr>
              <w:t>(3)</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100% upon the earlier of (i) the next annual general meeting of the stockholders of the Company or (ii) the date one year from the Vesting Commencement Date, subject to the Reporting Person's continuous service as a member of the Company's Board of Directors until such date.</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8,675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John Freund Family Partnership IV, L.P. ("Family LP"). Reporting Person, a member of Issuer's board of directors, is a general partner of Family LP and may be deemed to have voting and investment power with respect to the securities held by Family LP. Reporting Person disclaims beneficial ownership of such securities, except to the extent of his pecuniary interest therein.</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John G.</w:t>
        <w:tab/>
        <w:t>06/06/2025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8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96771"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2025-06-06T18:46:33Z</dcterms:created>
  <dcterms:modified xsi:type="dcterms:W3CDTF">2025-06-06T18:46:33Z</dcterms:modified>
</cp:coreProperties>
</file>