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FORM 8-K</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Securities Exchange Act of 1934</w:t>
      </w:r>
    </w:p>
    <w:p>
      <w:pPr>
        <w:pStyle w:val="TextBody"/>
        <w:spacing w:before="0" w:after="0"/>
        <w:rPr/>
      </w:pPr>
      <w:r>
        <w:rPr/>
      </w:r>
    </w:p>
    <w:p>
      <w:pPr>
        <w:pStyle w:val="TextBody"/>
        <w:spacing w:lineRule="auto" w:line="288" w:before="0" w:after="0"/>
        <w:jc w:val="center"/>
        <w:rPr/>
      </w:pPr>
      <w:r>
        <w:rPr>
          <w:rFonts w:ascii="Times New Roman;sans-serif" w:hAnsi="Times New Roman;sans-serif"/>
          <w:b/>
          <w:color w:val="000000"/>
          <w:sz w:val="18"/>
        </w:rPr>
        <w:t>Date of report (Date of earliest event reported): May 4, 2023</w:t>
      </w:r>
      <w:r>
        <w:rPr>
          <w:color w:val="000000"/>
        </w:rPr>
        <w:t xml:space="preserve"> </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SI-BONE, INC.</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w:t>
      </w:r>
    </w:p>
    <w:tbl>
      <w:tblPr>
        <w:tblW w:w="5410" w:type="dxa"/>
        <w:jc w:val="center"/>
        <w:tblInd w:w="0" w:type="dxa"/>
        <w:tblCellMar>
          <w:top w:w="28" w:type="dxa"/>
          <w:left w:w="28" w:type="dxa"/>
          <w:bottom w:w="28" w:type="dxa"/>
          <w:right w:w="28" w:type="dxa"/>
        </w:tblCellMar>
      </w:tblPr>
      <w:tblGrid>
        <w:gridCol w:w="807"/>
        <w:gridCol w:w="711"/>
        <w:gridCol w:w="717"/>
        <w:gridCol w:w="109"/>
        <w:gridCol w:w="109"/>
        <w:gridCol w:w="109"/>
        <w:gridCol w:w="354"/>
        <w:gridCol w:w="354"/>
        <w:gridCol w:w="358"/>
        <w:gridCol w:w="109"/>
        <w:gridCol w:w="109"/>
        <w:gridCol w:w="109"/>
        <w:gridCol w:w="424"/>
        <w:gridCol w:w="424"/>
        <w:gridCol w:w="607"/>
      </w:tblGrid>
      <w:tr>
        <w:trPr/>
        <w:tc>
          <w:tcPr>
            <w:tcW w:w="807"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r>
      <w:tr>
        <w:trPr/>
        <w:tc>
          <w:tcPr>
            <w:tcW w:w="22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001-38701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26-2216351</w:t>
            </w:r>
          </w:p>
        </w:tc>
      </w:tr>
      <w:tr>
        <w:trPr/>
        <w:tc>
          <w:tcPr>
            <w:tcW w:w="22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(Commission</w:t>
              <w:br/>
              <w:t>File Number)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br/>
              <w:t>Identification No.)</w:t>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471 El Camino Real</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Suite 101</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Santa Clara, CA 95050</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(Zip Code)</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(408) 207-0700</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include area code)</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N/A</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or Former Address, if Changed Since Last Report)</w:t>
      </w:r>
    </w:p>
    <w:p>
      <w:pPr>
        <w:pStyle w:val="TextBody"/>
        <w:spacing w:before="0" w:after="0"/>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 below if the Form 8-K filing is intended to simultaneously satisfy the filing obligation of the registrant under any of the following provisions:</w:t>
      </w:r>
    </w:p>
    <w:tbl>
      <w:tblPr>
        <w:tblW w:w="6852" w:type="dxa"/>
        <w:jc w:val="center"/>
        <w:tblInd w:w="0" w:type="dxa"/>
        <w:tblCellMar>
          <w:top w:w="28" w:type="dxa"/>
          <w:left w:w="28" w:type="dxa"/>
          <w:bottom w:w="28" w:type="dxa"/>
          <w:right w:w="28" w:type="dxa"/>
        </w:tblCellMar>
      </w:tblPr>
      <w:tblGrid>
        <w:gridCol w:w="124"/>
        <w:gridCol w:w="109"/>
        <w:gridCol w:w="109"/>
        <w:gridCol w:w="1904"/>
        <w:gridCol w:w="1904"/>
        <w:gridCol w:w="270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4" w:type="dxa"/>
            <w:tcBorders/>
            <w:shd w:fill="auto" w:val="clear"/>
            <w:vAlign w:val="center"/>
          </w:tcPr>
          <w:p>
            <w:pPr>
              <w:pStyle w:val="TableContents"/>
              <w:spacing w:before="0" w:after="283"/>
              <w:rPr>
                <w:sz w:val="4"/>
                <w:szCs w:val="4"/>
              </w:rPr>
            </w:pPr>
            <w:r>
              <w:rPr>
                <w:sz w:val="4"/>
                <w:szCs w:val="4"/>
              </w:rPr>
            </w:r>
          </w:p>
        </w:tc>
        <w:tc>
          <w:tcPr>
            <w:tcW w:w="1904" w:type="dxa"/>
            <w:tcBorders/>
            <w:shd w:fill="auto" w:val="clear"/>
            <w:vAlign w:val="center"/>
          </w:tcPr>
          <w:p>
            <w:pPr>
              <w:pStyle w:val="TableContents"/>
              <w:spacing w:before="0" w:after="283"/>
              <w:rPr>
                <w:sz w:val="4"/>
                <w:szCs w:val="4"/>
              </w:rPr>
            </w:pPr>
            <w:r>
              <w:rPr>
                <w:sz w:val="4"/>
                <w:szCs w:val="4"/>
              </w:rPr>
            </w:r>
          </w:p>
        </w:tc>
        <w:tc>
          <w:tcPr>
            <w:tcW w:w="270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5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communications pursuant to Rule 425 under the Securities Act (17 CFR 230.425)</w:t>
            </w:r>
          </w:p>
        </w:tc>
      </w:tr>
    </w:tbl>
    <w:tbl>
      <w:tblPr>
        <w:tblW w:w="6851" w:type="dxa"/>
        <w:jc w:val="center"/>
        <w:tblInd w:w="0" w:type="dxa"/>
        <w:tblCellMar>
          <w:top w:w="28" w:type="dxa"/>
          <w:left w:w="28" w:type="dxa"/>
          <w:bottom w:w="28" w:type="dxa"/>
          <w:right w:w="28" w:type="dxa"/>
        </w:tblCellMar>
      </w:tblPr>
      <w:tblGrid>
        <w:gridCol w:w="124"/>
        <w:gridCol w:w="109"/>
        <w:gridCol w:w="109"/>
        <w:gridCol w:w="1904"/>
        <w:gridCol w:w="1904"/>
        <w:gridCol w:w="27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4" w:type="dxa"/>
            <w:tcBorders/>
            <w:shd w:fill="auto" w:val="clear"/>
            <w:vAlign w:val="center"/>
          </w:tcPr>
          <w:p>
            <w:pPr>
              <w:pStyle w:val="TableContents"/>
              <w:spacing w:before="0" w:after="283"/>
              <w:rPr>
                <w:sz w:val="4"/>
                <w:szCs w:val="4"/>
              </w:rPr>
            </w:pPr>
            <w:r>
              <w:rPr>
                <w:sz w:val="4"/>
                <w:szCs w:val="4"/>
              </w:rPr>
            </w:r>
          </w:p>
        </w:tc>
        <w:tc>
          <w:tcPr>
            <w:tcW w:w="1904" w:type="dxa"/>
            <w:tcBorders/>
            <w:shd w:fill="auto" w:val="clear"/>
            <w:vAlign w:val="center"/>
          </w:tcPr>
          <w:p>
            <w:pPr>
              <w:pStyle w:val="TableContents"/>
              <w:spacing w:before="0" w:after="283"/>
              <w:rPr>
                <w:sz w:val="4"/>
                <w:szCs w:val="4"/>
              </w:rPr>
            </w:pPr>
            <w:r>
              <w:rPr>
                <w:sz w:val="4"/>
                <w:szCs w:val="4"/>
              </w:rPr>
            </w:r>
          </w:p>
        </w:tc>
        <w:tc>
          <w:tcPr>
            <w:tcW w:w="27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5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pursuant to Rule 14a-12 under the Exchange Act (17 CFR 240.14a-12)</w:t>
            </w:r>
          </w:p>
        </w:tc>
      </w:tr>
    </w:tbl>
    <w:tbl>
      <w:tblPr>
        <w:tblW w:w="8442" w:type="dxa"/>
        <w:jc w:val="center"/>
        <w:tblInd w:w="0" w:type="dxa"/>
        <w:tblCellMar>
          <w:top w:w="28" w:type="dxa"/>
          <w:left w:w="28" w:type="dxa"/>
          <w:bottom w:w="28" w:type="dxa"/>
          <w:right w:w="28" w:type="dxa"/>
        </w:tblCellMar>
      </w:tblPr>
      <w:tblGrid>
        <w:gridCol w:w="124"/>
        <w:gridCol w:w="109"/>
        <w:gridCol w:w="109"/>
        <w:gridCol w:w="2368"/>
        <w:gridCol w:w="2368"/>
        <w:gridCol w:w="33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8" w:type="dxa"/>
            <w:tcBorders/>
            <w:shd w:fill="auto" w:val="clear"/>
            <w:vAlign w:val="center"/>
          </w:tcPr>
          <w:p>
            <w:pPr>
              <w:pStyle w:val="TableContents"/>
              <w:spacing w:before="0" w:after="283"/>
              <w:rPr>
                <w:sz w:val="4"/>
                <w:szCs w:val="4"/>
              </w:rPr>
            </w:pPr>
            <w:r>
              <w:rPr>
                <w:sz w:val="4"/>
                <w:szCs w:val="4"/>
              </w:rPr>
            </w:r>
          </w:p>
        </w:tc>
        <w:tc>
          <w:tcPr>
            <w:tcW w:w="2368" w:type="dxa"/>
            <w:tcBorders/>
            <w:shd w:fill="auto" w:val="clear"/>
            <w:vAlign w:val="center"/>
          </w:tcPr>
          <w:p>
            <w:pPr>
              <w:pStyle w:val="TableContents"/>
              <w:spacing w:before="0" w:after="283"/>
              <w:rPr>
                <w:sz w:val="4"/>
                <w:szCs w:val="4"/>
              </w:rPr>
            </w:pPr>
            <w:r>
              <w:rPr>
                <w:sz w:val="4"/>
                <w:szCs w:val="4"/>
              </w:rPr>
            </w:r>
          </w:p>
        </w:tc>
        <w:tc>
          <w:tcPr>
            <w:tcW w:w="33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14d-2(b) under the Exchange Act (17 CFR 240.14d-2(b))</w:t>
            </w:r>
          </w:p>
        </w:tc>
      </w:tr>
    </w:tbl>
    <w:tbl>
      <w:tblPr>
        <w:tblW w:w="8381" w:type="dxa"/>
        <w:jc w:val="center"/>
        <w:tblInd w:w="0" w:type="dxa"/>
        <w:tblCellMar>
          <w:top w:w="28" w:type="dxa"/>
          <w:left w:w="28" w:type="dxa"/>
          <w:bottom w:w="28" w:type="dxa"/>
          <w:right w:w="28" w:type="dxa"/>
        </w:tblCellMar>
      </w:tblPr>
      <w:tblGrid>
        <w:gridCol w:w="124"/>
        <w:gridCol w:w="109"/>
        <w:gridCol w:w="109"/>
        <w:gridCol w:w="2350"/>
        <w:gridCol w:w="2350"/>
        <w:gridCol w:w="333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sz w:val="4"/>
                <w:szCs w:val="4"/>
              </w:rPr>
            </w:pPr>
            <w:r>
              <w:rPr>
                <w:sz w:val="4"/>
                <w:szCs w:val="4"/>
              </w:rPr>
            </w:r>
          </w:p>
        </w:tc>
        <w:tc>
          <w:tcPr>
            <w:tcW w:w="333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13e-4(c) under the Exchange Act (17 CFR 240.13e-4(c))</w:t>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tbl>
      <w:tblPr>
        <w:tblW w:w="8414" w:type="dxa"/>
        <w:jc w:val="center"/>
        <w:tblInd w:w="0" w:type="dxa"/>
        <w:tblCellMar>
          <w:top w:w="28" w:type="dxa"/>
          <w:left w:w="28" w:type="dxa"/>
          <w:bottom w:w="28" w:type="dxa"/>
          <w:right w:w="28" w:type="dxa"/>
        </w:tblCellMar>
      </w:tblPr>
      <w:tblGrid>
        <w:gridCol w:w="1188"/>
        <w:gridCol w:w="1045"/>
        <w:gridCol w:w="1052"/>
        <w:gridCol w:w="534"/>
        <w:gridCol w:w="534"/>
        <w:gridCol w:w="536"/>
        <w:gridCol w:w="1033"/>
        <w:gridCol w:w="1033"/>
        <w:gridCol w:w="1459"/>
      </w:tblGrid>
      <w:tr>
        <w:trPr/>
        <w:tc>
          <w:tcPr>
            <w:tcW w:w="1188"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Title of each class </w:t>
            </w:r>
          </w:p>
        </w:tc>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Trading Symbol(s) </w:t>
            </w:r>
          </w:p>
        </w:tc>
        <w:tc>
          <w:tcPr>
            <w:tcW w:w="35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Name of each exchange on which registered </w:t>
            </w:r>
          </w:p>
        </w:tc>
      </w:tr>
      <w:tr>
        <w:trPr/>
        <w:tc>
          <w:tcPr>
            <w:tcW w:w="32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$0.0001 per share</w:t>
            </w:r>
          </w:p>
        </w:tc>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SIBN</w:t>
            </w:r>
          </w:p>
        </w:tc>
        <w:tc>
          <w:tcPr>
            <w:tcW w:w="35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Market</w:t>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   ☐</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8.01. Other Information</w: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May 4, 2023, SI-BONE, Inc. (the “Company”) entered into an Underwriting Agreement (the “Underwriting Agreement”) with BofA Securities, Inc., Morgan Stanley &amp; Co. LLC and Jefferies LLC, representatives of the several underwriters (the “Underwriters”), and a stockholder of the Company (the “Selling Stockholder”) relating to the offering and sale (the “Offering”) of 3,775,000 shares of the Company’s common stock, par value $0.0001 per share. Of these shares, 272,753 shares were offered by the Selling Stockholder, and 3,502,247 shares were offered by the Company. The price to the public in the Offering is $22.00 per share of common stock. Pursuant to the Underwriting Agreement, the Underwriters have a 30-day option to purchase up to an additional 566,250 shares of common stock from the Company on the same terms and conditions. The Offering is scheduled to close on May 9, 2023, subject to the satisfaction of customary closing conditions. The shares of common stock are listed on The Nasdaq Global Market.</w:t>
      </w:r>
    </w:p>
    <w:p>
      <w:pPr>
        <w:pStyle w:val="TextBody"/>
        <w:spacing w:before="0" w:after="0"/>
        <w:ind w:left="0" w:right="0" w:firstLine="540"/>
        <w:jc w:val="both"/>
        <w:rPr/>
      </w:pPr>
      <w:r>
        <w:rPr/>
      </w:r>
    </w:p>
    <w:p>
      <w:pPr>
        <w:pStyle w:val="TextBody"/>
        <w:spacing w:lineRule="auto" w:line="26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Offering is being made pursuant to the Company’s shelf registration statement on Form S-3 (Registration No. 333-271635) which was filed with the Securities and Exchange Commission (the “SEC”) on May 4, 2023 and became effective automatically upon filing. The Company filed with the SEC a preliminary prospectus supplement, dated May 4, 2023, and a final prospectus supplement, dated May 4, 2023, relating to the offer and sale of the shares.</w:t>
      </w:r>
    </w:p>
    <w:p>
      <w:pPr>
        <w:pStyle w:val="TextBody"/>
        <w:spacing w:before="0" w:after="0"/>
        <w:ind w:left="0" w:right="0" w:firstLine="540"/>
        <w:jc w:val="both"/>
        <w:rPr/>
      </w:pPr>
      <w:r>
        <w:rPr/>
      </w:r>
    </w:p>
    <w:p>
      <w:pPr>
        <w:pStyle w:val="TextBody"/>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BofA Securities, Inc., Morgan Stanley &amp; Co. LLC and Jefferies LLC are acting as joint book-running managers. Canaccord Genuity LLC and Cantor Fitzgerald &amp; Co. are acting as co-lead managers.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Underwriting Agreement contains customary representations, warranties and agreements by the Company and the Selling Stockholder, customary conditions to closing, indemnification obligations of the Company, the Selling Stockholder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Underwriting Agreement is filed as Exhibit 1.1 hereto. The foregoing description of the terms of the Underwriting Agreement is qualified in its entirety by reference to such exhibit. A copy of the opinion of Cooley LLP relating to the shares in the Offering is attached as Exhibit 5.1 hereto.</w:t>
      </w:r>
    </w:p>
    <w:p>
      <w:pPr>
        <w:pStyle w:val="TextBody"/>
        <w:spacing w:before="0" w:after="0"/>
        <w:ind w:left="0" w:right="0" w:firstLine="54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10205" w:type="dxa"/>
        <w:jc w:val="left"/>
        <w:tblInd w:w="0" w:type="dxa"/>
        <w:tblCellMar>
          <w:top w:w="28" w:type="dxa"/>
          <w:left w:w="28" w:type="dxa"/>
          <w:bottom w:w="28" w:type="dxa"/>
          <w:right w:w="28" w:type="dxa"/>
        </w:tblCellMar>
      </w:tblPr>
      <w:tblGrid>
        <w:gridCol w:w="391"/>
        <w:gridCol w:w="344"/>
        <w:gridCol w:w="346"/>
        <w:gridCol w:w="109"/>
        <w:gridCol w:w="109"/>
        <w:gridCol w:w="109"/>
        <w:gridCol w:w="2569"/>
        <w:gridCol w:w="2569"/>
        <w:gridCol w:w="3659"/>
      </w:tblGrid>
      <w:tr>
        <w:trPr/>
        <w:tc>
          <w:tcPr>
            <w:tcW w:w="39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9" w:type="dxa"/>
            <w:tcBorders/>
            <w:shd w:fill="auto" w:val="clear"/>
            <w:vAlign w:val="center"/>
          </w:tcPr>
          <w:p>
            <w:pPr>
              <w:pStyle w:val="TableContents"/>
              <w:spacing w:before="0" w:after="283"/>
              <w:rPr>
                <w:sz w:val="4"/>
                <w:szCs w:val="4"/>
              </w:rPr>
            </w:pPr>
            <w:r>
              <w:rPr>
                <w:sz w:val="4"/>
                <w:szCs w:val="4"/>
              </w:rPr>
            </w:r>
          </w:p>
        </w:tc>
        <w:tc>
          <w:tcPr>
            <w:tcW w:w="2569" w:type="dxa"/>
            <w:tcBorders/>
            <w:shd w:fill="auto" w:val="clear"/>
            <w:vAlign w:val="center"/>
          </w:tcPr>
          <w:p>
            <w:pPr>
              <w:pStyle w:val="TableContents"/>
              <w:spacing w:before="0" w:after="283"/>
              <w:rPr>
                <w:sz w:val="4"/>
                <w:szCs w:val="4"/>
              </w:rPr>
            </w:pPr>
            <w:r>
              <w:rPr>
                <w:sz w:val="4"/>
                <w:szCs w:val="4"/>
              </w:rPr>
            </w:r>
          </w:p>
        </w:tc>
        <w:tc>
          <w:tcPr>
            <w:tcW w:w="3659"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projectnormandyiv-xunderwr.htm">
              <w:r>
                <w:rPr>
                  <w:rStyle w:val="InternetLink"/>
                  <w:rFonts w:ascii="Times New Roman;sans-serif" w:hAnsi="Times New Roman;sans-serif"/>
                  <w:b w:val="false"/>
                  <w:color w:val="0000FF"/>
                  <w:sz w:val="20"/>
                  <w:u w:val="single"/>
                </w:rPr>
                <w:t>Underwriting Agreement, dated May 4, 2023</w:t>
              </w:r>
            </w:hyperlink>
            <w:r>
              <w:rPr>
                <w:rFonts w:ascii="Times New Roman;sans-serif" w:hAnsi="Times New Roman;sans-serif"/>
                <w:b w:val="false"/>
                <w:color w:val="000000"/>
                <w:sz w:val="20"/>
              </w:rPr>
              <w:t>, by and among the Company, BofA Securities, Inc., Morgan Stanley &amp; Co. LLC and Jefferies LLC, as representatives of the several underwriters named on Schedule II thereto, and a shareholder of the Company named on Schedule I thereto.</w:t>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projectnormandyiv-51opinio.htm">
              <w:r>
                <w:rPr>
                  <w:rStyle w:val="InternetLink"/>
                  <w:rFonts w:ascii="Times New Roman;sans-serif" w:hAnsi="Times New Roman;sans-serif"/>
                  <w:b w:val="false"/>
                  <w:color w:val="0000FF"/>
                  <w:sz w:val="20"/>
                  <w:u w:val="single"/>
                </w:rPr>
                <w:t>Opinion of Cooley LLP</w:t>
              </w:r>
            </w:hyperlink>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projectnormandyiv-51opinio.htm">
              <w:r>
                <w:rPr>
                  <w:rStyle w:val="InternetLink"/>
                  <w:rFonts w:ascii="Times New Roman;sans-serif" w:hAnsi="Times New Roman;sans-serif"/>
                  <w:b w:val="false"/>
                  <w:color w:val="0000FF"/>
                  <w:sz w:val="20"/>
                  <w:u w:val="single"/>
                </w:rPr>
                <w:t xml:space="preserve">Consent of Cooley LLP </w:t>
              </w:r>
            </w:hyperlink>
            <w:r>
              <w:rPr>
                <w:rFonts w:ascii="Times New Roman;sans-serif" w:hAnsi="Times New Roman;sans-serif"/>
                <w:b w:val="false"/>
                <w:color w:val="000000"/>
                <w:sz w:val="20"/>
              </w:rPr>
              <w:t>(contained in Exhibit 5.1)</w:t>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Date File (embedded within the Inline XBRL document)</w:t>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6125" w:type="dxa"/>
        <w:jc w:val="left"/>
        <w:tblInd w:w="0" w:type="dxa"/>
        <w:tblCellMar>
          <w:top w:w="28" w:type="dxa"/>
          <w:left w:w="28" w:type="dxa"/>
          <w:bottom w:w="28" w:type="dxa"/>
          <w:right w:w="28" w:type="dxa"/>
        </w:tblCellMar>
      </w:tblPr>
      <w:tblGrid>
        <w:gridCol w:w="200"/>
        <w:gridCol w:w="177"/>
        <w:gridCol w:w="178"/>
        <w:gridCol w:w="379"/>
        <w:gridCol w:w="379"/>
        <w:gridCol w:w="381"/>
        <w:gridCol w:w="222"/>
        <w:gridCol w:w="222"/>
        <w:gridCol w:w="222"/>
        <w:gridCol w:w="1098"/>
        <w:gridCol w:w="1098"/>
        <w:gridCol w:w="1569"/>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569" w:type="dxa"/>
            <w:tcBorders/>
            <w:shd w:fill="auto" w:val="clear"/>
            <w:vAlign w:val="center"/>
          </w:tcPr>
          <w:p>
            <w:pPr>
              <w:pStyle w:val="TableContents"/>
              <w:spacing w:before="0" w:after="283"/>
              <w:rPr>
                <w:sz w:val="4"/>
                <w:szCs w:val="4"/>
              </w:rPr>
            </w:pPr>
            <w:r>
              <w:rPr>
                <w:sz w:val="4"/>
                <w:szCs w:val="4"/>
              </w:rPr>
            </w:r>
          </w:p>
        </w:tc>
      </w:tr>
      <w:tr>
        <w:trPr/>
        <w:tc>
          <w:tcPr>
            <w:tcW w:w="6125"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3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SI-BONE, INC.</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3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5, 2023</w:t>
            </w:r>
          </w:p>
        </w:tc>
        <w:tc>
          <w:tcPr>
            <w:tcW w:w="6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Anshul Maheshwari</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Execution Version</w:t>
      </w:r>
    </w:p>
    <w:p>
      <w:pPr>
        <w:pStyle w:val="TextBody"/>
        <w:spacing w:lineRule="auto" w:line="240" w:before="0" w:after="1680"/>
        <w:jc w:val="center"/>
        <w:rPr>
          <w:rFonts w:ascii="Times New Roman;sans-serif" w:hAnsi="Times New Roman;sans-serif"/>
          <w:b/>
          <w:color w:val="000000"/>
          <w:sz w:val="24"/>
        </w:rPr>
      </w:pPr>
      <w:r>
        <w:rPr>
          <w:rFonts w:ascii="Times New Roman;sans-serif" w:hAnsi="Times New Roman;sans-serif"/>
          <w:b/>
          <w:color w:val="000000"/>
          <w:sz w:val="24"/>
        </w:rPr>
        <w:t>3,775,000 Shares</w:t>
        <w:br/>
        <w:br/>
        <w:br/>
        <w:t>SI-BONE, INC.</w:t>
        <w:br/>
        <w:br/>
        <w:t>COMMON STOCK (PAR VALUE $0.0001 PER SHARE)</w:t>
        <w:br/>
        <w:br/>
        <w:br/>
        <w:br/>
        <w:br/>
        <w:br/>
        <w:t>UNDERWRITING AGREEMENT</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May 4, 2023</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11835"/>
                <wp:effectExtent l="0" t="0" r="0" b="0"/>
                <wp:wrapNone/>
                <wp:docPr id="4" name="Frame4"/>
                <a:graphic xmlns:a="http://schemas.openxmlformats.org/drawingml/2006/main">
                  <a:graphicData uri="http://schemas.microsoft.com/office/word/2010/wordprocessingShape">
                    <wps:wsp>
                      <wps:cNvSpPr txBox="1"/>
                      <wps:spPr>
                        <a:xfrm>
                          <a:off x="0" y="0"/>
                          <a:ext cx="6480175" cy="711835"/>
                        </a:xfrm>
                        <a:prstGeom prst="rect"/>
                      </wps:spPr>
                      <wps:txbx>
                        <w:txbxContent>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May 4, 2023</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BofA Securities, Inc.</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Morgan Stanley &amp; Co. LLC</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Jefferies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c/o BofA Securities, Inc. </w:t>
        <w:br/>
        <w:t>One Bryant Park</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New York, New York 10036</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c/o Morgan Stanley &amp; Co. LLC</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1585 Broadway</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New York, NY 10036</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c/o Jefferies LLC</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520 Madison Avenue</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New York, NY 10022</w:t>
      </w:r>
    </w:p>
    <w:p>
      <w:pPr>
        <w:pStyle w:val="TextBody"/>
        <w:spacing w:before="0" w:after="0"/>
        <w:rPr/>
      </w:pPr>
      <w:r>
        <w:rPr/>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spacing w:lineRule="auto" w:line="240" w:before="0" w:after="240"/>
        <w:ind w:left="0" w:right="0" w:firstLine="720"/>
        <w:rPr/>
      </w:pPr>
      <w:r>
        <w:rPr>
          <w:rFonts w:ascii="Times New Roman;sans-serif" w:hAnsi="Times New Roman;sans-serif"/>
          <w:b w:val="false"/>
          <w:color w:val="000000"/>
          <w:sz w:val="24"/>
        </w:rPr>
        <w:t>SI-BONE, Inc., a Delaware corporation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proposes to issue and sell to the several Underwriters named in Schedule II hereto (the “</w:t>
      </w:r>
      <w:r>
        <w:rPr>
          <w:rFonts w:ascii="Times New Roman;sans-serif" w:hAnsi="Times New Roman;sans-serif"/>
          <w:b/>
          <w:color w:val="000000"/>
          <w:sz w:val="24"/>
        </w:rPr>
        <w:t>Underwriters</w:t>
      </w:r>
      <w:r>
        <w:rPr>
          <w:color w:val="000000"/>
        </w:rPr>
        <w:t>”</w:t>
      </w:r>
      <w:r>
        <w:rPr>
          <w:rFonts w:ascii="Times New Roman;sans-serif" w:hAnsi="Times New Roman;sans-serif"/>
          <w:b w:val="false"/>
          <w:color w:val="000000"/>
          <w:sz w:val="24"/>
        </w:rPr>
        <w:t>), for which BofA Securities, Inc., Morgan Stanley &amp; Co. LLC and Jefferies LLC are acting as representatives (the “</w:t>
      </w:r>
      <w:r>
        <w:rPr>
          <w:rFonts w:ascii="Times New Roman;sans-serif" w:hAnsi="Times New Roman;sans-serif"/>
          <w:b/>
          <w:color w:val="000000"/>
          <w:sz w:val="24"/>
        </w:rPr>
        <w:t>Representatives</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color w:val="000000"/>
          <w:sz w:val="24"/>
        </w:rPr>
        <w:t>you</w:t>
      </w:r>
      <w:r>
        <w:rPr>
          <w:color w:val="000000"/>
        </w:rPr>
        <w:t>”</w:t>
      </w:r>
      <w:r>
        <w:rPr>
          <w:rFonts w:ascii="Times New Roman;sans-serif" w:hAnsi="Times New Roman;sans-serif"/>
          <w:b w:val="false"/>
          <w:color w:val="000000"/>
          <w:sz w:val="24"/>
        </w:rPr>
        <w:t>), and the shareholder of the Company (the “</w:t>
      </w:r>
      <w:r>
        <w:rPr>
          <w:rFonts w:ascii="Times New Roman;sans-serif" w:hAnsi="Times New Roman;sans-serif"/>
          <w:b/>
          <w:color w:val="000000"/>
          <w:sz w:val="24"/>
        </w:rPr>
        <w:t>Selling Shareholder</w:t>
      </w:r>
      <w:r>
        <w:rPr>
          <w:color w:val="000000"/>
        </w:rPr>
        <w:t>”</w:t>
      </w:r>
      <w:r>
        <w:rPr>
          <w:rFonts w:ascii="Times New Roman;sans-serif" w:hAnsi="Times New Roman;sans-serif"/>
          <w:b w:val="false"/>
          <w:color w:val="000000"/>
          <w:sz w:val="24"/>
        </w:rPr>
        <w:t>) named in Schedule I hereto proposes to sell to the several Underwriters, an aggregate of 3,775,000 shares of its common stock, par value $.0001 per share (the “</w:t>
      </w:r>
      <w:r>
        <w:rPr>
          <w:rFonts w:ascii="Times New Roman;sans-serif" w:hAnsi="Times New Roman;sans-serif"/>
          <w:b/>
          <w:color w:val="000000"/>
          <w:sz w:val="24"/>
        </w:rPr>
        <w:t>Firm Shares</w:t>
      </w:r>
      <w:r>
        <w:rPr>
          <w:color w:val="000000"/>
        </w:rPr>
        <w:t>”</w:t>
      </w:r>
      <w:r>
        <w:rPr>
          <w:rFonts w:ascii="Times New Roman;sans-serif" w:hAnsi="Times New Roman;sans-serif"/>
          <w:b w:val="false"/>
          <w:color w:val="000000"/>
          <w:sz w:val="24"/>
        </w:rPr>
        <w:t xml:space="preserve">), of which 3,502,247 shares are to be issued and sold by the Company and 272,753 shares are to be sold by the Selling Shareholder. </w:t>
      </w:r>
    </w:p>
    <w:p>
      <w:pPr>
        <w:pStyle w:val="TextBody"/>
        <w:spacing w:lineRule="auto" w:line="240" w:before="0" w:after="240"/>
        <w:ind w:left="0" w:right="0" w:firstLine="720"/>
        <w:rPr/>
      </w:pPr>
      <w:r>
        <w:rPr>
          <w:rFonts w:ascii="Times New Roman;sans-serif" w:hAnsi="Times New Roman;sans-serif"/>
          <w:b w:val="false"/>
          <w:color w:val="000000"/>
          <w:sz w:val="24"/>
        </w:rPr>
        <w:t>The Company also proposes to issue and sell to the several Underwriters not more than an additional 566,250 shares of its common stock, par value $.0001 per share (the “</w:t>
      </w:r>
      <w:r>
        <w:rPr>
          <w:rFonts w:ascii="Times New Roman;sans-serif" w:hAnsi="Times New Roman;sans-serif"/>
          <w:b/>
          <w:color w:val="000000"/>
          <w:sz w:val="24"/>
        </w:rPr>
        <w:t>Additional Shares</w:t>
      </w:r>
      <w:r>
        <w:rPr>
          <w:color w:val="000000"/>
        </w:rPr>
        <w:t>”</w:t>
      </w:r>
      <w:r>
        <w:rPr>
          <w:rFonts w:ascii="Times New Roman;sans-serif" w:hAnsi="Times New Roman;sans-serif"/>
          <w:b w:val="false"/>
          <w:color w:val="000000"/>
          <w:sz w:val="24"/>
        </w:rPr>
        <w:t>), if and to the extent that you, as Representatives, shall have determined to exercise, on behalf of the Underwriters, the right to purchase such shares of common stock granted to the Underwriters in Section 3 hereof. The Firm Shares and the Additional Shares are hereinafter collectively referred to as the “</w:t>
      </w:r>
      <w:r>
        <w:rPr>
          <w:rFonts w:ascii="Times New Roman;sans-serif" w:hAnsi="Times New Roman;sans-serif"/>
          <w:b/>
          <w:color w:val="000000"/>
          <w:sz w:val="24"/>
        </w:rPr>
        <w:t>Shares</w:t>
      </w:r>
      <w:r>
        <w:rPr>
          <w:rFonts w:ascii="Times New Roman;sans-serif" w:hAnsi="Times New Roman;sans-serif"/>
          <w:b w:val="false"/>
          <w:color w:val="000000"/>
          <w:sz w:val="24"/>
        </w:rPr>
        <w:t>.” The shares of common stock, par value $.0001 per share, of the Company to be outstanding after giving effect to the sales contemplated hereby are hereinafter referred to as the “</w:t>
      </w:r>
      <w:r>
        <w:rPr>
          <w:rFonts w:ascii="Times New Roman;sans-serif" w:hAnsi="Times New Roman;sans-serif"/>
          <w:b/>
          <w:color w:val="000000"/>
          <w:sz w:val="24"/>
        </w:rPr>
        <w:t>Common Stock</w:t>
      </w:r>
      <w:r>
        <w:rPr>
          <w:rFonts w:ascii="Times New Roman;sans-serif" w:hAnsi="Times New Roman;sans-serif"/>
          <w:b w:val="false"/>
          <w:color w:val="000000"/>
          <w:sz w:val="24"/>
        </w:rPr>
        <w:t>.” The Company and the Selling Shareholder are hereinafter sometimes collectively referred to as the “</w:t>
      </w:r>
      <w:r>
        <w:rPr>
          <w:rFonts w:ascii="Times New Roman;sans-serif" w:hAnsi="Times New Roman;sans-serif"/>
          <w:b/>
          <w:color w:val="000000"/>
          <w:sz w:val="24"/>
        </w:rPr>
        <w:t>Sellers</w:t>
      </w:r>
      <w:r>
        <w:rPr>
          <w:rFonts w:ascii="Times New Roman;sans-serif" w:hAnsi="Times New Roman;sans-serif"/>
          <w:b w:val="false"/>
          <w:color w:val="000000"/>
          <w:sz w:val="24"/>
        </w:rPr>
        <w:t>.”</w:t>
      </w:r>
    </w:p>
    <w:p>
      <w:pPr>
        <w:pStyle w:val="TextBody"/>
        <w:spacing w:lineRule="auto" w:line="240" w:before="0" w:after="240"/>
        <w:ind w:left="0" w:right="0" w:firstLine="720"/>
        <w:rPr/>
      </w:pPr>
      <w:r>
        <w:rPr>
          <w:rFonts w:ascii="Times New Roman;sans-serif" w:hAnsi="Times New Roman;sans-serif"/>
          <w:b w:val="false"/>
          <w:color w:val="000000"/>
          <w:sz w:val="24"/>
        </w:rPr>
        <w:t>The Company has prepared and filed with the Securities and Exchange Commission (the “</w:t>
      </w:r>
      <w:r>
        <w:rPr>
          <w:rFonts w:ascii="Times New Roman;sans-serif" w:hAnsi="Times New Roman;sans-serif"/>
          <w:b/>
          <w:color w:val="000000"/>
          <w:sz w:val="24"/>
        </w:rPr>
        <w:t>Commission</w:t>
      </w:r>
      <w:r>
        <w:rPr>
          <w:color w:val="000000"/>
        </w:rPr>
        <w:t>”</w:t>
      </w:r>
      <w:r>
        <w:rPr>
          <w:rFonts w:ascii="Times New Roman;sans-serif" w:hAnsi="Times New Roman;sans-serif"/>
          <w:b w:val="false"/>
          <w:color w:val="000000"/>
          <w:sz w:val="24"/>
        </w:rPr>
        <w:t>) an “automatic shelf registration statement” as defined under Rule 405 under the Securities Act of 1933, as amended (the “</w:t>
      </w:r>
      <w:r>
        <w:rPr>
          <w:rFonts w:ascii="Times New Roman;sans-serif" w:hAnsi="Times New Roman;sans-serif"/>
          <w:b/>
          <w:color w:val="000000"/>
          <w:sz w:val="24"/>
        </w:rPr>
        <w:t>Securities Act</w:t>
      </w:r>
      <w:r>
        <w:rPr>
          <w:color w:val="000000"/>
        </w:rPr>
        <w:t>”</w:t>
      </w:r>
      <w:r>
        <w:rPr>
          <w:rFonts w:ascii="Times New Roman;sans-serif" w:hAnsi="Times New Roman;sans-serif"/>
          <w:b w:val="false"/>
          <w:color w:val="000000"/>
          <w:sz w:val="24"/>
        </w:rPr>
        <w:t>), on Form S-3 (File No. 333- 271635), including a prospectus, relating to the securities (the “</w:t>
      </w:r>
      <w:r>
        <w:rPr>
          <w:rFonts w:ascii="Times New Roman;sans-serif" w:hAnsi="Times New Roman;sans-serif"/>
          <w:b/>
          <w:color w:val="000000"/>
          <w:sz w:val="24"/>
        </w:rPr>
        <w:t>Shelf Securities</w:t>
      </w:r>
      <w:r>
        <w:rPr>
          <w:color w:val="000000"/>
        </w:rPr>
        <w:t>”</w:t>
      </w:r>
      <w:r>
        <w:rPr>
          <w:rFonts w:ascii="Times New Roman;sans-serif" w:hAnsi="Times New Roman;sans-serif"/>
          <w:b w:val="false"/>
          <w:color w:val="000000"/>
          <w:sz w:val="24"/>
        </w:rPr>
        <w:t>), including the Shares, to be issued and sold from time to time by the Company and the Selling Shareholder, which automatic shelf registration statement and any post-effective amendment thereto, if any, became effective upon filing with the Commission,. The registration statement as amended to the date of this Agreement, including the information (if any) deemed to be part of the registration statement at the time of effectiveness pursuant to Rule 430B under the Securities Act, is hereinafter referred to as the “</w:t>
      </w:r>
      <w:r>
        <w:rPr>
          <w:rFonts w:ascii="Times New Roman;sans-serif" w:hAnsi="Times New Roman;sans-serif"/>
          <w:b/>
          <w:color w:val="000000"/>
          <w:sz w:val="24"/>
        </w:rPr>
        <w:t>Registration Statement</w:t>
      </w:r>
      <w:r>
        <w:rPr>
          <w:color w:val="000000"/>
        </w:rPr>
        <w:t>”</w:t>
      </w:r>
      <w:r>
        <w:rPr>
          <w:rFonts w:ascii="Times New Roman;sans-serif" w:hAnsi="Times New Roman;sans-serif"/>
          <w:b w:val="false"/>
          <w:color w:val="000000"/>
          <w:sz w:val="24"/>
        </w:rPr>
        <w:t>, and the related prospectus covering the Shelf Securities dated May 4, 2023 in the form first used to confirm sales of the Shares (or in the form first made available to the Underwriters by the Company to meet requests of purchasers pursuant to Rule 173 under the Securities Act) is hereinafter referred to as the “</w:t>
      </w:r>
      <w:r>
        <w:rPr>
          <w:rFonts w:ascii="Times New Roman;sans-serif" w:hAnsi="Times New Roman;sans-serif"/>
          <w:b/>
          <w:color w:val="000000"/>
          <w:sz w:val="24"/>
        </w:rPr>
        <w:t>Basic Prospectus</w:t>
      </w:r>
      <w:r>
        <w:rPr>
          <w:rFonts w:ascii="Times New Roman;sans-serif" w:hAnsi="Times New Roman;sans-serif"/>
          <w:b w:val="false"/>
          <w:color w:val="000000"/>
          <w:sz w:val="24"/>
        </w:rPr>
        <w:t xml:space="preserve">.” The Basic Prospectus, as supplemented by the prospectus supplement specifically relating to the </w:t>
      </w:r>
      <w:r>
        <w:br w:type="page"/>
      </w:r>
    </w:p>
    <w:p>
      <w:pPr>
        <w:pStyle w:val="TextBody"/>
        <w:spacing w:before="0" w:after="0"/>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11835"/>
                <wp:effectExtent l="0" t="0" r="0" b="0"/>
                <wp:wrapNone/>
                <wp:docPr id="5" name="Frame5"/>
                <a:graphic xmlns:a="http://schemas.openxmlformats.org/drawingml/2006/main">
                  <a:graphicData uri="http://schemas.microsoft.com/office/word/2010/wordprocessingShape">
                    <wps:wsp>
                      <wps:cNvSpPr txBox="1"/>
                      <wps:spPr>
                        <a:xfrm>
                          <a:off x="0" y="0"/>
                          <a:ext cx="6480175" cy="711835"/>
                        </a:xfrm>
                        <a:prstGeom prst="rect"/>
                      </wps:spPr>
                      <wps:txbx>
                        <w:txbxContent>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4"/>
        </w:rPr>
        <w:t>Shares in the form first used to confirm sales of the Shares (or in the form first made available to the Underwriters by the Company to meet requests of purchasers pursuant to Rule 173 under the Securities Act) is hereinafter referred to as the “</w:t>
      </w:r>
      <w:r>
        <w:rPr>
          <w:rFonts w:ascii="Times New Roman;sans-serif" w:hAnsi="Times New Roman;sans-serif"/>
          <w:b/>
          <w:color w:val="000000"/>
          <w:sz w:val="24"/>
        </w:rPr>
        <w:t>Prospectus</w:t>
      </w:r>
      <w:r>
        <w:rPr>
          <w:rFonts w:ascii="Times New Roman;sans-serif" w:hAnsi="Times New Roman;sans-serif"/>
          <w:b w:val="false"/>
          <w:color w:val="000000"/>
          <w:sz w:val="24"/>
        </w:rPr>
        <w:t>,” and the term “</w:t>
      </w:r>
      <w:r>
        <w:rPr>
          <w:rFonts w:ascii="Times New Roman;sans-serif" w:hAnsi="Times New Roman;sans-serif"/>
          <w:b/>
          <w:color w:val="000000"/>
          <w:sz w:val="24"/>
        </w:rPr>
        <w:t>preliminary prospectus</w:t>
      </w:r>
      <w:r>
        <w:rPr>
          <w:color w:val="000000"/>
        </w:rPr>
        <w:t xml:space="preserve">” </w:t>
      </w:r>
      <w:r>
        <w:rPr>
          <w:rFonts w:ascii="Times New Roman;sans-serif" w:hAnsi="Times New Roman;sans-serif"/>
          <w:b w:val="false"/>
          <w:color w:val="000000"/>
          <w:sz w:val="24"/>
        </w:rPr>
        <w:t>means any preliminary form of the Prospectus. For purposes of this Agreement, “</w:t>
      </w:r>
      <w:r>
        <w:rPr>
          <w:rFonts w:ascii="Times New Roman;sans-serif" w:hAnsi="Times New Roman;sans-serif"/>
          <w:b/>
          <w:color w:val="000000"/>
          <w:sz w:val="24"/>
        </w:rPr>
        <w:t>free writing prospectus</w:t>
      </w:r>
      <w:r>
        <w:rPr>
          <w:color w:val="000000"/>
        </w:rPr>
        <w:t xml:space="preserve">” </w:t>
      </w:r>
      <w:r>
        <w:rPr>
          <w:rFonts w:ascii="Times New Roman;sans-serif" w:hAnsi="Times New Roman;sans-serif"/>
          <w:b w:val="false"/>
          <w:color w:val="000000"/>
          <w:sz w:val="24"/>
        </w:rPr>
        <w:t>has the meaning set forth in Rule 405 under the Securities Act, “</w:t>
      </w:r>
      <w:r>
        <w:rPr>
          <w:rFonts w:ascii="Times New Roman;sans-serif" w:hAnsi="Times New Roman;sans-serif"/>
          <w:b/>
          <w:color w:val="000000"/>
          <w:sz w:val="24"/>
        </w:rPr>
        <w:t>Time of Sale Prospectus</w:t>
      </w:r>
      <w:r>
        <w:rPr>
          <w:color w:val="000000"/>
        </w:rPr>
        <w:t xml:space="preserve">” </w:t>
      </w:r>
      <w:r>
        <w:rPr>
          <w:rFonts w:ascii="Times New Roman;sans-serif" w:hAnsi="Times New Roman;sans-serif"/>
          <w:b w:val="false"/>
          <w:color w:val="000000"/>
          <w:sz w:val="24"/>
        </w:rPr>
        <w:t>means the documents and pricing information set forth opposite the caption “Time of Sale Prospectus” in Schedule III hereto, and “</w:t>
      </w:r>
      <w:r>
        <w:rPr>
          <w:rFonts w:ascii="Times New Roman;sans-serif" w:hAnsi="Times New Roman;sans-serif"/>
          <w:b/>
          <w:color w:val="000000"/>
          <w:sz w:val="24"/>
        </w:rPr>
        <w:t>broadly available road show</w:t>
      </w:r>
      <w:r>
        <w:rPr>
          <w:color w:val="000000"/>
        </w:rPr>
        <w:t xml:space="preserve">” </w:t>
      </w:r>
      <w:r>
        <w:rPr>
          <w:rFonts w:ascii="Times New Roman;sans-serif" w:hAnsi="Times New Roman;sans-serif"/>
          <w:b w:val="false"/>
          <w:color w:val="000000"/>
          <w:sz w:val="24"/>
        </w:rPr>
        <w:t>means a “bona fide electronic road show” as defined in Rule 433(h)(5) under the Securities Act that has been made available without restriction to any person. As used herein, the terms “Registration Statement,” “Basic Prospectus,” “preliminary prospectus,” “Time of Sale Prospectus” and “Prospectus” shall include the documents, if any, incorporated by reference therein as of the date hereof. The terms “</w:t>
      </w:r>
      <w:r>
        <w:rPr>
          <w:rFonts w:ascii="Times New Roman;sans-serif" w:hAnsi="Times New Roman;sans-serif"/>
          <w:b/>
          <w:color w:val="000000"/>
          <w:sz w:val="24"/>
        </w:rPr>
        <w:t>supplement</w:t>
      </w:r>
      <w:r>
        <w:rPr>
          <w:rFonts w:ascii="Times New Roman;sans-serif" w:hAnsi="Times New Roman;sans-serif"/>
          <w:b w:val="false"/>
          <w:color w:val="000000"/>
          <w:sz w:val="24"/>
        </w:rPr>
        <w:t>,” “</w:t>
      </w:r>
      <w:r>
        <w:rPr>
          <w:rFonts w:ascii="Times New Roman;sans-serif" w:hAnsi="Times New Roman;sans-serif"/>
          <w:b/>
          <w:color w:val="000000"/>
          <w:sz w:val="24"/>
        </w:rPr>
        <w:t>amendment</w:t>
      </w:r>
      <w:r>
        <w:rPr>
          <w:rFonts w:ascii="Times New Roman;sans-serif" w:hAnsi="Times New Roman;sans-serif"/>
          <w:b w:val="false"/>
          <w:color w:val="000000"/>
          <w:sz w:val="24"/>
        </w:rPr>
        <w:t>,” and “</w:t>
      </w:r>
      <w:r>
        <w:rPr>
          <w:rFonts w:ascii="Times New Roman;sans-serif" w:hAnsi="Times New Roman;sans-serif"/>
          <w:b/>
          <w:color w:val="000000"/>
          <w:sz w:val="24"/>
        </w:rPr>
        <w:t>amend</w:t>
      </w:r>
      <w:r>
        <w:rPr>
          <w:color w:val="000000"/>
        </w:rPr>
        <w:t xml:space="preserve">” </w:t>
      </w:r>
      <w:r>
        <w:rPr>
          <w:rFonts w:ascii="Times New Roman;sans-serif" w:hAnsi="Times New Roman;sans-serif"/>
          <w:b w:val="false"/>
          <w:color w:val="000000"/>
          <w:sz w:val="24"/>
        </w:rPr>
        <w:t>as used herein with respect to the Registration Statement, the Basic Prospectus, the Time of Sale Prospectus, any preliminary prospectus or the Prospectus shall include all documents subsequently filed by the Company with the Commission pursuant to the Securities Exchange Act of 1934, as amended (the “</w:t>
      </w:r>
      <w:r>
        <w:rPr>
          <w:rFonts w:ascii="Times New Roman;sans-serif" w:hAnsi="Times New Roman;sans-serif"/>
          <w:b/>
          <w:color w:val="000000"/>
          <w:sz w:val="24"/>
        </w:rPr>
        <w:t>Exchange Act</w:t>
      </w:r>
      <w:r>
        <w:rPr>
          <w:color w:val="000000"/>
        </w:rPr>
        <w:t>”</w:t>
      </w:r>
      <w:r>
        <w:rPr>
          <w:rFonts w:ascii="Times New Roman;sans-serif" w:hAnsi="Times New Roman;sans-serif"/>
          <w:b w:val="false"/>
          <w:color w:val="000000"/>
          <w:sz w:val="24"/>
        </w:rPr>
        <w:t xml:space="preserve">), that are deemed to be incorporated by reference therein. </w:t>
      </w:r>
    </w:p>
    <w:p>
      <w:pPr>
        <w:pStyle w:val="TextBody"/>
        <w:spacing w:lineRule="auto" w:line="240" w:before="0" w:after="240"/>
        <w:ind w:left="0" w:right="0" w:firstLine="720"/>
        <w:rPr/>
      </w:pPr>
      <w:r>
        <w:rPr>
          <w:rFonts w:ascii="Times New Roman;sans-serif" w:hAnsi="Times New Roman;sans-serif"/>
          <w:b w:val="false"/>
          <w:color w:val="010000"/>
          <w:sz w:val="24"/>
        </w:rPr>
        <w:t>1.</w:t>
      </w:r>
      <w:r>
        <w:rPr>
          <w:rFonts w:ascii="Times New Roman;sans-serif" w:hAnsi="Times New Roman;sans-serif"/>
          <w:b w:val="false"/>
          <w:i/>
          <w:color w:val="000000"/>
          <w:sz w:val="24"/>
        </w:rPr>
        <w:t>Representations and Warranties of the Company</w:t>
      </w:r>
      <w:r>
        <w:rPr>
          <w:rFonts w:ascii="Times New Roman;sans-serif" w:hAnsi="Times New Roman;sans-serif"/>
          <w:b w:val="false"/>
          <w:color w:val="000000"/>
          <w:sz w:val="24"/>
        </w:rPr>
        <w:t>. The Company represents and warrants to and agrees with each of the Underwriters that:</w:t>
      </w:r>
    </w:p>
    <w:p>
      <w:pPr>
        <w:pStyle w:val="TextBody"/>
        <w:spacing w:lineRule="auto" w:line="240" w:before="0" w:after="240"/>
        <w:ind w:left="0" w:right="0" w:firstLine="720"/>
        <w:rPr/>
      </w:pPr>
      <w:r>
        <w:rPr>
          <w:rFonts w:ascii="Times New Roman;sans-serif" w:hAnsi="Times New Roman;sans-serif"/>
          <w:b w:val="false"/>
          <w:color w:val="010000"/>
          <w:sz w:val="24"/>
        </w:rPr>
        <w:t>(a)</w:t>
      </w:r>
      <w:r>
        <w:rPr>
          <w:rFonts w:ascii="Times New Roman;sans-serif" w:hAnsi="Times New Roman;sans-serif"/>
          <w:b w:val="false"/>
          <w:color w:val="000000"/>
          <w:sz w:val="24"/>
        </w:rPr>
        <w:t>The Registration Statement has become effective; no stop order suspending the effectiveness of the Registration Statement is in effect, and no proceedings for such purpose or pursuant to Section 8A under the Securities Act are pending before or, to the Company’s knowledge, threatened by the Commission and (A) at the original effectiveness of the Registration Statement, (B) at the time of the most recent amendment thereto for the purposes of complying with Section 10(a)(3) of the Securities Act (whether such amendment was by post-effective amendment, incorporated report filed pursuant to Section 13 or 15(d) of the Exchange Act or form of prospectus), (C) at the time the Company or any person acting on its behalf (within the meaning, for this clause only, of Rule 163(c) under the Securities Act) made any offer relating to the Shares in reliance on the exemption of Rule 163 under the Exchange Act, and (D) as of the date hereof, the Company was and is a “well-known seasoned issuer” (as defined in Rule 405 of the Securities Act).</w:t>
      </w:r>
    </w:p>
    <w:p>
      <w:pPr>
        <w:pStyle w:val="TextBody"/>
        <w:spacing w:lineRule="auto" w:line="240" w:before="0" w:after="240"/>
        <w:ind w:left="0" w:right="0" w:firstLine="720"/>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(iii) the Registration Statement as of the date hereof does not contain any untrue statement of a material fact or omit to state a material fact required to be stated therein or necessary to make the statements therein not misleading, (iv) the Registration Statement and the Prospectus comply, and as amended or supplemented, if applicable, will comply in all material respects with the Securities Act and the applicable rules and regulations of the Commission thereunder, (v) the Time of Sale Prospectus does not, and at the time of each sale of the Shares in connection with the offering when the Prospectus is not yet available to prospective purchasers and at the Closing Date (as defined in Section 5),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(vi) each broadly available road show, if any, when considered together with the Time of Sale Prospectus, does not contain any untrue statement of a </w:t>
      </w:r>
      <w:r>
        <w:br w:type="page"/>
      </w:r>
    </w:p>
    <w:p>
      <w:pPr>
        <w:pStyle w:val="TextBody"/>
        <w:spacing w:before="0" w:after="0"/>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11835"/>
                <wp:effectExtent l="0" t="0" r="0" b="0"/>
                <wp:wrapNone/>
                <wp:docPr id="6" name="Frame6"/>
                <a:graphic xmlns:a="http://schemas.openxmlformats.org/drawingml/2006/main">
                  <a:graphicData uri="http://schemas.microsoft.com/office/word/2010/wordprocessingShape">
                    <wps:wsp>
                      <wps:cNvSpPr txBox="1"/>
                      <wps:spPr>
                        <a:xfrm>
                          <a:off x="0" y="0"/>
                          <a:ext cx="6480175" cy="711835"/>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material fact or omit to state a material fact necessary to make the statements therein, in the light of the circumstances under which they were made, not misleading and (vi) the Prospectus, as of the date hereof does not contain and, as amended or supplemented, if applicable, will not contain as of its date and as of the Closing Date (as defined in Section 5),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Representatives expressly for use therein.</w:t>
      </w:r>
    </w:p>
    <w:p>
      <w:pPr>
        <w:pStyle w:val="TextBody"/>
        <w:spacing w:lineRule="auto" w:line="240" w:before="0" w:after="240"/>
        <w:ind w:left="0" w:right="0" w:firstLine="720"/>
        <w:rPr/>
      </w:pPr>
      <w:r>
        <w:rPr>
          <w:rFonts w:ascii="Times New Roman;sans-serif" w:hAnsi="Times New Roman;sans-serif"/>
          <w:b w:val="false"/>
          <w:color w:val="010000"/>
          <w:sz w:val="24"/>
        </w:rPr>
        <w:t>(c)</w:t>
      </w:r>
      <w:r>
        <w:rPr>
          <w:rFonts w:ascii="Times New Roman;sans-serif" w:hAnsi="Times New Roman;sans-serif"/>
          <w:b w:val="false"/>
          <w:color w:val="000000"/>
          <w:sz w:val="24"/>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if filed after the effective date of this Agreement, will comply as of the date of such filing in all material respects with the requirements of the Securities Act and the applicable rules and regulations of the Commission thereunder. Except for the free writing prospectuses, if any, identified in Schedule II hereto, and electronic road shows, if any, each furnished to you before first use, the Company has not prepared, used or referred to, and will not, without your prior consent, prepare, use or refer to, any free writing prospectus.</w:t>
      </w:r>
    </w:p>
    <w:p>
      <w:pPr>
        <w:pStyle w:val="TextBody"/>
        <w:spacing w:lineRule="auto" w:line="240" w:before="0" w:after="240"/>
        <w:ind w:left="0" w:right="0" w:firstLine="720"/>
        <w:rPr/>
      </w:pPr>
      <w:r>
        <w:rPr>
          <w:rFonts w:ascii="Times New Roman;sans-serif" w:hAnsi="Times New Roman;sans-serif"/>
          <w:b w:val="false"/>
          <w:color w:val="010000"/>
          <w:sz w:val="24"/>
        </w:rPr>
        <w:t>(d)</w:t>
      </w:r>
      <w:r>
        <w:rPr>
          <w:rFonts w:ascii="Times New Roman;sans-serif" w:hAnsi="Times New Roman;sans-serif"/>
          <w:b w:val="false"/>
          <w:color w:val="000000"/>
          <w:sz w:val="24"/>
        </w:rPr>
        <w:t>The Company has been duly incorporated, is validly existing as a corporation in good standing under the laws of the State of Delaware, has the corporate power and authority to own or lease its property and to conduct its business as described in the Time of Sale Prospectus and to enter into and perform its obligations under this Agreement,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individually or in the aggregate, reasonably be expected to have a material adverse effect on the business, properties, management, financial position, stockholders’ equity, results of operations or prospects of the Company (a “</w:t>
      </w:r>
      <w:r>
        <w:rPr>
          <w:rFonts w:ascii="Times New Roman;sans-serif" w:hAnsi="Times New Roman;sans-serif"/>
          <w:b/>
          <w:color w:val="000000"/>
          <w:sz w:val="24"/>
        </w:rPr>
        <w:t>Material Adverse Effect</w:t>
      </w:r>
      <w:r>
        <w:rPr>
          <w:color w:val="000000"/>
        </w:rPr>
        <w:t>”</w:t>
      </w:r>
      <w:r>
        <w:rPr>
          <w:rFonts w:ascii="Times New Roman;sans-serif" w:hAnsi="Times New Roman;sans-serif"/>
          <w:b w:val="false"/>
          <w:color w:val="000000"/>
          <w:sz w:val="24"/>
        </w:rPr>
        <w:t>) and its subsidiaries, taken as a whole, or on the performance by the Company of its obligations under this Agreement or to consummate the transactions contemplated by Time of Sale Prospectus.</w:t>
      </w:r>
    </w:p>
    <w:p>
      <w:pPr>
        <w:pStyle w:val="TextBody"/>
        <w:spacing w:lineRule="auto" w:line="240" w:before="0" w:after="240"/>
        <w:ind w:left="0" w:right="0" w:firstLine="720"/>
        <w:rPr/>
      </w:pPr>
      <w:r>
        <w:rPr>
          <w:rFonts w:ascii="Times New Roman;sans-serif" w:hAnsi="Times New Roman;sans-serif"/>
          <w:b w:val="false"/>
          <w:color w:val="010000"/>
          <w:sz w:val="24"/>
        </w:rPr>
        <w:t>(e)</w:t>
      </w:r>
      <w:r>
        <w:rPr>
          <w:rFonts w:ascii="Times New Roman;sans-serif" w:hAnsi="Times New Roman;sans-serif"/>
          <w:b w:val="false"/>
          <w:color w:val="000000"/>
          <w:sz w:val="24"/>
        </w:rPr>
        <w:t>Each subsidiary of the Company has been duly organized, is validly existing and in good standing under the laws of the jurisdiction of its organization (to the extent the concept of good standing or an equivalent concept is applicable under the laws of such jurisdiction), has the corporate or other organizational power and authority to own, lease and operate its property and to conduct its business as described in the Time of Sale Prospectus and is duly qualified to transact business and is in good standing in each jurisdiction (to the extent the concept of good standing or an equivalent concept is applicable under the laws of such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 all of the issued equity securities of each subsidiary of the Company have been duly and validly authorized and issued, are fully paid and non-assessable (to the extent that such concepts are applicable in such jurisdiction) and are owned directly or indirectly by the Company, free and clear of all liens, encumbrances, equities or claims.</w:t>
      </w:r>
      <w:r>
        <w:br w:type="page"/>
      </w:r>
    </w:p>
    <w:p>
      <w:pPr>
        <w:pStyle w:val="TextBody"/>
        <w:spacing w:before="0" w:after="0"/>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11835"/>
                <wp:effectExtent l="0" t="0" r="0" b="0"/>
                <wp:wrapNone/>
                <wp:docPr id="7" name="Frame7"/>
                <a:graphic xmlns:a="http://schemas.openxmlformats.org/drawingml/2006/main">
                  <a:graphicData uri="http://schemas.microsoft.com/office/word/2010/wordprocessingShape">
                    <wps:wsp>
                      <wps:cNvSpPr txBox="1"/>
                      <wps:spPr>
                        <a:xfrm>
                          <a:off x="0" y="0"/>
                          <a:ext cx="6480175" cy="711835"/>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3</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3</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v:textbox>
              </v:rect>
            </w:pict>
          </mc:Fallback>
        </mc:AlternateContent>
      </w:r>
    </w:p>
    <w:p>
      <w:pPr>
        <w:pStyle w:val="TextBody"/>
        <w:spacing w:lineRule="auto" w:line="240" w:before="0" w:after="240"/>
        <w:ind w:left="0" w:right="0" w:firstLine="720"/>
        <w:rPr/>
      </w:pPr>
      <w:r>
        <w:rPr>
          <w:rFonts w:ascii="Times New Roman;sans-serif" w:hAnsi="Times New Roman;sans-serif"/>
          <w:b w:val="false"/>
          <w:color w:val="010000"/>
          <w:sz w:val="24"/>
        </w:rPr>
        <w:t>(f)</w:t>
      </w:r>
      <w:r>
        <w:rPr>
          <w:rFonts w:ascii="Times New Roman;sans-serif" w:hAnsi="Times New Roman;sans-serif"/>
          <w:b w:val="false"/>
          <w:color w:val="000000"/>
          <w:sz w:val="24"/>
        </w:rPr>
        <w:t xml:space="preserve">PricewaterhouseCoopers LLP, which has expressed an opinion with respect to the financial statements of the Company and its subsidiaries filed with the Commission as a part of the Registration Statement, and included in each of the Time of Sale Prospectus and the Prospectus, is an independent registered public accounting firm with respect to the Company and its subsidiaries within the applicable rules and regulations adopted by the Commission and the Public Company Accounting Oversight Board (United States) and as required by the Securities Act. </w:t>
      </w:r>
    </w:p>
    <w:p>
      <w:pPr>
        <w:pStyle w:val="TextBody"/>
        <w:spacing w:lineRule="auto" w:line="240" w:before="0" w:after="240"/>
        <w:ind w:left="0" w:right="0" w:firstLine="720"/>
        <w:rPr/>
      </w:pPr>
      <w:r>
        <w:rPr>
          <w:rFonts w:ascii="Times New Roman;sans-serif" w:hAnsi="Times New Roman;sans-serif"/>
          <w:b w:val="false"/>
          <w:color w:val="010000"/>
          <w:sz w:val="24"/>
        </w:rPr>
        <w:t>(g)</w:t>
      </w:r>
      <w:r>
        <w:rPr>
          <w:rFonts w:ascii="Times New Roman;sans-serif" w:hAnsi="Times New Roman;sans-serif"/>
          <w:b w:val="false"/>
          <w:color w:val="000000"/>
          <w:sz w:val="24"/>
        </w:rPr>
        <w:t>The financial statements included in the Registration Statement, the Time of Sale Prospectus and the Prospectus, together with the related schedules and notes, present fairly in all material respects the financial position of the Company and its subsidiaries at the dates indicated and the statement of comprehensive loss, stockholders’ equity and cash flows of the Company and its subsidiaries for the periods specified; said financial statements have been prepared in conformity with U.S. generally accepted accounting principles (“</w:t>
      </w:r>
      <w:r>
        <w:rPr>
          <w:rFonts w:ascii="Times New Roman;sans-serif" w:hAnsi="Times New Roman;sans-serif"/>
          <w:b/>
          <w:color w:val="000000"/>
          <w:sz w:val="24"/>
        </w:rPr>
        <w:t>GAAP</w:t>
      </w:r>
      <w:r>
        <w:rPr>
          <w:color w:val="000000"/>
        </w:rPr>
        <w:t>”</w:t>
      </w:r>
      <w:r>
        <w:rPr>
          <w:rFonts w:ascii="Times New Roman;sans-serif" w:hAnsi="Times New Roman;sans-serif"/>
          <w:b w:val="false"/>
          <w:color w:val="000000"/>
          <w:sz w:val="24"/>
        </w:rPr>
        <w:t>) applied on a consistent basis throughout the periods involved. The selected financial data and the summary financial information included in the Registration Statement, the Time of Sale Prospectus and the Prospectus present fairly the information shown therein and have been compiled on a basis consistent with that of the audited financial statements included therein. Except as included therein, no historical financial statements or supporting schedules are required to be included in the Registration Statement, the Time of Sale Prospectus or the Prospectus under the Securities Act or any applicable rules and regulations of the Commission thereunder.</w:t>
      </w:r>
    </w:p>
    <w:p>
      <w:pPr>
        <w:pStyle w:val="TextBody"/>
        <w:spacing w:lineRule="auto" w:line="240" w:before="0" w:after="240"/>
        <w:ind w:left="0" w:right="0" w:firstLine="720"/>
        <w:rPr/>
      </w:pPr>
      <w:r>
        <w:rPr>
          <w:rFonts w:ascii="Times New Roman;sans-serif" w:hAnsi="Times New Roman;sans-serif"/>
          <w:b w:val="false"/>
          <w:color w:val="010000"/>
          <w:sz w:val="24"/>
        </w:rPr>
        <w:t>(h)</w:t>
      </w:r>
      <w:r>
        <w:rPr>
          <w:rFonts w:ascii="Times New Roman;sans-serif" w:hAnsi="Times New Roman;sans-serif"/>
          <w:b w:val="false"/>
          <w:color w:val="000000"/>
          <w:sz w:val="24"/>
        </w:rPr>
        <w:t>This Agreement has been duly authorized, executed and delivered by the Company.</w:t>
      </w:r>
    </w:p>
    <w:p>
      <w:pPr>
        <w:pStyle w:val="TextBody"/>
        <w:spacing w:lineRule="auto" w:line="240" w:before="0" w:after="240"/>
        <w:ind w:left="0" w:right="0" w:firstLine="720"/>
        <w:rPr/>
      </w:pPr>
      <w:r>
        <w:rPr>
          <w:rFonts w:ascii="Times New Roman;sans-serif" w:hAnsi="Times New Roman;sans-serif"/>
          <w:b w:val="false"/>
          <w:color w:val="010000"/>
          <w:sz w:val="24"/>
        </w:rPr>
        <w:t>(i)</w:t>
      </w:r>
      <w:r>
        <w:rPr>
          <w:rFonts w:ascii="Times New Roman;sans-serif" w:hAnsi="Times New Roman;sans-serif"/>
          <w:b w:val="false"/>
          <w:color w:val="000000"/>
          <w:sz w:val="24"/>
        </w:rPr>
        <w:t>The authorized capital stock of the Company conforms as to legal matters in all material respects to the description thereof contained in each of the Time of Sale Prospectus and the Prospectus.</w:t>
      </w:r>
    </w:p>
    <w:p>
      <w:pPr>
        <w:pStyle w:val="TextBody"/>
        <w:spacing w:lineRule="auto" w:line="240" w:before="0" w:after="240"/>
        <w:ind w:left="0" w:right="0" w:firstLine="720"/>
        <w:rPr/>
      </w:pPr>
      <w:r>
        <w:rPr>
          <w:rFonts w:ascii="Times New Roman;sans-serif" w:hAnsi="Times New Roman;sans-serif"/>
          <w:b w:val="false"/>
          <w:color w:val="010000"/>
          <w:sz w:val="24"/>
        </w:rPr>
        <w:t>(j)</w:t>
      </w:r>
      <w:r>
        <w:rPr>
          <w:rFonts w:ascii="Times New Roman;sans-serif" w:hAnsi="Times New Roman;sans-serif"/>
          <w:b w:val="false"/>
          <w:color w:val="000000"/>
          <w:sz w:val="24"/>
        </w:rPr>
        <w:t>The shares of Common Stock (including the Shares to be sold by the Selling Shareholders) outstanding prior to the issuance of the Shares have been duly authorized and are validly issued, fully paid and non-assessable.</w:t>
      </w:r>
    </w:p>
    <w:p>
      <w:pPr>
        <w:pStyle w:val="TextBody"/>
        <w:spacing w:lineRule="auto" w:line="240" w:before="0" w:after="240"/>
        <w:ind w:left="0" w:right="0" w:firstLine="720"/>
        <w:rPr/>
      </w:pPr>
      <w:r>
        <w:rPr>
          <w:rFonts w:ascii="Times New Roman;sans-serif" w:hAnsi="Times New Roman;sans-serif"/>
          <w:b w:val="false"/>
          <w:color w:val="010000"/>
          <w:sz w:val="24"/>
        </w:rPr>
        <w:t>(k)</w:t>
      </w:r>
      <w:r>
        <w:rPr>
          <w:rFonts w:ascii="Times New Roman;sans-serif" w:hAnsi="Times New Roman;sans-serif"/>
          <w:b w:val="false"/>
          <w:color w:val="000000"/>
          <w:sz w:val="24"/>
        </w:rPr>
        <w:t>The Shares have been duly authorized and, when issued, delivered and paid for in accordance with the terms of this Agreement, will be validly issued, fully paid and non-assessable, and the issuance of such Shares will not be subject to any preemptive or similar rights.</w:t>
      </w:r>
    </w:p>
    <w:p>
      <w:pPr>
        <w:pStyle w:val="TextBody"/>
        <w:spacing w:lineRule="auto" w:line="240" w:before="0" w:after="240"/>
        <w:ind w:left="0" w:right="0" w:firstLine="720"/>
        <w:rPr/>
      </w:pPr>
      <w:r>
        <w:rPr>
          <w:rFonts w:ascii="Times New Roman;sans-serif" w:hAnsi="Times New Roman;sans-serif"/>
          <w:b w:val="false"/>
          <w:color w:val="010000"/>
          <w:sz w:val="24"/>
        </w:rPr>
        <w:t>(l)</w:t>
      </w:r>
      <w:r>
        <w:rPr>
          <w:rFonts w:ascii="Times New Roman;sans-serif" w:hAnsi="Times New Roman;sans-serif"/>
          <w:b w:val="false"/>
          <w:color w:val="000000"/>
          <w:sz w:val="24"/>
        </w:rPr>
        <w:t>None of the Company nor any of its subsidiaries is (i) in violation of its charter, by-laws or similar organizational document, (ii) in default in the performance or observance of any obligation, agreement, covenant or condition contained in any contract, indenture, mortgage, deed of trust, loan or credit agreement, note, lease or other agreement or instrument to which any of the Company or its subsidiaries is a party or by which it or any of them may be bound or to which any of the properties or assets of the Company or its subsidiaries is subject, or (iii) in violation of any law, statute, rule, regulation, judgment, order, writ or decree of any arbitrator, court, governmental body, regulatory body, administrative agency or other authority, body or agency having jurisdiction over the Company, any of its subsidiaries or any of their respective properties, assets or operations (each, a “</w:t>
      </w:r>
      <w:r>
        <w:rPr>
          <w:rFonts w:ascii="Times New Roman;sans-serif" w:hAnsi="Times New Roman;sans-serif"/>
          <w:b/>
          <w:color w:val="000000"/>
          <w:sz w:val="24"/>
        </w:rPr>
        <w:t>Governmental Entity</w:t>
      </w:r>
      <w:r>
        <w:rPr>
          <w:color w:val="000000"/>
        </w:rPr>
        <w:t>”</w:t>
      </w:r>
      <w:r>
        <w:rPr>
          <w:rFonts w:ascii="Times New Roman;sans-serif" w:hAnsi="Times New Roman;sans-serif"/>
          <w:b w:val="false"/>
          <w:color w:val="000000"/>
          <w:sz w:val="24"/>
        </w:rPr>
        <w:t>), except with respect to clauses (ii) and (iii) for such violations and defaults that would not, individually or in the aggregate, reasonably be expected to result in a Material Adverse Effect.</w:t>
      </w:r>
    </w:p>
    <w:p>
      <w:pPr>
        <w:pStyle w:val="TextBody"/>
        <w:spacing w:lineRule="auto" w:line="240" w:before="0" w:after="240"/>
        <w:ind w:left="0" w:right="0" w:firstLine="720"/>
        <w:rPr/>
      </w:pPr>
      <w:r>
        <w:rPr>
          <w:rFonts w:ascii="Times New Roman;sans-serif" w:hAnsi="Times New Roman;sans-serif"/>
          <w:b w:val="false"/>
          <w:color w:val="010000"/>
          <w:sz w:val="24"/>
        </w:rPr>
        <w:t>(m)</w:t>
      </w:r>
      <w:r>
        <w:rPr>
          <w:rFonts w:ascii="Times New Roman;sans-serif" w:hAnsi="Times New Roman;sans-serif"/>
          <w:b w:val="false"/>
          <w:color w:val="000000"/>
          <w:sz w:val="24"/>
        </w:rPr>
        <w:t xml:space="preserve">The execution and delivery by the Company of, and the performance by the Company of its obligations under, this Agreement has been duly authorized by all necessary </w:t>
      </w:r>
      <w:r>
        <w:br w:type="page"/>
      </w:r>
    </w:p>
    <w:p>
      <w:pPr>
        <w:pStyle w:val="TextBody"/>
        <w:spacing w:before="0" w:after="0"/>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11835"/>
                <wp:effectExtent l="0" t="0" r="0" b="0"/>
                <wp:wrapNone/>
                <wp:docPr id="8" name="Frame8"/>
                <a:graphic xmlns:a="http://schemas.openxmlformats.org/drawingml/2006/main">
                  <a:graphicData uri="http://schemas.microsoft.com/office/word/2010/wordprocessingShape">
                    <wps:wsp>
                      <wps:cNvSpPr txBox="1"/>
                      <wps:spPr>
                        <a:xfrm>
                          <a:off x="0" y="0"/>
                          <a:ext cx="6480175" cy="711835"/>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4</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4</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4"/>
        </w:rPr>
        <w:t>corporate action and does not and will not contravene (i) any provision of applicable law, (ii) the certificate of incorporation or by-laws of the Company, (iii) any agreement or other instrument binding upon the Company or any of its subsidiaries that is material to the Company and its subsidiaries, taken as a whole, or (iv) any judgment, order or decree of any Governmental Entity, except that in the case of clauses (i), (iii) and (iv) as would not, individually or in the aggregate, have a Material Adverse Effect on the Company; and no consent, approval, authorization or order of, or qualification with, or filing with, any Governmental Entity is required for the performance by the Company of its obligations under this Agreement, except such as may be required by the securities or Blue Sky laws of the various states or foreign jurisdictions or the rules and regulations of the Financial Industry Regulatory Authority (“</w:t>
      </w:r>
      <w:r>
        <w:rPr>
          <w:rFonts w:ascii="Times New Roman;sans-serif" w:hAnsi="Times New Roman;sans-serif"/>
          <w:b/>
          <w:color w:val="000000"/>
          <w:sz w:val="24"/>
        </w:rPr>
        <w:t>FINRA</w:t>
      </w:r>
      <w:r>
        <w:rPr>
          <w:color w:val="000000"/>
        </w:rPr>
        <w:t>”</w:t>
      </w:r>
      <w:r>
        <w:rPr>
          <w:rFonts w:ascii="Times New Roman;sans-serif" w:hAnsi="Times New Roman;sans-serif"/>
          <w:b w:val="false"/>
          <w:color w:val="000000"/>
          <w:sz w:val="24"/>
        </w:rPr>
        <w:t>) in connection with the offer and sale of the Shares.</w:t>
      </w:r>
    </w:p>
    <w:p>
      <w:pPr>
        <w:pStyle w:val="TextBody"/>
        <w:spacing w:lineRule="auto" w:line="240" w:before="0" w:after="240"/>
        <w:ind w:left="0" w:right="0" w:firstLine="720"/>
        <w:rPr/>
      </w:pPr>
      <w:r>
        <w:rPr>
          <w:rFonts w:ascii="Times New Roman;sans-serif" w:hAnsi="Times New Roman;sans-serif"/>
          <w:b w:val="false"/>
          <w:color w:val="010000"/>
          <w:sz w:val="24"/>
        </w:rPr>
        <w:t>(n)</w:t>
      </w:r>
      <w:r>
        <w:rPr>
          <w:rFonts w:ascii="Times New Roman;sans-serif" w:hAnsi="Times New Roman;sans-serif"/>
          <w:b w:val="false"/>
          <w:color w:val="000000"/>
          <w:sz w:val="24"/>
        </w:rPr>
        <w:t xml:space="preserve">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 </w:t>
      </w:r>
    </w:p>
    <w:p>
      <w:pPr>
        <w:pStyle w:val="TextBody"/>
        <w:spacing w:lineRule="auto" w:line="240" w:before="0" w:after="240"/>
        <w:ind w:left="0" w:right="0" w:firstLine="720"/>
        <w:rPr/>
      </w:pPr>
      <w:r>
        <w:rPr>
          <w:rFonts w:ascii="Times New Roman;sans-serif" w:hAnsi="Times New Roman;sans-serif"/>
          <w:b w:val="false"/>
          <w:color w:val="010000"/>
          <w:sz w:val="24"/>
        </w:rPr>
        <w:t>(o)</w:t>
      </w:r>
      <w:r>
        <w:rPr>
          <w:rFonts w:ascii="Times New Roman;sans-serif" w:hAnsi="Times New Roman;sans-serif"/>
          <w:b w:val="false"/>
          <w:color w:val="000000"/>
          <w:sz w:val="24"/>
        </w:rPr>
        <w:t xml:space="preserve">There are no legal or governmental proceedings pending or, to the Company’s knowledge, threatened to which the Company or any of its subsidiaries is a party or to which any of the properties of the Company or any of its subsidiaries is subject (i) other than proceedings accurately described in all material respects in the Time of Sale Prospectus and proceedings that would not have a Material Adverse Effect on the Company and its subsidiaries, taken as a whole or (ii) that are required to be described in the Registration Statement or the Prospectus and are not so described in all material respects; and there are no statutes, regulations, contracts or other documents to which the Company is subject or by which the Company is bound that are required to be described in the Registration Statement or the Prospectus or to be filed as exhibits to the Registration Statement that are not described in all material respects or filed as required. </w:t>
      </w:r>
    </w:p>
    <w:p>
      <w:pPr>
        <w:pStyle w:val="TextBody"/>
        <w:spacing w:lineRule="auto" w:line="240" w:before="0" w:after="240"/>
        <w:ind w:left="0" w:right="0" w:firstLine="720"/>
        <w:rPr/>
      </w:pPr>
      <w:r>
        <w:rPr>
          <w:rFonts w:ascii="Times New Roman;sans-serif" w:hAnsi="Times New Roman;sans-serif"/>
          <w:b w:val="false"/>
          <w:color w:val="010000"/>
          <w:sz w:val="24"/>
        </w:rPr>
        <w:t>(p)</w:t>
      </w:r>
      <w:r>
        <w:rPr>
          <w:rFonts w:ascii="Times New Roman;sans-serif" w:hAnsi="Times New Roman;sans-serif"/>
          <w:b w:val="false"/>
          <w:color w:val="000000"/>
          <w:sz w:val="24"/>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pStyle w:val="TextBody"/>
        <w:spacing w:lineRule="auto" w:line="240" w:before="0" w:after="240"/>
        <w:ind w:left="0" w:right="0" w:firstLine="720"/>
        <w:rPr/>
      </w:pPr>
      <w:r>
        <w:rPr>
          <w:rFonts w:ascii="Times New Roman;sans-serif" w:hAnsi="Times New Roman;sans-serif"/>
          <w:b w:val="false"/>
          <w:color w:val="010000"/>
          <w:sz w:val="24"/>
        </w:rPr>
        <w:t>(q)</w:t>
      </w:r>
      <w:r>
        <w:rPr>
          <w:rFonts w:ascii="Times New Roman;sans-serif" w:hAnsi="Times New Roman;sans-serif"/>
          <w:b w:val="false"/>
          <w:color w:val="000000"/>
          <w:sz w:val="24"/>
        </w:rPr>
        <w:t>The Company is not, and after giving effect to the offering and sale of the Shares and the application of the proceeds thereof as described in the Prospectus will not be, required to register as an “investment company” as such term is defined in the Investment Company Act of 1940, as amended.</w:t>
      </w:r>
    </w:p>
    <w:p>
      <w:pPr>
        <w:pStyle w:val="TextBody"/>
        <w:spacing w:lineRule="auto" w:line="240" w:before="0" w:after="240"/>
        <w:ind w:left="0" w:right="0" w:firstLine="720"/>
        <w:rPr/>
      </w:pPr>
      <w:r>
        <w:rPr>
          <w:rFonts w:ascii="Times New Roman;sans-serif" w:hAnsi="Times New Roman;sans-serif"/>
          <w:b w:val="false"/>
          <w:color w:val="010000"/>
          <w:sz w:val="24"/>
        </w:rPr>
        <w:t>(r)</w:t>
      </w:r>
      <w:r>
        <w:rPr>
          <w:rFonts w:ascii="Times New Roman;sans-serif" w:hAnsi="Times New Roman;sans-serif"/>
          <w:b w:val="false"/>
          <w:color w:val="000000"/>
          <w:sz w:val="24"/>
        </w:rPr>
        <w:t>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sans-serif" w:hAnsi="Times New Roman;sans-serif"/>
          <w:b/>
          <w:color w:val="000000"/>
          <w:sz w:val="24"/>
        </w:rPr>
        <w:t>Environmental Laws</w:t>
      </w:r>
      <w:r>
        <w:rPr>
          <w:color w:val="000000"/>
        </w:rPr>
        <w:t>”</w:t>
      </w:r>
      <w:r>
        <w:rPr>
          <w:rFonts w:ascii="Times New Roman;sans-serif" w:hAnsi="Times New Roman;sans-serif"/>
          <w:b w:val="false"/>
          <w:color w:val="000000"/>
          <w:sz w:val="24"/>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have a Material Adverse Effect on the Company and its subsidiaries, taken as a whole.</w:t>
      </w:r>
    </w:p>
    <w:p>
      <w:pPr>
        <w:pStyle w:val="TextBody"/>
        <w:spacing w:lineRule="auto" w:line="240" w:before="0" w:after="240"/>
        <w:ind w:left="0" w:right="0" w:firstLine="720"/>
        <w:rPr/>
      </w:pPr>
      <w:r>
        <w:rPr>
          <w:rFonts w:ascii="Times New Roman;sans-serif" w:hAnsi="Times New Roman;sans-serif"/>
          <w:b w:val="false"/>
          <w:color w:val="010000"/>
          <w:sz w:val="24"/>
        </w:rPr>
        <w:t>(s)</w:t>
      </w:r>
      <w:r>
        <w:rPr>
          <w:rFonts w:ascii="Times New Roman;sans-serif" w:hAnsi="Times New Roman;sans-serif"/>
          <w:b w:val="false"/>
          <w:color w:val="000000"/>
          <w:sz w:val="24"/>
        </w:rPr>
        <w:t xml:space="preserve">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t>
      </w:r>
      <w:r>
        <w:br w:type="page"/>
      </w:r>
    </w:p>
    <w:p>
      <w:pPr>
        <w:pStyle w:val="TextBody"/>
        <w:spacing w:before="0" w:after="0"/>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11835"/>
                <wp:effectExtent l="0" t="0" r="0" b="0"/>
                <wp:wrapNone/>
                <wp:docPr id="9" name="Frame9"/>
                <a:graphic xmlns:a="http://schemas.openxmlformats.org/drawingml/2006/main">
                  <a:graphicData uri="http://schemas.microsoft.com/office/word/2010/wordprocessingShape">
                    <wps:wsp>
                      <wps:cNvSpPr txBox="1"/>
                      <wps:spPr>
                        <a:xfrm>
                          <a:off x="0" y="0"/>
                          <a:ext cx="6480175" cy="711835"/>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5</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5</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would, individually or in the aggregate, have a Material Adverse Effect on the Company and its subsidiaries, taken as a whole.</w:t>
      </w:r>
    </w:p>
    <w:p>
      <w:pPr>
        <w:pStyle w:val="TextBody"/>
        <w:spacing w:lineRule="auto" w:line="240" w:before="0" w:after="240"/>
        <w:ind w:left="0" w:right="0" w:firstLine="720"/>
        <w:rPr/>
      </w:pPr>
      <w:r>
        <w:rPr>
          <w:rFonts w:ascii="Times New Roman;sans-serif" w:hAnsi="Times New Roman;sans-serif"/>
          <w:b w:val="false"/>
          <w:color w:val="010000"/>
          <w:sz w:val="24"/>
        </w:rPr>
        <w:t>(t)</w:t>
      </w:r>
      <w:r>
        <w:rPr>
          <w:rFonts w:ascii="Times New Roman;sans-serif" w:hAnsi="Times New Roman;sans-serif"/>
          <w:b w:val="false"/>
          <w:color w:val="000000"/>
          <w:sz w:val="24"/>
        </w:rPr>
        <w:t>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 except such as have been duly waived or complied with in connection with the issuance and sale of the Shares contemplated hereby.</w:t>
      </w:r>
    </w:p>
    <w:p>
      <w:pPr>
        <w:pStyle w:val="TextBody"/>
        <w:spacing w:lineRule="auto" w:line="240" w:before="0" w:after="240"/>
        <w:ind w:left="0" w:right="0" w:firstLine="720"/>
        <w:rPr/>
      </w:pPr>
      <w:r>
        <w:rPr>
          <w:rFonts w:ascii="Times New Roman;sans-serif" w:hAnsi="Times New Roman;sans-serif"/>
          <w:b w:val="false"/>
          <w:color w:val="010000"/>
          <w:sz w:val="24"/>
        </w:rPr>
        <w:t>(u)</w:t>
      </w:r>
      <w:r>
        <w:rPr>
          <w:rFonts w:ascii="Times New Roman;sans-serif" w:hAnsi="Times New Roman;sans-serif"/>
          <w:b w:val="false"/>
          <w:color w:val="000000"/>
          <w:sz w:val="24"/>
        </w:rPr>
        <w:t>(i) Neither the Company nor any of its subsidiaries, nor any director or officer, nor, to the Company’s knowledge, any controlled affiliate of the Company or any employee, agent or representative of the Company or of any of its subsidiaries or affiliates, has taken or will take any action in furtherance of an offer, payment, promise to pay, or authorization or approval of the payment or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improperly influence official action, or to any person in violation of any applicable anti-corruption laws; (ii); and the Company and its subsidiaries and 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pStyle w:val="TextBody"/>
        <w:spacing w:lineRule="auto" w:line="240" w:before="0" w:after="240"/>
        <w:ind w:left="0" w:right="0" w:firstLine="720"/>
        <w:rPr/>
      </w:pPr>
      <w:r>
        <w:rPr>
          <w:rFonts w:ascii="Times New Roman;sans-serif" w:hAnsi="Times New Roman;sans-serif"/>
          <w:b w:val="false"/>
          <w:color w:val="010000"/>
          <w:sz w:val="24"/>
        </w:rPr>
        <w:t>(v)</w:t>
      </w:r>
      <w:r>
        <w:rPr>
          <w:rFonts w:ascii="Times New Roman;sans-serif" w:hAnsi="Times New Roman;sans-serif"/>
          <w:b w:val="false"/>
          <w:color w:val="000000"/>
          <w:sz w:val="24"/>
        </w:rPr>
        <w:t>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Times New Roman;sans-serif" w:hAnsi="Times New Roman;sans-serif"/>
          <w:b/>
          <w:color w:val="000000"/>
          <w:sz w:val="24"/>
        </w:rPr>
        <w:t>Anti-Money Laundering Laws</w:t>
      </w:r>
      <w:r>
        <w:rPr>
          <w:color w:val="000000"/>
        </w:rPr>
        <w:t>”</w:t>
      </w:r>
      <w:r>
        <w:rPr>
          <w:rFonts w:ascii="Times New Roman;sans-serif" w:hAnsi="Times New Roman;sans-serif"/>
          <w:b w:val="false"/>
          <w:color w:val="000000"/>
          <w:sz w:val="24"/>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pStyle w:val="TextBody"/>
        <w:spacing w:lineRule="auto" w:line="240" w:before="0" w:after="240"/>
        <w:ind w:left="0" w:right="0" w:firstLine="720"/>
        <w:rPr/>
      </w:pPr>
      <w:r>
        <w:rPr>
          <w:rFonts w:ascii="Times New Roman;sans-serif" w:hAnsi="Times New Roman;sans-serif"/>
          <w:b w:val="false"/>
          <w:color w:val="010000"/>
          <w:sz w:val="24"/>
        </w:rPr>
        <w:t>(w)</w:t>
      </w:r>
      <w:r>
        <w:rPr>
          <w:rFonts w:ascii="Times New Roman;sans-serif" w:hAnsi="Times New Roman;sans-serif"/>
          <w:b w:val="false"/>
          <w:color w:val="000000"/>
          <w:sz w:val="24"/>
        </w:rPr>
        <w:t>(i) Neither the Company nor any of its subsidiaries, nor any director or officer thereof, nor, to the Company’s knowledge, any employee, agent, controlled affiliate or representative of the Company or any of its subsidiaries, is an individual or entity (“</w:t>
      </w:r>
      <w:r>
        <w:rPr>
          <w:rFonts w:ascii="Times New Roman;sans-serif" w:hAnsi="Times New Roman;sans-serif"/>
          <w:b/>
          <w:color w:val="000000"/>
          <w:sz w:val="24"/>
        </w:rPr>
        <w:t>Person</w:t>
      </w:r>
      <w:r>
        <w:rPr>
          <w:color w:val="000000"/>
        </w:rPr>
        <w:t>”</w:t>
      </w:r>
      <w:r>
        <w:rPr>
          <w:rFonts w:ascii="Times New Roman;sans-serif" w:hAnsi="Times New Roman;sans-serif"/>
          <w:b w:val="false"/>
          <w:color w:val="000000"/>
          <w:sz w:val="24"/>
        </w:rPr>
        <w:t>) that is, or is owned or controlled by a Person that is:</w:t>
      </w:r>
    </w:p>
    <w:p>
      <w:pPr>
        <w:pStyle w:val="TextBody"/>
        <w:spacing w:lineRule="auto" w:line="240" w:before="0" w:after="240"/>
        <w:ind w:left="0" w:right="0" w:firstLine="720"/>
        <w:rPr/>
      </w:pPr>
      <w:r>
        <w:rPr>
          <w:rFonts w:ascii="Times New Roman;sans-serif" w:hAnsi="Times New Roman;sans-serif"/>
          <w:b w:val="false"/>
          <w:color w:val="010000"/>
          <w:sz w:val="24"/>
        </w:rPr>
        <w:t>(A)</w:t>
      </w:r>
      <w:r>
        <w:rPr>
          <w:rFonts w:ascii="Times New Roman;sans-serif" w:hAnsi="Times New Roman;sans-serif"/>
          <w:b w:val="false"/>
          <w:color w:val="000000"/>
          <w:sz w:val="24"/>
        </w:rPr>
        <w:t>the subject of any sanctions administered or enforced by the U.S. Department of Treasury’s Office of Foreign Assets Control, the United Nations Security Council, the European Union (“</w:t>
      </w:r>
      <w:r>
        <w:rPr>
          <w:rFonts w:ascii="Times New Roman;sans-serif" w:hAnsi="Times New Roman;sans-serif"/>
          <w:b/>
          <w:color w:val="000000"/>
          <w:sz w:val="24"/>
        </w:rPr>
        <w:t>EU</w:t>
      </w:r>
      <w:r>
        <w:rPr>
          <w:color w:val="000000"/>
        </w:rPr>
        <w:t>”</w:t>
      </w:r>
      <w:r>
        <w:rPr>
          <w:rFonts w:ascii="Times New Roman;sans-serif" w:hAnsi="Times New Roman;sans-serif"/>
          <w:b w:val="false"/>
          <w:color w:val="000000"/>
          <w:sz w:val="24"/>
        </w:rPr>
        <w:t>), His Majesty’s Treasury, or other relevant sanctions authority (collectively, “</w:t>
      </w:r>
      <w:r>
        <w:rPr>
          <w:rFonts w:ascii="Times New Roman;sans-serif" w:hAnsi="Times New Roman;sans-serif"/>
          <w:b/>
          <w:color w:val="000000"/>
          <w:sz w:val="24"/>
        </w:rPr>
        <w:t>Sanctions</w:t>
      </w:r>
      <w:r>
        <w:rPr>
          <w:color w:val="000000"/>
        </w:rPr>
        <w:t>”</w:t>
      </w:r>
      <w:r>
        <w:rPr>
          <w:rFonts w:ascii="Times New Roman;sans-serif" w:hAnsi="Times New Roman;sans-serif"/>
          <w:b w:val="false"/>
          <w:color w:val="000000"/>
          <w:sz w:val="24"/>
        </w:rPr>
        <w:t>), nor</w:t>
      </w:r>
    </w:p>
    <w:p>
      <w:pPr>
        <w:pStyle w:val="TextBody"/>
        <w:spacing w:lineRule="auto" w:line="240" w:before="0" w:after="240"/>
        <w:ind w:left="0" w:right="0" w:firstLine="720"/>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located, organized or resident in a country or territory that is the subject of Sanctions (including, without limitation, the Crimea Region of Ukraine, </w:t>
      </w:r>
      <w:r>
        <w:br w:type="page"/>
      </w:r>
    </w:p>
    <w:p>
      <w:pPr>
        <w:pStyle w:val="TextBody"/>
        <w:spacing w:before="0" w:after="0"/>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11835"/>
                <wp:effectExtent l="0" t="0" r="0" b="0"/>
                <wp:wrapNone/>
                <wp:docPr id="10" name="Frame10"/>
                <a:graphic xmlns:a="http://schemas.openxmlformats.org/drawingml/2006/main">
                  <a:graphicData uri="http://schemas.microsoft.com/office/word/2010/wordprocessingShape">
                    <wps:wsp>
                      <wps:cNvSpPr txBox="1"/>
                      <wps:spPr>
                        <a:xfrm>
                          <a:off x="0" y="0"/>
                          <a:ext cx="6480175" cy="711835"/>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6</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6</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the so-called Donetsk People’s Republic, the so-called Luhansk People’s Republic, and the non-government controlled areas of Kherson and Zaporizhzhia regions of Ukraine, Cuba, Iran, Syria, and North Korea).</w:t>
      </w:r>
    </w:p>
    <w:p>
      <w:pPr>
        <w:pStyle w:val="TextBody"/>
        <w:spacing w:lineRule="auto" w:line="240" w:before="0" w:after="240"/>
        <w:ind w:left="0" w:right="0" w:firstLine="720"/>
        <w:rPr/>
      </w:pPr>
      <w:r>
        <w:rPr>
          <w:rFonts w:ascii="Times New Roman;sans-serif" w:hAnsi="Times New Roman;sans-serif"/>
          <w:b w:val="false"/>
          <w:color w:val="010000"/>
          <w:sz w:val="24"/>
        </w:rPr>
        <w:t>(i)</w:t>
      </w:r>
      <w:r>
        <w:rPr>
          <w:rFonts w:ascii="Times New Roman;sans-serif" w:hAnsi="Times New Roman;sans-serif"/>
          <w:b w:val="false"/>
          <w:color w:val="000000"/>
          <w:sz w:val="24"/>
        </w:rPr>
        <w:t>The Company will not, directly or indirectly, use the proceeds of the offering, or lend, contribute or otherwise make available such proceeds to any subsidiary, joint venture partner or other Person:</w:t>
      </w:r>
    </w:p>
    <w:p>
      <w:pPr>
        <w:pStyle w:val="TextBody"/>
        <w:spacing w:lineRule="auto" w:line="240" w:before="0" w:after="240"/>
        <w:ind w:left="0" w:right="0" w:firstLine="720"/>
        <w:rPr/>
      </w:pPr>
      <w:r>
        <w:rPr>
          <w:rFonts w:ascii="Times New Roman;sans-serif" w:hAnsi="Times New Roman;sans-serif"/>
          <w:b w:val="false"/>
          <w:color w:val="010000"/>
          <w:sz w:val="24"/>
        </w:rPr>
        <w:t>(A)</w:t>
      </w:r>
      <w:r>
        <w:rPr>
          <w:rFonts w:ascii="Times New Roman;sans-serif" w:hAnsi="Times New Roman;sans-serif"/>
          <w:b w:val="false"/>
          <w:color w:val="000000"/>
          <w:sz w:val="24"/>
        </w:rPr>
        <w:t xml:space="preserve">to fund or facilitate any activities or business of or with any Person or in any country or territory that, at the time of such funding or facilitation, is the subject of Sanctions; </w:t>
      </w:r>
    </w:p>
    <w:p>
      <w:pPr>
        <w:pStyle w:val="TextBody"/>
        <w:spacing w:lineRule="auto" w:line="240" w:before="0" w:after="240"/>
        <w:ind w:left="0" w:right="0" w:firstLine="720"/>
        <w:rPr/>
      </w:pPr>
      <w:r>
        <w:rPr>
          <w:rFonts w:ascii="Times New Roman;sans-serif" w:hAnsi="Times New Roman;sans-serif"/>
          <w:b w:val="false"/>
          <w:color w:val="010000"/>
          <w:sz w:val="24"/>
        </w:rPr>
        <w:t>(B)</w:t>
      </w:r>
      <w:r>
        <w:rPr>
          <w:rFonts w:ascii="Times New Roman;sans-serif" w:hAnsi="Times New Roman;sans-serif"/>
          <w:b w:val="false"/>
          <w:color w:val="000000"/>
          <w:sz w:val="24"/>
        </w:rPr>
        <w:t>in or involving a country or territory which at the time of such funding is the subject of comprehensive country-wide or territory-wide Sanctions, other than Cuba or Iran; or</w:t>
      </w:r>
    </w:p>
    <w:p>
      <w:pPr>
        <w:pStyle w:val="TextBody"/>
        <w:spacing w:lineRule="auto" w:line="240" w:before="0" w:after="240"/>
        <w:ind w:left="0" w:right="0" w:firstLine="720"/>
        <w:rPr/>
      </w:pPr>
      <w:r>
        <w:rPr>
          <w:rFonts w:ascii="Times New Roman;sans-serif" w:hAnsi="Times New Roman;sans-serif"/>
          <w:b w:val="false"/>
          <w:color w:val="010000"/>
          <w:sz w:val="24"/>
        </w:rPr>
        <w:t>(C)</w:t>
      </w:r>
      <w:r>
        <w:rPr>
          <w:rFonts w:ascii="Times New Roman;sans-serif" w:hAnsi="Times New Roman;sans-serif"/>
          <w:b w:val="false"/>
          <w:color w:val="000000"/>
          <w:sz w:val="24"/>
        </w:rPr>
        <w:t>in any other manner that will result in a violation of Sanctions by any Person (including any Person participating in the offering, whether as underwriter, advisor, investor or otherwise).</w:t>
      </w:r>
    </w:p>
    <w:p>
      <w:pPr>
        <w:pStyle w:val="TextBody"/>
        <w:spacing w:lineRule="auto" w:line="240" w:before="0" w:after="240"/>
        <w:ind w:left="0" w:right="0" w:firstLine="720"/>
        <w:rPr/>
      </w:pPr>
      <w:r>
        <w:rPr>
          <w:rFonts w:ascii="Times New Roman;sans-serif" w:hAnsi="Times New Roman;sans-serif"/>
          <w:b w:val="false"/>
          <w:color w:val="010000"/>
          <w:sz w:val="24"/>
        </w:rPr>
        <w:t>(ii)</w:t>
      </w:r>
      <w:r>
        <w:rPr>
          <w:rFonts w:ascii="Times New Roman;sans-serif" w:hAnsi="Times New Roman;sans-serif"/>
          <w:b w:val="false"/>
          <w:color w:val="000000"/>
          <w:sz w:val="24"/>
        </w:rPr>
        <w:t>For the past 5 years, the Company and its subsidiaries have not knowingly engaged in, are not now knowingly engaged in, and will not engage in, any dealings or transactions with any Person, or in any country or territory, that at the time of the dealing or transaction is or was the subject of Sanctions.</w:t>
      </w:r>
    </w:p>
    <w:p>
      <w:pPr>
        <w:pStyle w:val="TextBody"/>
        <w:spacing w:lineRule="auto" w:line="240" w:before="0" w:after="240"/>
        <w:ind w:left="0" w:right="0" w:firstLine="720"/>
        <w:rPr/>
      </w:pPr>
      <w:r>
        <w:rPr>
          <w:rFonts w:ascii="Times New Roman;sans-serif" w:hAnsi="Times New Roman;sans-serif"/>
          <w:b w:val="false"/>
          <w:color w:val="010000"/>
          <w:sz w:val="24"/>
        </w:rPr>
        <w:t>(iii)</w:t>
      </w:r>
      <w:r>
        <w:rPr>
          <w:rFonts w:ascii="Times New Roman;sans-serif" w:hAnsi="Times New Roman;sans-serif"/>
          <w:b w:val="false"/>
          <w:color w:val="000000"/>
          <w:sz w:val="24"/>
        </w:rPr>
        <w:t>The Company represents and covenants that, regardless of Sanctions, it will not, directly or indirectly, use the proceeds of the transaction, or lend, contribute or otherwise make available such proceeds to any subsidiary, joint venture partner or other Person, to fund any activities of or business in or involving Cuba or Iran.</w:t>
      </w:r>
    </w:p>
    <w:p>
      <w:pPr>
        <w:pStyle w:val="TextBody"/>
        <w:spacing w:lineRule="auto" w:line="240" w:before="0" w:after="240"/>
        <w:ind w:left="0" w:right="0" w:firstLine="720"/>
        <w:rPr/>
      </w:pPr>
      <w:r>
        <w:rPr>
          <w:rFonts w:ascii="Times New Roman;sans-serif" w:hAnsi="Times New Roman;sans-serif"/>
          <w:b w:val="false"/>
          <w:color w:val="010000"/>
          <w:sz w:val="24"/>
        </w:rPr>
        <w:t>(x)</w:t>
      </w:r>
      <w:r>
        <w:rPr>
          <w:rFonts w:ascii="Times New Roman;sans-serif" w:hAnsi="Times New Roman;sans-serif"/>
          <w:b w:val="false"/>
          <w:color w:val="000000"/>
          <w:sz w:val="24"/>
        </w:rPr>
        <w:t>Subsequent to the respective dates as of which information is given in each of the Registration Statement, the Time of Sale Prospectus and the Prospectus, (i) the Company and its subsidiaries have not incurred any material liability or obligation, direct or contingent, nor entered into any material transaction; (ii) the Company has not purchased any of its outstanding capital stock (except for acquisitions of capital stock by the Company pursuant to agreements that permit the Company to repurchase such shares upon the applicable party’s termination of service to the Company or in connection with the exercise of the Company’s right of first refusal upon a proposed transfer), nor declared, paid or otherwise made any dividend or distribution of any kind on its capital stock other than ordinary and customary dividends; and (iii) there has not been any material change in the capital stock, (other than the exercise of equity awards or grants of equity awards or forfeiture of equity awards outstanding as of such respective dates as of which information is given in each of the Registration Statement, the Time of Sale Prospectus and the Prospectus, in each case granted pursuant to equity compensation plans described in the Time of Sale Prospectus), short-term debt or long-term debt of the Company and its subsidiaries taken as a whole, except in each case as described in each of the Registration Statement, the Time of Sale Prospectus and the Prospectus, respectively.</w:t>
      </w:r>
    </w:p>
    <w:p>
      <w:pPr>
        <w:pStyle w:val="TextBody"/>
        <w:spacing w:lineRule="auto" w:line="240" w:before="0" w:after="240"/>
        <w:ind w:left="0" w:right="0" w:firstLine="720"/>
        <w:rPr/>
      </w:pPr>
      <w:r>
        <w:rPr>
          <w:rFonts w:ascii="Times New Roman;sans-serif" w:hAnsi="Times New Roman;sans-serif"/>
          <w:b w:val="false"/>
          <w:color w:val="010000"/>
          <w:sz w:val="24"/>
        </w:rPr>
        <w:t>(y)</w:t>
      </w:r>
      <w:r>
        <w:rPr>
          <w:rFonts w:ascii="Times New Roman;sans-serif" w:hAnsi="Times New Roman;sans-serif"/>
          <w:b w:val="false"/>
          <w:color w:val="000000"/>
          <w:sz w:val="24"/>
        </w:rPr>
        <w:t xml:space="preserve">The Company and its subsidiaries do not own any real property. The Company and its subsidiaries have good and marketable title to all personal property owned by them which is material to the business of the Company and its subsidiaries, taken as a whole, in each case free and clear of all liens, encumbrances and defects except such as are described in the Time of Sale Prospectus or such as do not materially affect the value of such property and do not interfere with the use made and proposed to be made of such property by the Company and its subsidiaries </w:t>
      </w:r>
      <w:r>
        <w:br w:type="page"/>
      </w:r>
    </w:p>
    <w:p>
      <w:pPr>
        <w:pStyle w:val="TextBody"/>
        <w:spacing w:before="0" w:after="0"/>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11835"/>
                <wp:effectExtent l="0" t="0" r="0" b="0"/>
                <wp:wrapNone/>
                <wp:docPr id="11" name="Frame11"/>
                <a:graphic xmlns:a="http://schemas.openxmlformats.org/drawingml/2006/main">
                  <a:graphicData uri="http://schemas.microsoft.com/office/word/2010/wordprocessingShape">
                    <wps:wsp>
                      <wps:cNvSpPr txBox="1"/>
                      <wps:spPr>
                        <a:xfrm>
                          <a:off x="0" y="0"/>
                          <a:ext cx="6480175" cy="711835"/>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7</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7</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in any material respect; and any real property and buildings held under lease by the Company and its subsidiaries are held by them under valid, subsisting and, to the Company’s knowledge, enforceable leases with such exceptions as are not material and do not materially interfere with the use made and proposed to be made of such property and buildings by the Company and its subsidiaries, in each case except as described in the Time of Sale Prospectus.</w:t>
      </w:r>
    </w:p>
    <w:p>
      <w:pPr>
        <w:pStyle w:val="TextBody"/>
        <w:spacing w:lineRule="auto" w:line="240" w:before="0" w:after="240"/>
        <w:ind w:left="0" w:right="0" w:firstLine="720"/>
        <w:rPr/>
      </w:pPr>
      <w:r>
        <w:rPr>
          <w:rFonts w:ascii="Times New Roman;sans-serif" w:hAnsi="Times New Roman;sans-serif"/>
          <w:b w:val="false"/>
          <w:color w:val="010000"/>
          <w:sz w:val="24"/>
        </w:rPr>
        <w:t>(z)</w:t>
      </w:r>
      <w:r>
        <w:rPr>
          <w:rFonts w:ascii="Times New Roman;sans-serif" w:hAnsi="Times New Roman;sans-serif"/>
          <w:b w:val="false"/>
          <w:color w:val="000000"/>
          <w:sz w:val="24"/>
        </w:rPr>
        <w:t>Except as described in the Registration Statement, the Time of Sale Prospectus or the Prospectus, the Company and its subsidiaries owns, possesses or licenses, or can acquire on commercially reasonable terms, valid and enforceable rights to use all patents, patent rights, licenses, inventions, copyrights, know-how (including trade secrets and other unpatented and/or unpatentable proprietary or confidential information, systems or procedures), trademarks, service marks, trade names, domain names and other intellectual property (including all registrations and applications for registration of any of the foregoing, as applicable) (collectively, “</w:t>
      </w:r>
      <w:r>
        <w:rPr>
          <w:rFonts w:ascii="Times New Roman;sans-serif" w:hAnsi="Times New Roman;sans-serif"/>
          <w:b/>
          <w:color w:val="000000"/>
          <w:sz w:val="24"/>
        </w:rPr>
        <w:t>Intellectual Property</w:t>
      </w:r>
      <w:r>
        <w:rPr>
          <w:color w:val="000000"/>
        </w:rPr>
        <w:t>”</w:t>
      </w:r>
      <w:r>
        <w:rPr>
          <w:rFonts w:ascii="Times New Roman;sans-serif" w:hAnsi="Times New Roman;sans-serif"/>
          <w:b w:val="false"/>
          <w:color w:val="000000"/>
          <w:sz w:val="24"/>
        </w:rPr>
        <w:t>) currently employed by them in connection with, or necessary for, the business as currently operated by them, except where the failure to own, possess, license, have the right to use or the ability to acquire any of the foregoing would not result, individually or in the aggregate, in a Material Adverse Effect on the Company and its subsidiaries, taken as a whole. The Company has not received any notice of any claim, action, suit or proceeding (i) alleging infringement, misappropriation or other violation of, or conflict with, any Intellectual Property rights of others or (ii) challenging the validity, enforceability or scope of, or the rights of the Company and/or its subsidiaries in or to, any Intellectual Property owned by or licensed to the Company or its subsidiaries, in each case which action, suit, proceeding or claim, individually or in the aggregate, if the subject of an unfavorable decision, ruling or finding, would reasonably be expected to have a Material Adverse Effect on the Company and its subsidiaries taken as a whole, and the Company is unaware of any facts that provide a reasonable basis for any such claim, action, suit or proceeding described in the immediately preceding clause (i) or (ii), which would individually or in the aggregate, reasonably be expected to have a Material Adverse Effect on the Company and its subsidiaries, taken as a whole. Except as would not, individually or in the aggregate, reasonably be expected to have a Material Adverse Effect on the Company and its subsidiaries, taken as a whole, the Company has taken reasonable steps in accordance with customary industry practice to maintain the confidentiality of all Intellectual Property, the value of which to the Company and its subsidiaries is contingent upon maintaining the confidentiality thereof. Each agreement pursuant to which the Company or its subsidiaries obtains any license or other rights to any Intellectual Property is a valid and binding agreement of the Company or its subsidiaries, as applicable, and is in full force and effect, and none of the Company or its subsidiaries or, to the knowledge of the Company, any other party thereto is in default or breach under any terms of any such agreement and, to the knowledge of the Company, no event or circumstance has occurred that, with notice or lapse of time or both, would constitute any event of default thereunder.</w:t>
      </w:r>
    </w:p>
    <w:p>
      <w:pPr>
        <w:pStyle w:val="TextBody"/>
        <w:spacing w:lineRule="auto" w:line="240" w:before="0" w:after="240"/>
        <w:ind w:left="0" w:right="0" w:firstLine="720"/>
        <w:rPr/>
      </w:pPr>
      <w:r>
        <w:rPr>
          <w:rFonts w:ascii="Times New Roman;sans-serif" w:hAnsi="Times New Roman;sans-serif"/>
          <w:b w:val="false"/>
          <w:color w:val="010000"/>
          <w:sz w:val="24"/>
        </w:rPr>
        <w:t>(aa)</w:t>
      </w:r>
      <w:r>
        <w:rPr>
          <w:rFonts w:ascii="Times New Roman;sans-serif" w:hAnsi="Times New Roman;sans-serif"/>
          <w:b w:val="false"/>
          <w:color w:val="000000"/>
          <w:sz w:val="24"/>
        </w:rPr>
        <w:t>Any statistical and market-related data included or incorporated by reference in the Registration Statement, the Time of Sale Prospectus or the Prospectus are based on or derived from sources that the Company believes, after reasonable inquiry, to be reliable and accurate in all material respects and, to the extent required, the Company has obtained the written consent to the use of such data from such sources.</w:t>
      </w:r>
    </w:p>
    <w:p>
      <w:pPr>
        <w:pStyle w:val="TextBody"/>
        <w:spacing w:lineRule="auto" w:line="240" w:before="0" w:after="240"/>
        <w:ind w:left="0" w:right="0" w:firstLine="720"/>
        <w:rPr/>
      </w:pPr>
      <w:r>
        <w:rPr>
          <w:rFonts w:ascii="Times New Roman;sans-serif" w:hAnsi="Times New Roman;sans-serif"/>
          <w:b w:val="false"/>
          <w:color w:val="010000"/>
          <w:sz w:val="24"/>
        </w:rPr>
        <w:t>(ab)</w:t>
      </w:r>
      <w:r>
        <w:rPr>
          <w:rFonts w:ascii="Times New Roman;sans-serif" w:hAnsi="Times New Roman;sans-serif"/>
          <w:b w:val="false"/>
          <w:color w:val="000000"/>
          <w:sz w:val="24"/>
        </w:rPr>
        <w:t>Except as disclosed in the Registration Statement, the Time of Sale Prospectus and the Prospectus, there is no currently pending action, suit, proceeding, inquiry or investigation before or brought by any Governmental Entity (including, without limitation, any action, suit, proceeding, inquiry or investigation before or brought by the Food and Drug Administration (the “</w:t>
      </w:r>
      <w:r>
        <w:rPr>
          <w:rFonts w:ascii="Times New Roman;sans-serif" w:hAnsi="Times New Roman;sans-serif"/>
          <w:b/>
          <w:color w:val="000000"/>
          <w:sz w:val="24"/>
        </w:rPr>
        <w:t>FDA</w:t>
      </w:r>
      <w:r>
        <w:rPr>
          <w:color w:val="000000"/>
        </w:rPr>
        <w:t>”</w:t>
      </w:r>
      <w:r>
        <w:rPr>
          <w:rFonts w:ascii="Times New Roman;sans-serif" w:hAnsi="Times New Roman;sans-serif"/>
          <w:b w:val="false"/>
          <w:color w:val="000000"/>
          <w:sz w:val="24"/>
        </w:rPr>
        <w:t>), the European Commission, any competent authorities of the Member States of the European Economic Area (collectively, the “</w:t>
      </w:r>
      <w:r>
        <w:rPr>
          <w:rFonts w:ascii="Times New Roman;sans-serif" w:hAnsi="Times New Roman;sans-serif"/>
          <w:b/>
          <w:color w:val="000000"/>
          <w:sz w:val="24"/>
        </w:rPr>
        <w:t>EEA</w:t>
      </w:r>
      <w:r>
        <w:rPr>
          <w:color w:val="000000"/>
        </w:rPr>
        <w:t>”</w:t>
      </w:r>
      <w:r>
        <w:rPr>
          <w:rFonts w:ascii="Times New Roman;sans-serif" w:hAnsi="Times New Roman;sans-serif"/>
          <w:b w:val="false"/>
          <w:color w:val="000000"/>
          <w:sz w:val="24"/>
        </w:rPr>
        <w:t xml:space="preserve">) or any other Health Regulatory Agency (as defined below)), or any notified body now pending or, to the knowledge of the Company, </w:t>
      </w:r>
      <w:r>
        <w:br w:type="page"/>
      </w:r>
    </w:p>
    <w:p>
      <w:pPr>
        <w:pStyle w:val="TextBody"/>
        <w:spacing w:before="0" w:after="0"/>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11835"/>
                <wp:effectExtent l="0" t="0" r="0" b="0"/>
                <wp:wrapNone/>
                <wp:docPr id="12" name="Frame12"/>
                <a:graphic xmlns:a="http://schemas.openxmlformats.org/drawingml/2006/main">
                  <a:graphicData uri="http://schemas.microsoft.com/office/word/2010/wordprocessingShape">
                    <wps:wsp>
                      <wps:cNvSpPr txBox="1"/>
                      <wps:spPr>
                        <a:xfrm>
                          <a:off x="0" y="0"/>
                          <a:ext cx="6480175" cy="711835"/>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8</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8</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threatened, against or affecting the Company or any of its subsidiaries, which would reasonably be expected to result in a Material Adverse Effect on the Company and its subsidiaries, taken as a whole; and the aggregate of all pending legal or governmental proceedings to which the Company or any of its subsidiaries is a party or of which any of their respective properties or assets is the subject which are not described in the Registration Statement, the Time of Sale Prospectus and the Prospectus, including ordinary routine litigation incidental to the business, would not reasonably be expected to result in a Material Adverse Effect on the Company and its subsidiaries, taken as a whole.</w:t>
      </w:r>
    </w:p>
    <w:p>
      <w:pPr>
        <w:pStyle w:val="TextBody"/>
        <w:spacing w:lineRule="auto" w:line="240" w:before="0" w:after="240"/>
        <w:ind w:left="0" w:right="0" w:firstLine="720"/>
        <w:rPr/>
      </w:pPr>
      <w:r>
        <w:rPr>
          <w:rFonts w:ascii="Times New Roman;sans-serif" w:hAnsi="Times New Roman;sans-serif"/>
          <w:b w:val="false"/>
          <w:color w:val="010000"/>
          <w:sz w:val="24"/>
        </w:rPr>
        <w:t>(ac)</w:t>
      </w:r>
      <w:r>
        <w:rPr>
          <w:rFonts w:ascii="Times New Roman;sans-serif" w:hAnsi="Times New Roman;sans-serif"/>
          <w:b w:val="false"/>
          <w:color w:val="000000"/>
          <w:sz w:val="24"/>
        </w:rPr>
        <w:t>Each of the Company and its subsidiaries has submitted and possesses, or qualifies for applicable exemptions to, such valid and current registrations, listings, approvals, clearances, licenses, certificates, CE Certificates of Conformity, authorizations or permits and supplements or amendments thereto (collectively, “</w:t>
      </w:r>
      <w:r>
        <w:rPr>
          <w:rFonts w:ascii="Times New Roman;sans-serif" w:hAnsi="Times New Roman;sans-serif"/>
          <w:b/>
          <w:color w:val="000000"/>
          <w:sz w:val="24"/>
        </w:rPr>
        <w:t>Health Care Authorizations</w:t>
      </w:r>
      <w:r>
        <w:rPr>
          <w:color w:val="000000"/>
        </w:rPr>
        <w:t>”</w:t>
      </w:r>
      <w:r>
        <w:rPr>
          <w:rFonts w:ascii="Times New Roman;sans-serif" w:hAnsi="Times New Roman;sans-serif"/>
          <w:b w:val="false"/>
          <w:color w:val="000000"/>
          <w:sz w:val="24"/>
        </w:rPr>
        <w:t>) issued or required by the appropriate local, state, federal, national, supranational or foreign regulatory agencies, bodies, notified bodies, or self-regulating organizations (collectively, “</w:t>
      </w:r>
      <w:r>
        <w:rPr>
          <w:rFonts w:ascii="Times New Roman;sans-serif" w:hAnsi="Times New Roman;sans-serif"/>
          <w:b/>
          <w:color w:val="000000"/>
          <w:sz w:val="24"/>
        </w:rPr>
        <w:t>Health Regulatory Agencies</w:t>
      </w:r>
      <w:r>
        <w:rPr>
          <w:color w:val="000000"/>
        </w:rPr>
        <w:t>”</w:t>
      </w:r>
      <w:r>
        <w:rPr>
          <w:rFonts w:ascii="Times New Roman;sans-serif" w:hAnsi="Times New Roman;sans-serif"/>
          <w:b w:val="false"/>
          <w:color w:val="000000"/>
          <w:sz w:val="24"/>
        </w:rPr>
        <w:t xml:space="preserve">) necessary to conduct its business as described in the Registration Statement, the Time of Sale Prospectus and the Prospectus, including, without limitation, all such Health Care Authorizations required by the FDA, the Department of Health and Human Services, the European Commission, any competent authorities of the Member States of the EEA or any other Health Regulatory Agencies engaged in the regulation of medical devices, except where failure to obtain such Health Care Authorizations would not, individually or in the aggregate, be reasonably likely to have a Material Adverse Effect on the Company and its subsidiaries, taken as a whole. None of the Company nor its subsidiaries has received any notice of proceedings relating to the revocation or modification of, or non-compliance with, any such Health Care Authorization. </w:t>
      </w:r>
    </w:p>
    <w:p>
      <w:pPr>
        <w:pStyle w:val="TextBody"/>
        <w:spacing w:lineRule="auto" w:line="240" w:before="0" w:after="240"/>
        <w:ind w:left="0" w:right="0" w:firstLine="720"/>
        <w:rPr/>
      </w:pPr>
      <w:r>
        <w:rPr>
          <w:rFonts w:ascii="Times New Roman;sans-serif" w:hAnsi="Times New Roman;sans-serif"/>
          <w:b w:val="false"/>
          <w:color w:val="010000"/>
          <w:sz w:val="24"/>
        </w:rPr>
        <w:t>(ad)</w:t>
      </w:r>
      <w:r>
        <w:rPr>
          <w:rFonts w:ascii="Times New Roman;sans-serif" w:hAnsi="Times New Roman;sans-serif"/>
          <w:b w:val="false"/>
          <w:color w:val="000000"/>
          <w:sz w:val="24"/>
        </w:rPr>
        <w:t xml:space="preserve">(i) To the Company’s knowledge, each of the Company and its subsidiaries is, and has been, in compliance with all applicable Health Care Laws, and has not engaged in activities which are, as applicable, cause for false claims liability, civil penalties, or mandatory or permissive exclusion from Medicare, Medicaid or any other local, state, federal, national or similar foreign health care program, except where Company’s activities or failure to comply with all applicable Health Care Laws would not, individually or in the aggregate, be reasonably likely to have a Material Adverse Effect on the Company and its subsidiaries, taken as a whole; (ii) none of the Company or its subsidiaries has received any written notice of adverse filing, warning letter, untitled letter or other correspondence or notice from the FDA, the European Commission, any competent authorities of the Member States of the EEA or any other Health Regulatory Agency, or any other court or arbitrator, alleging or asserting material noncompliance with the Health Care Laws; (iii) the Company and its subsidiaries, and, to the Company’s knowledge, their respective directors, officers, employees or agents, are and have been in compliance with the applicable Health Care Laws, except where failure to comply with all applicable Health Care Laws would not, individually or in the aggregate, be reasonably likely to have a Material Adverse Effect on the Company and its subsidiaries, taken as a whole; (iv) except as disclosed in the Registration Statement, the Time of Sale Prospectus and the Prospectus, none of the Company or its subsidiaries has received written notice of any ongoing claim, action, suit, proceeding, hearing, enforcement, investigation, arbitration or other action from any Health Regulatory Agency, court, arbitrator or third party alleging that any product operation or activity is in violation of any Health Care Laws or has any knowledge that any such Health Regulatory Agency or third party is considering any such claim, litigation, arbitration, action, suit, investigation or proceeding; (v) none of the Company or its subsidiaries has received written notice that the FDA, any competent authorities of the Member States of the EEA or any other Health Regulatory Agency has taken, is taking or intends to take action to limit, suspend, modify or revoke any applicable Health Care Authorization or has any knowledge that any such Health Regulatory Agency is considering such action; (vi) each of the Company and its </w:t>
      </w:r>
      <w:r>
        <w:br w:type="page"/>
      </w:r>
    </w:p>
    <w:p>
      <w:pPr>
        <w:pStyle w:val="TextBody"/>
        <w:spacing w:before="0" w:after="0"/>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11835"/>
                <wp:effectExtent l="0" t="0" r="0" b="0"/>
                <wp:wrapNone/>
                <wp:docPr id="13" name="Frame13"/>
                <a:graphic xmlns:a="http://schemas.openxmlformats.org/drawingml/2006/main">
                  <a:graphicData uri="http://schemas.microsoft.com/office/word/2010/wordprocessingShape">
                    <wps:wsp>
                      <wps:cNvSpPr txBox="1"/>
                      <wps:spPr>
                        <a:xfrm>
                          <a:off x="0" y="0"/>
                          <a:ext cx="6480175" cy="711835"/>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9</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9</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4"/>
        </w:rPr>
        <w:t>subsidiaries has filed, obtained, maintained or submitted all reports, documents, forms, notices, applications, records, claims, submissions and supplements or amendments as required by the FDA, any competent authorities of the Member States of the EEA or any other Health Care Laws and that all such reports, documents, forms, notices, applications, records, claims, submissions and supplements or amendments were complete, correct and not misleading on the date filed (or were corrected or supplemented by a subsequent submission), except where failure to file, obtain, maintain or submit such reports, documents, forms, notices, applications, records, claims, submissions and supplements or amendments would not, individually or in the aggregate, be reasonably likely to have a Material Adverse Effect on the Company and its subsidiaries, taken as a whole; (vii) none of the Company or its subsidiaries has, either voluntarily or involuntarily, initiated, conducted or issued or caused to be initiated, conducted or issued, any recall, market withdrawal or replacement, safety alert, post-sale warning, “dear doctor” letter, or other notice or action relating to the alleged lack of safety or efficacy of any product or any alleged product defect or violation (“</w:t>
      </w:r>
      <w:r>
        <w:rPr>
          <w:rFonts w:ascii="Times New Roman;sans-serif" w:hAnsi="Times New Roman;sans-serif"/>
          <w:b/>
          <w:color w:val="000000"/>
          <w:sz w:val="24"/>
        </w:rPr>
        <w:t>Safety Notices</w:t>
      </w:r>
      <w:r>
        <w:rPr>
          <w:color w:val="000000"/>
        </w:rPr>
        <w:t>”</w:t>
      </w:r>
      <w:r>
        <w:rPr>
          <w:rFonts w:ascii="Times New Roman;sans-serif" w:hAnsi="Times New Roman;sans-serif"/>
          <w:b w:val="false"/>
          <w:color w:val="000000"/>
          <w:sz w:val="24"/>
        </w:rPr>
        <w:t>) and, to the Company’s knowledge, no third party has initiated or conducted any such notice or action; (viii) the Company is not aware of any Safety Notices with respect to any of the Company’s products or services, which would be reasonably likely to result in (A) a material change in labeling of any of the Company’s products, or (B) a termination or suspension of marketing or testing of any of the Company’s products; and (ix) none of the Company, any of its directors or officers, or to the Company’s knowledge, any of the Company’s employees or agents is or has been debarred, suspended or excluded from participation in any U.S. federal health care program or human research study or trial or equivalent foreign program, or has been convicted of any crime that would result in a debarment, suspension or exclusion from any foreign, federal or state government health care program or human research study or trial. For purposes of this Agreement, “</w:t>
      </w:r>
      <w:r>
        <w:rPr>
          <w:rFonts w:ascii="Times New Roman;sans-serif" w:hAnsi="Times New Roman;sans-serif"/>
          <w:b/>
          <w:color w:val="000000"/>
          <w:sz w:val="24"/>
        </w:rPr>
        <w:t>Health Care Laws</w:t>
      </w:r>
      <w:r>
        <w:rPr>
          <w:color w:val="000000"/>
        </w:rPr>
        <w:t xml:space="preserve">” </w:t>
      </w:r>
      <w:r>
        <w:rPr>
          <w:rFonts w:ascii="Times New Roman;sans-serif" w:hAnsi="Times New Roman;sans-serif"/>
          <w:b w:val="false"/>
          <w:color w:val="000000"/>
          <w:sz w:val="24"/>
        </w:rPr>
        <w:t>means all health care laws applicable to the Company and necessary for the Company to conduct the business now operated or as proposed to be conducted by it as described in the Registration Statement, the Time of Sale Prospectus and the Prospectus, including, but not limited to: the Federal Food, Drug, and Cosmetic Act, the Anti-Kickback Statute (42 U.S.C. Section 1320a-7b(b)), the Civil Monetary Penalties Law (42 U.S.C. § 1320a-7a), the Physician Payments Sunshine Act (42 U.S.C. § 1320a-7h), the Civil False Claims Act (31 U.S.C. Section 3729 et seq.), the criminal False Claims Law (42 U.S.C. § 1320a-7b(a)), all criminal laws relating to health care fraud and abuse, including but not limited to 18 U.S.C. Sections 286 and 287, and the health care fraud criminal provisions under the U.S. Health Insurance Portability and Accountability Act of 1996 (“</w:t>
      </w:r>
      <w:r>
        <w:rPr>
          <w:rFonts w:ascii="Times New Roman;sans-serif" w:hAnsi="Times New Roman;sans-serif"/>
          <w:b/>
          <w:color w:val="000000"/>
          <w:sz w:val="24"/>
        </w:rPr>
        <w:t>HIPAA</w:t>
      </w:r>
      <w:r>
        <w:rPr>
          <w:color w:val="000000"/>
        </w:rPr>
        <w:t>”</w:t>
      </w:r>
      <w:r>
        <w:rPr>
          <w:rFonts w:ascii="Times New Roman;sans-serif" w:hAnsi="Times New Roman;sans-serif"/>
          <w:b w:val="false"/>
          <w:color w:val="000000"/>
          <w:sz w:val="24"/>
        </w:rPr>
        <w:t>) (42 U.S.C. Section 1320d et seq.), as amended by the Health Information Technology for Economic and Clinical Health Act (42 U.S.C. Section 17921 et seq.), the exclusions law (42 U.S.C. § 1320a-7), the coverage and reimbursement provisions of Medicare (Title XVIII of the Social Security Act), Medicaid (Title XIX of the Social Security Act), any and all other applicable comparable local, state, federal, national, supranational and foreign health care laws and the regulations promulgated pursuant to such laws, each as amended from time to time.</w:t>
      </w:r>
    </w:p>
    <w:p>
      <w:pPr>
        <w:pStyle w:val="TextBody"/>
        <w:spacing w:lineRule="auto" w:line="240" w:before="0" w:after="240"/>
        <w:ind w:left="0" w:right="0" w:firstLine="720"/>
        <w:rPr/>
      </w:pPr>
      <w:r>
        <w:rPr>
          <w:rFonts w:ascii="Times New Roman;sans-serif" w:hAnsi="Times New Roman;sans-serif"/>
          <w:b w:val="false"/>
          <w:color w:val="010000"/>
          <w:sz w:val="24"/>
        </w:rPr>
        <w:t>(ae)</w:t>
      </w:r>
      <w:r>
        <w:rPr>
          <w:rFonts w:ascii="Times New Roman;sans-serif" w:hAnsi="Times New Roman;sans-serif"/>
          <w:b w:val="false"/>
          <w:color w:val="000000"/>
          <w:sz w:val="24"/>
        </w:rPr>
        <w:t xml:space="preserve">(i) The research studies and trials conducted by or on behalf of, or sponsored by, the Company, or in which the Company has participated, that are described in the Registration Statement, the Time of Sale Prospectus or the Prospectus, or the results of which are referred to in the Registration Statement, the Time of Sale Prospectus or the Prospectus, as applicable, were and, if still pending, are being, conducted in accordance with applicable law, standard medical and experimental protocols, procedures and controls pursuant to, where applicable, accepted professional and scientific standards for products or product candidates comparable to those being developed by the Company; (ii) the descriptions of the results of such studies and trials contained in the Registration Statement, the Time of Sale Prospectus or the Prospectus do not contain any misstatement of a material fact or omit to state a material fact necessary to make such statements not misleading; (iii) the Company has no knowledge of any research studies or trials not described in the Time of Sale Prospectus and the Prospectus the results of which </w:t>
      </w:r>
      <w:r>
        <w:br w:type="page"/>
      </w:r>
    </w:p>
    <w:p>
      <w:pPr>
        <w:pStyle w:val="TextBody"/>
        <w:spacing w:before="0" w:after="0"/>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11835"/>
                <wp:effectExtent l="0" t="0" r="0" b="0"/>
                <wp:wrapNone/>
                <wp:docPr id="14" name="Frame14"/>
                <a:graphic xmlns:a="http://schemas.openxmlformats.org/drawingml/2006/main">
                  <a:graphicData uri="http://schemas.microsoft.com/office/word/2010/wordprocessingShape">
                    <wps:wsp>
                      <wps:cNvSpPr txBox="1"/>
                      <wps:spPr>
                        <a:xfrm>
                          <a:off x="0" y="0"/>
                          <a:ext cx="6480175" cy="711835"/>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10</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10</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reasonably call into question in any material respect the results of the research studies and trials described in the Registration Statement, the Time of Sale Prospectus or Prospectus; (iv) the Company has not received any written notices or correspondence from the FDA, the European Commission, any competent authorities of the Member States of the EEA or any Health Regulatory Agency or any institutional review board or comparable authority requiring or threatening the premature termination, suspension, material modification or clinical hold of any research studies or trials conducted by or on behalf of, or sponsored by, the Company or in which the Company has participated that are described in the Registration Statement, the Time of Sale Prospectus or the Prospectus, and there are no reasonable grounds for the same; and (v) there has not been any violation of applicable law or regulation by the Company in its product development efforts, submissions or reports to the FDA, the European Commission, any competent authorities of the Member States of the EEA or any other Health Regulatory Agency that could reasonably be expected to require investigation, corrective action or result in enforcement action which would reasonably be likely to have a Material Adverse Effect on the Company and its subsidiaries, taken as a whole.</w:t>
      </w:r>
    </w:p>
    <w:p>
      <w:pPr>
        <w:pStyle w:val="TextBody"/>
        <w:spacing w:lineRule="auto" w:line="240" w:before="0" w:after="240"/>
        <w:ind w:left="0" w:right="0" w:firstLine="720"/>
        <w:rPr/>
      </w:pPr>
      <w:r>
        <w:rPr>
          <w:rFonts w:ascii="Times New Roman;sans-serif" w:hAnsi="Times New Roman;sans-serif"/>
          <w:b w:val="false"/>
          <w:color w:val="010000"/>
          <w:sz w:val="24"/>
        </w:rPr>
        <w:t>(af)</w:t>
      </w:r>
      <w:r>
        <w:rPr>
          <w:rFonts w:ascii="Times New Roman;sans-serif" w:hAnsi="Times New Roman;sans-serif"/>
          <w:b w:val="false"/>
          <w:color w:val="000000"/>
          <w:sz w:val="24"/>
        </w:rPr>
        <w:t>The manufacture of the Company’s products by or on behalf of the Company is being conducted in compliance with all applicable Health Care Laws, including, without limitation, the FDA’s current good manufacturing practice regulations at 21 CFR Part 820, and, to the extent applicable, the respective counterparts thereof promulgated by the EU, European Commission, any competent authorities of the Member States of the EEA or other Health Regulatory Agencies, except where the failure to so be in compliance would reasonably likely to have a Material Adverse Effect on the Company and its subsidiaries, taken as a whole. The Company has not had any manufacturing site (whether owned by the Company or that of a third party manufacturer for the Company’s products) subject to an FDA, European Commission, any competent authorities of the Member States of the EEA or other Health Regulatory Agency shutdown or import or export prohibition, nor received any FDA, European Commission, any competent authorities of the Member States of the EEA or other Health Regulatory Agency “warning letters,” or “untitled letters” requests to make material changes to the Company’s products, processes or operations, or similar correspondence or notice from the FDA, the European Commission, any competent authorities of the Member States of the EEA or other Health Regulatory Agency alleging or asserting material noncompliance with any applicable Health Care Laws, other than those that have been satisfactorily addressed and/or closed with the FDA, the European Commission, any competent authorities of the Member States of the EEA or other Health Regulatory Agency. To the knowledge of the Company, none of the FDA, the European Commission, any competent authorities of the Member States of the EEA or any other Health Regulatory Agency is considering such action.</w:t>
      </w:r>
    </w:p>
    <w:p>
      <w:pPr>
        <w:pStyle w:val="TextBody"/>
        <w:spacing w:lineRule="auto" w:line="240" w:before="0" w:after="240"/>
        <w:ind w:left="0" w:right="0" w:firstLine="720"/>
        <w:rPr/>
      </w:pPr>
      <w:r>
        <w:rPr>
          <w:rFonts w:ascii="Times New Roman;sans-serif" w:hAnsi="Times New Roman;sans-serif"/>
          <w:b w:val="false"/>
          <w:color w:val="010000"/>
          <w:sz w:val="24"/>
        </w:rPr>
        <w:t>(ag)</w:t>
      </w:r>
      <w:r>
        <w:rPr>
          <w:rFonts w:ascii="Times New Roman;sans-serif" w:hAnsi="Times New Roman;sans-serif"/>
          <w:b w:val="false"/>
          <w:color w:val="000000"/>
          <w:sz w:val="24"/>
        </w:rPr>
        <w:t>The Company has taken all necessary actions to ensure that it is in compliance with all provisions of the Sarbanes-Oxley Act of 2002 and all rules and regulations promulgated thereunder or implementing the provisions thereof (the “</w:t>
      </w:r>
      <w:r>
        <w:rPr>
          <w:rFonts w:ascii="Times New Roman;sans-serif" w:hAnsi="Times New Roman;sans-serif"/>
          <w:b/>
          <w:color w:val="000000"/>
          <w:sz w:val="24"/>
        </w:rPr>
        <w:t>Sarbanes-Oxley Act</w:t>
      </w:r>
      <w:r>
        <w:rPr>
          <w:color w:val="000000"/>
        </w:rPr>
        <w:t>”</w:t>
      </w:r>
      <w:r>
        <w:rPr>
          <w:rFonts w:ascii="Times New Roman;sans-serif" w:hAnsi="Times New Roman;sans-serif"/>
          <w:b w:val="false"/>
          <w:color w:val="000000"/>
          <w:sz w:val="24"/>
        </w:rPr>
        <w:t>) that are then in effect and with which the Company is required to comply, and is actively taking steps to ensure that it will be in compliance with other provisions of the Sarbanes-Oxley Act not currently in effect, upon the effectiveness of such provisions.</w:t>
      </w:r>
    </w:p>
    <w:p>
      <w:pPr>
        <w:pStyle w:val="TextBody"/>
        <w:spacing w:lineRule="auto" w:line="240" w:before="0" w:after="240"/>
        <w:ind w:left="0" w:right="0" w:firstLine="720"/>
        <w:rPr/>
      </w:pPr>
      <w:r>
        <w:rPr>
          <w:rFonts w:ascii="Times New Roman;sans-serif" w:hAnsi="Times New Roman;sans-serif"/>
          <w:b w:val="false"/>
          <w:color w:val="010000"/>
          <w:sz w:val="24"/>
        </w:rPr>
        <w:t>(ah)</w:t>
      </w:r>
      <w:r>
        <w:rPr>
          <w:rFonts w:ascii="Times New Roman;sans-serif" w:hAnsi="Times New Roman;sans-serif"/>
          <w:b w:val="false"/>
          <w:color w:val="000000"/>
          <w:sz w:val="24"/>
        </w:rPr>
        <w:t>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would be reasonably likely to have a Material Adverse Effect on the Company and its subsidiaries, taken as a whole.</w:t>
      </w:r>
    </w:p>
    <w:p>
      <w:pPr>
        <w:pStyle w:val="TextBody"/>
        <w:spacing w:lineRule="auto" w:line="240" w:before="0" w:after="240"/>
        <w:ind w:left="0" w:right="0" w:firstLine="720"/>
        <w:rPr/>
      </w:pPr>
      <w:r>
        <w:rPr>
          <w:rFonts w:ascii="Times New Roman;sans-serif" w:hAnsi="Times New Roman;sans-serif"/>
          <w:b w:val="false"/>
          <w:color w:val="010000"/>
          <w:sz w:val="24"/>
        </w:rPr>
        <w:t>(ai)</w:t>
      </w:r>
      <w:r>
        <w:rPr>
          <w:rFonts w:ascii="Times New Roman;sans-serif" w:hAnsi="Times New Roman;sans-serif"/>
          <w:b w:val="false"/>
          <w:color w:val="000000"/>
          <w:sz w:val="24"/>
        </w:rPr>
        <w:t xml:space="preserve">The Company and each of its subsidiaries are insured by insurers of recognized financial responsibility against such losses and risks and in such amounts as are, in the </w:t>
      </w:r>
      <w:r>
        <w:br w:type="page"/>
      </w:r>
    </w:p>
    <w:p>
      <w:pPr>
        <w:pStyle w:val="TextBody"/>
        <w:spacing w:before="0" w:after="0"/>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11835"/>
                <wp:effectExtent l="0" t="0" r="0" b="0"/>
                <wp:wrapNone/>
                <wp:docPr id="15" name="Frame15"/>
                <a:graphic xmlns:a="http://schemas.openxmlformats.org/drawingml/2006/main">
                  <a:graphicData uri="http://schemas.microsoft.com/office/word/2010/wordprocessingShape">
                    <wps:wsp>
                      <wps:cNvSpPr txBox="1"/>
                      <wps:spPr>
                        <a:xfrm>
                          <a:off x="0" y="0"/>
                          <a:ext cx="6480175" cy="711835"/>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11</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11</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Company’s reasonable judgment, 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on the Company and its subsidiaries, taken as a whole, except as described in the Time of Sale Prospectus.</w:t>
      </w:r>
    </w:p>
    <w:p>
      <w:pPr>
        <w:pStyle w:val="TextBody"/>
        <w:spacing w:lineRule="auto" w:line="240" w:before="0" w:after="240"/>
        <w:ind w:left="0" w:right="0" w:firstLine="720"/>
        <w:rPr/>
      </w:pPr>
      <w:r>
        <w:rPr>
          <w:rFonts w:ascii="Times New Roman;sans-serif" w:hAnsi="Times New Roman;sans-serif"/>
          <w:b w:val="false"/>
          <w:color w:val="010000"/>
          <w:sz w:val="24"/>
        </w:rPr>
        <w:t>(aj)</w:t>
      </w:r>
      <w:r>
        <w:rPr>
          <w:rFonts w:ascii="Times New Roman;sans-serif" w:hAnsi="Times New Roman;sans-serif"/>
          <w:b w:val="false"/>
          <w:color w:val="000000"/>
          <w:sz w:val="24"/>
        </w:rPr>
        <w:t>The Company and its subsidiaries possess all certificates, authorizations and permits issued by the appropriate federal, state or foreign regulatory authorities necessary to conduct their respective businesses, except where the failure to obtain such certificates, authorizations and permits would not, individually or in the aggregate, be reasonably likely to have a Material Adverse Effect on the Company and its subsidiaries, taken as a whole, and neither the Company nor any of its subsidiaries has received any notice of proceedings relating to the revocation or modification of any such certificate, authorization or permit which, individually or in the aggregate, if the subject of an unfavorable decision, ruling or finding, would have a Material Adverse Effect on the Company and its subsidiaries, taken as a whole, except as described in the Time of Sale Prospectus.</w:t>
      </w:r>
    </w:p>
    <w:p>
      <w:pPr>
        <w:pStyle w:val="TextBody"/>
        <w:spacing w:lineRule="auto" w:line="240" w:before="0" w:after="240"/>
        <w:ind w:left="0" w:right="0" w:firstLine="720"/>
        <w:rPr/>
      </w:pPr>
      <w:r>
        <w:rPr>
          <w:rFonts w:ascii="Times New Roman;sans-serif" w:hAnsi="Times New Roman;sans-serif"/>
          <w:b w:val="false"/>
          <w:color w:val="010000"/>
          <w:sz w:val="24"/>
        </w:rPr>
        <w:t>(ak)</w:t>
      </w:r>
      <w:r>
        <w:rPr>
          <w:rFonts w:ascii="Times New Roman;sans-serif" w:hAnsi="Times New Roman;sans-serif"/>
          <w:b w:val="false"/>
          <w:color w:val="000000"/>
          <w:sz w:val="24"/>
        </w:rPr>
        <w:t>The Company and its subsidiaries, taken as a whole,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accurate.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pStyle w:val="TextBody"/>
        <w:spacing w:lineRule="auto" w:line="240" w:before="0" w:after="240"/>
        <w:ind w:left="0" w:right="0" w:firstLine="720"/>
        <w:rPr/>
      </w:pPr>
      <w:r>
        <w:rPr>
          <w:rFonts w:ascii="Times New Roman;sans-serif" w:hAnsi="Times New Roman;sans-serif"/>
          <w:b w:val="false"/>
          <w:color w:val="010000"/>
          <w:sz w:val="24"/>
        </w:rPr>
        <w:t>(al)</w:t>
      </w:r>
      <w:r>
        <w:rPr>
          <w:rFonts w:ascii="Times New Roman;sans-serif" w:hAnsi="Times New Roman;sans-serif"/>
          <w:b w:val="false"/>
          <w:color w:val="000000"/>
          <w:sz w:val="24"/>
        </w:rPr>
        <w:t>Except as described in the Time of Sale Prospectus or the Registration Statement, the Company has not sold, issued or distributed any shares of Common Stock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pStyle w:val="TextBody"/>
        <w:spacing w:lineRule="auto" w:line="240" w:before="0" w:after="240"/>
        <w:ind w:left="0" w:right="0" w:firstLine="720"/>
        <w:rPr/>
      </w:pPr>
      <w:r>
        <w:rPr>
          <w:rFonts w:ascii="Times New Roman;sans-serif" w:hAnsi="Times New Roman;sans-serif"/>
          <w:b w:val="false"/>
          <w:color w:val="010000"/>
          <w:sz w:val="24"/>
        </w:rPr>
        <w:t>(am)</w:t>
      </w:r>
      <w:r>
        <w:rPr>
          <w:rFonts w:ascii="Times New Roman;sans-serif" w:hAnsi="Times New Roman;sans-serif"/>
          <w:b w:val="false"/>
          <w:color w:val="000000"/>
          <w:sz w:val="24"/>
        </w:rPr>
        <w:t>The Company and each of its subsidiaries have filed all federal, state, local and foreign tax returns required to be filed through the date of this Agreement or have requested extensions thereof and have paid all taxes required to be paid thereon or pursuant to any assessment (except for cases in which the failure to file or pay would not have a Material Adverse Effect on the Company and its subsidiaries, taken as a whole, or, except as currently being contested in good faith and for which adequate reserves required by U.S. GAAP have been established), and no unpaid tax deficiency has been determined adversely to the Company or any of its subsidiaries which has had (nor does the Company nor any of its subsidiaries have any notice or knowledge of any unpaid tax deficiency which could reasonably be expected to be determined adversely to the Company or its subsidiaries and which could reasonably be expected to have) a Material Adverse Effect on the Company and its subsidiaries, taken as a whole.</w:t>
      </w:r>
      <w:r>
        <w:br w:type="page"/>
      </w:r>
    </w:p>
    <w:p>
      <w:pPr>
        <w:pStyle w:val="TextBody"/>
        <w:spacing w:before="0" w:after="0"/>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11835"/>
                <wp:effectExtent l="0" t="0" r="0" b="0"/>
                <wp:wrapNone/>
                <wp:docPr id="16" name="Frame16"/>
                <a:graphic xmlns:a="http://schemas.openxmlformats.org/drawingml/2006/main">
                  <a:graphicData uri="http://schemas.microsoft.com/office/word/2010/wordprocessingShape">
                    <wps:wsp>
                      <wps:cNvSpPr txBox="1"/>
                      <wps:spPr>
                        <a:xfrm>
                          <a:off x="0" y="0"/>
                          <a:ext cx="6480175" cy="711835"/>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12</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12</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v:textbox>
              </v:rect>
            </w:pict>
          </mc:Fallback>
        </mc:AlternateContent>
      </w:r>
    </w:p>
    <w:p>
      <w:pPr>
        <w:pStyle w:val="TextBody"/>
        <w:spacing w:lineRule="auto" w:line="240" w:before="0" w:after="240"/>
        <w:ind w:left="0" w:right="0" w:firstLine="720"/>
        <w:rPr/>
      </w:pPr>
      <w:r>
        <w:rPr>
          <w:rFonts w:ascii="Times New Roman;sans-serif" w:hAnsi="Times New Roman;sans-serif"/>
          <w:b w:val="false"/>
          <w:color w:val="010000"/>
          <w:sz w:val="24"/>
        </w:rPr>
        <w:t>(an)</w:t>
      </w:r>
      <w:r>
        <w:rPr>
          <w:rFonts w:ascii="Times New Roman;sans-serif" w:hAnsi="Times New Roman;sans-serif"/>
          <w:b w:val="false"/>
          <w:color w:val="000000"/>
          <w:sz w:val="24"/>
        </w:rPr>
        <w:t xml:space="preserve">The Company (i) has not alone engaged in any Testing the Waters Communication other than Testing the Waters Communications with the consent of the Representatives with entities that are qualified institutional buyers within the meaning of Rule 144A under the Securities Act or institutions that are accredited investors within the meaning of Rule 501 under the Securities Act and (ii) has not authorized anyone other than the Representatives to engage in Testing the Waters Communications. The Company reconfirms that the Representatives have been authorized to act on its behalf in undertaking Testing the Waters Communications. The Company has not distributed any Written Testing the Waters Communications. “Written Testing the Waters Communication” means any Testing the Waters Communication that is a written communication within the meaning of Rule 405 under the Securities Act.. </w:t>
      </w:r>
    </w:p>
    <w:p>
      <w:pPr>
        <w:pStyle w:val="TextBody"/>
        <w:spacing w:lineRule="auto" w:line="240" w:before="0" w:after="240"/>
        <w:ind w:left="0" w:right="0" w:firstLine="720"/>
        <w:rPr/>
      </w:pPr>
      <w:r>
        <w:rPr>
          <w:rFonts w:ascii="Times New Roman;sans-serif" w:hAnsi="Times New Roman;sans-serif"/>
          <w:b w:val="false"/>
          <w:color w:val="010000"/>
          <w:sz w:val="24"/>
        </w:rPr>
        <w:t>(ao)</w:t>
      </w:r>
      <w:r>
        <w:rPr>
          <w:rFonts w:ascii="Times New Roman;sans-serif" w:hAnsi="Times New Roman;sans-serif"/>
          <w:b w:val="false"/>
          <w:color w:val="000000"/>
          <w:sz w:val="24"/>
        </w:rPr>
        <w:t>As of the time of each sale of the Shares in connection with the offering when the Prospectus is not yet available to prospective purchasers, none of (i) the Time of Sale Prospectus, (ii) any individual Written Testing the Waters Communication and (iii) any free writing prospectus, when considered together with the Time of Sale Prospectus,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    </w:t>
      </w:r>
    </w:p>
    <w:p>
      <w:pPr>
        <w:pStyle w:val="TextBody"/>
        <w:spacing w:lineRule="auto" w:line="240" w:before="0" w:after="240"/>
        <w:ind w:left="0" w:right="0" w:firstLine="720"/>
        <w:rPr/>
      </w:pPr>
      <w:r>
        <w:rPr>
          <w:rFonts w:ascii="Times New Roman;sans-serif" w:hAnsi="Times New Roman;sans-serif"/>
          <w:b w:val="false"/>
          <w:color w:val="010000"/>
          <w:sz w:val="24"/>
        </w:rPr>
        <w:t>(ap)</w:t>
      </w:r>
      <w:r>
        <w:rPr>
          <w:rFonts w:ascii="Times New Roman;sans-serif" w:hAnsi="Times New Roman;sans-serif"/>
          <w:b w:val="false"/>
          <w:color w:val="000000"/>
          <w:sz w:val="24"/>
        </w:rPr>
        <w:t>(i) Except as described in the Time of Sale Prospectus or the Registration Statement, there has been no security breach or incident, unauthorized access or disclosure, or other compromise of or relating to the Company’s or its subsidiaries’ information technology and computer systems, networks, hardware, software, data and databases (including the data and information of their respective customers, employees, suppliers, vendors and any third-party data maintained, processed or stored by the Company and its subsidiaries, and any such data processed or stored by third parties on behalf of the Company and its subsidiaries), equipment or technology (collectively, “</w:t>
      </w:r>
      <w:r>
        <w:rPr>
          <w:rFonts w:ascii="Times New Roman;sans-serif" w:hAnsi="Times New Roman;sans-serif"/>
          <w:b/>
          <w:color w:val="000000"/>
          <w:sz w:val="24"/>
        </w:rPr>
        <w:t>IT Systems and Data</w:t>
      </w:r>
      <w:r>
        <w:rPr>
          <w:color w:val="000000"/>
        </w:rPr>
        <w:t>”</w:t>
      </w:r>
      <w:r>
        <w:rPr>
          <w:rFonts w:ascii="Times New Roman;sans-serif" w:hAnsi="Times New Roman;sans-serif"/>
          <w:b w:val="false"/>
          <w:color w:val="000000"/>
          <w:sz w:val="24"/>
        </w:rPr>
        <w:t>), except for those that have been remedied without material cost or liability; (ii) neither the Company nor its subsidiaries have been notified of, and have no knowledge of any event or condition that would reasonably be expected to result in, any security breach or incident, unauthorized access or disclosure or other compromise to their IT Systems and Data; and (iii) the Company and its subsidiaries, as a whole, have implemented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 The Company and its subsidiaries are presently in material compliance with all applicable laws or statutes and all judgments, orders, rules and regulations of any Governmental Entity, internal policies and contractual obligations relating to the privacy and security of IT Systems and Data and to the protection of such IT Systems and Data from unauthorized use, access, misappropriation or modification.</w:t>
      </w:r>
    </w:p>
    <w:p>
      <w:pPr>
        <w:pStyle w:val="TextBody"/>
        <w:spacing w:lineRule="auto" w:line="240" w:before="0" w:after="240"/>
        <w:ind w:left="0" w:right="0" w:firstLine="720"/>
        <w:rPr/>
      </w:pPr>
      <w:r>
        <w:rPr>
          <w:rFonts w:ascii="Times New Roman;sans-serif" w:hAnsi="Times New Roman;sans-serif"/>
          <w:b w:val="false"/>
          <w:color w:val="010000"/>
          <w:sz w:val="24"/>
        </w:rPr>
        <w:t>(aq)</w:t>
      </w:r>
      <w:r>
        <w:rPr>
          <w:rFonts w:ascii="Times New Roman;sans-serif" w:hAnsi="Times New Roman;sans-serif"/>
          <w:b w:val="false"/>
          <w:color w:val="000000"/>
          <w:sz w:val="24"/>
        </w:rPr>
        <w:t>There are no debt securities or preferred stock issued, or guaranteed by, the Company or any of its subsidiaries that are rated by a “nationally recognized statistical rating organization,” as such term is defined in Section 3(a)(62) of the Exchange Act.</w:t>
      </w:r>
    </w:p>
    <w:p>
      <w:pPr>
        <w:pStyle w:val="TextBody"/>
        <w:spacing w:lineRule="auto" w:line="240" w:before="0" w:after="240"/>
        <w:ind w:left="0" w:right="0" w:firstLine="720"/>
        <w:rPr/>
      </w:pPr>
      <w:r>
        <w:rPr>
          <w:rFonts w:ascii="Times New Roman;sans-serif" w:hAnsi="Times New Roman;sans-serif"/>
          <w:b w:val="false"/>
          <w:color w:val="010000"/>
          <w:sz w:val="24"/>
        </w:rPr>
        <w:t>(ar)</w:t>
      </w:r>
      <w:r>
        <w:rPr>
          <w:rFonts w:ascii="Times New Roman;sans-serif" w:hAnsi="Times New Roman;sans-serif"/>
          <w:b w:val="false"/>
          <w:color w:val="000000"/>
          <w:sz w:val="24"/>
        </w:rPr>
        <w:t>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pStyle w:val="TextBody"/>
        <w:spacing w:lineRule="auto" w:line="240" w:before="0" w:after="240"/>
        <w:ind w:left="0" w:right="0" w:firstLine="720"/>
        <w:rPr/>
      </w:pPr>
      <w:r>
        <w:rPr>
          <w:rFonts w:ascii="Times New Roman;sans-serif" w:hAnsi="Times New Roman;sans-serif"/>
          <w:b w:val="false"/>
          <w:color w:val="010000"/>
          <w:sz w:val="24"/>
        </w:rPr>
        <w:t>(as)</w:t>
      </w:r>
      <w:r>
        <w:rPr>
          <w:rFonts w:ascii="Times New Roman;sans-serif" w:hAnsi="Times New Roman;sans-serif"/>
          <w:b w:val="false"/>
          <w:color w:val="000000"/>
          <w:sz w:val="24"/>
        </w:rPr>
        <w:t xml:space="preserve">The operations of neither the Company nor any of its subsidiaries involve the sale or import into the United States of any goods, wares, articles, or merchandise mined, produced, </w:t>
      </w:r>
      <w:r>
        <w:br w:type="page"/>
      </w:r>
    </w:p>
    <w:p>
      <w:pPr>
        <w:pStyle w:val="TextBody"/>
        <w:spacing w:before="0" w:after="0"/>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11835"/>
                <wp:effectExtent l="0" t="0" r="0" b="0"/>
                <wp:wrapNone/>
                <wp:docPr id="17" name="Frame17"/>
                <a:graphic xmlns:a="http://schemas.openxmlformats.org/drawingml/2006/main">
                  <a:graphicData uri="http://schemas.microsoft.com/office/word/2010/wordprocessingShape">
                    <wps:wsp>
                      <wps:cNvSpPr txBox="1"/>
                      <wps:spPr>
                        <a:xfrm>
                          <a:off x="0" y="0"/>
                          <a:ext cx="6480175" cy="711835"/>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13</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13</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or manufactured wholly or in part in the Xinjiang Uyghur Autonomous Region of the People's Republic of China, or produced by an entity on the Department of Homeland Security’s UFLPA Entity List. In the past five (5) years, none of the goods the Company or any of its subsidiaries have sold or imported into the United States have been seized by Customs and Border Patrol as being contrary to Section 307 of the Tariff Act of 1930 due to the use of forced labor in China in the production of such goods, and neither the Company nor its subsidiaries have been the subject of any fines, penalties, enforcement actions, litigation, or other liability in relation to the use of forced labor or alleged forced labor in the supply chain of the products it sells or imports into the United States.</w:t>
      </w:r>
    </w:p>
    <w:p>
      <w:pPr>
        <w:pStyle w:val="TextBody"/>
        <w:spacing w:lineRule="auto" w:line="240" w:before="0" w:after="240"/>
        <w:ind w:left="0" w:right="0" w:firstLine="720"/>
        <w:rPr/>
      </w:pPr>
      <w:r>
        <w:rPr>
          <w:rFonts w:ascii="Times New Roman;sans-serif" w:hAnsi="Times New Roman;sans-serif"/>
          <w:b w:val="false"/>
          <w:color w:val="010000"/>
          <w:sz w:val="24"/>
        </w:rPr>
        <w:t>2.</w:t>
      </w:r>
      <w:r>
        <w:rPr>
          <w:rFonts w:ascii="Times New Roman;sans-serif" w:hAnsi="Times New Roman;sans-serif"/>
          <w:b w:val="false"/>
          <w:i/>
          <w:color w:val="000000"/>
          <w:sz w:val="24"/>
        </w:rPr>
        <w:t xml:space="preserve">Representations and Warranties of the Selling Shareholder. </w:t>
      </w:r>
      <w:r>
        <w:rPr>
          <w:rFonts w:ascii="Times New Roman;sans-serif" w:hAnsi="Times New Roman;sans-serif"/>
          <w:b w:val="false"/>
          <w:color w:val="000000"/>
          <w:sz w:val="24"/>
        </w:rPr>
        <w:t>The Selling Shareholder represents and warrants to and agrees with each of the Underwriters that:</w:t>
      </w:r>
    </w:p>
    <w:p>
      <w:pPr>
        <w:pStyle w:val="TextBody"/>
        <w:spacing w:lineRule="auto" w:line="240" w:before="0" w:after="240"/>
        <w:ind w:left="0" w:right="0" w:firstLine="720"/>
        <w:rPr/>
      </w:pPr>
      <w:r>
        <w:rPr>
          <w:rFonts w:ascii="Times New Roman;sans-serif" w:hAnsi="Times New Roman;sans-serif"/>
          <w:b w:val="false"/>
          <w:color w:val="010000"/>
          <w:sz w:val="24"/>
        </w:rPr>
        <w:t>(a)</w:t>
      </w:r>
      <w:r>
        <w:rPr>
          <w:rFonts w:ascii="Times New Roman;sans-serif" w:hAnsi="Times New Roman;sans-serif"/>
          <w:b w:val="false"/>
          <w:color w:val="000000"/>
          <w:sz w:val="24"/>
        </w:rPr>
        <w:t>This Agreement has been duly authorized, executed and delivered by or on behalf of the Selling Shareholder.</w:t>
      </w:r>
    </w:p>
    <w:p>
      <w:pPr>
        <w:pStyle w:val="TextBody"/>
        <w:spacing w:lineRule="auto" w:line="240" w:before="0" w:after="240"/>
        <w:ind w:left="0" w:right="0" w:firstLine="720"/>
        <w:rPr/>
      </w:pPr>
      <w:r>
        <w:rPr>
          <w:rFonts w:ascii="Times New Roman;sans-serif" w:hAnsi="Times New Roman;sans-serif"/>
          <w:b w:val="false"/>
          <w:color w:val="010000"/>
          <w:sz w:val="24"/>
        </w:rPr>
        <w:t>(b)</w:t>
      </w:r>
      <w:r>
        <w:rPr>
          <w:rFonts w:ascii="Times New Roman;sans-serif" w:hAnsi="Times New Roman;sans-serif"/>
          <w:b w:val="false"/>
          <w:color w:val="000000"/>
          <w:sz w:val="24"/>
        </w:rPr>
        <w:t>The execution and delivery by the Selling Shareholder of, and the performance by the Selling Shareholder of its obligations under this Agreement will not contravene any provision of applicable law, or any agreement or other instrument binding upon the Selling Shareholder or any judgment, order or decree of any governmental body, agency or court having jurisdiction over the Selling Shareholder, and no consent, approval, authorization or order of, or qualification with, any governmental body or agency is required for the performance by the Selling Shareholder of its obligations under this Agreement, except such as may be required by the securities or Blue Sky laws of the various states in connection with the offer and sale of the Shares.</w:t>
      </w:r>
    </w:p>
    <w:p>
      <w:pPr>
        <w:pStyle w:val="TextBody"/>
        <w:spacing w:lineRule="auto" w:line="240" w:before="0" w:after="240"/>
        <w:ind w:left="0" w:right="0" w:firstLine="720"/>
        <w:rPr/>
      </w:pPr>
      <w:r>
        <w:rPr>
          <w:rFonts w:ascii="Times New Roman;sans-serif" w:hAnsi="Times New Roman;sans-serif"/>
          <w:b w:val="false"/>
          <w:color w:val="010000"/>
          <w:sz w:val="24"/>
        </w:rPr>
        <w:t>(c)</w:t>
      </w:r>
      <w:r>
        <w:rPr>
          <w:rFonts w:ascii="Times New Roman;sans-serif" w:hAnsi="Times New Roman;sans-serif"/>
          <w:b w:val="false"/>
          <w:color w:val="000000"/>
          <w:sz w:val="24"/>
        </w:rPr>
        <w:t>The Selling Shareholder will have, on the Closing Date, valid title to, or a valid “security entitlement” within the meaning of Section 8-501 of the New York Uniform Commercial Code in respect of, the Shares to be sold by the Selling Shareholder free and clear of all security interests, claims, liens, equities or other encumbrances and the legal right and power, and all authorization and approval required by law, to enter into this Agreement and to sell, transfer and deliver the Shares to be sold by the Selling Shareholder or a security entitlement in respect of such Shares.</w:t>
      </w:r>
    </w:p>
    <w:p>
      <w:pPr>
        <w:pStyle w:val="TextBody"/>
        <w:spacing w:lineRule="auto" w:line="240" w:before="0" w:after="240"/>
        <w:ind w:left="0" w:right="0" w:firstLine="720"/>
        <w:rPr/>
      </w:pPr>
      <w:r>
        <w:rPr>
          <w:rFonts w:ascii="Times New Roman;sans-serif" w:hAnsi="Times New Roman;sans-serif"/>
          <w:b w:val="false"/>
          <w:color w:val="010000"/>
          <w:sz w:val="24"/>
        </w:rPr>
        <w:t>(d)</w:t>
      </w:r>
      <w:r>
        <w:rPr>
          <w:rFonts w:ascii="Times New Roman;sans-serif" w:hAnsi="Times New Roman;sans-serif"/>
          <w:b w:val="false"/>
          <w:color w:val="000000"/>
          <w:sz w:val="24"/>
        </w:rPr>
        <w:t>Upon payment for the Shares to be sold by the Selling Shareholder pursuant to this Agreement, delivery of such Shares, as directed by the Underwriters, to Cede &amp; Co. (“</w:t>
      </w:r>
      <w:r>
        <w:rPr>
          <w:rFonts w:ascii="Times New Roman;sans-serif" w:hAnsi="Times New Roman;sans-serif"/>
          <w:b/>
          <w:color w:val="000000"/>
          <w:sz w:val="24"/>
        </w:rPr>
        <w:t>Cede</w:t>
      </w:r>
      <w:r>
        <w:rPr>
          <w:color w:val="000000"/>
        </w:rPr>
        <w:t>”</w:t>
      </w:r>
      <w:r>
        <w:rPr>
          <w:rFonts w:ascii="Times New Roman;sans-serif" w:hAnsi="Times New Roman;sans-serif"/>
          <w:b w:val="false"/>
          <w:color w:val="000000"/>
          <w:sz w:val="24"/>
        </w:rPr>
        <w:t>) or such other nominee as may be designated by the Depository Trust Company (“</w:t>
      </w:r>
      <w:r>
        <w:rPr>
          <w:rFonts w:ascii="Times New Roman;sans-serif" w:hAnsi="Times New Roman;sans-serif"/>
          <w:b/>
          <w:color w:val="000000"/>
          <w:sz w:val="24"/>
        </w:rPr>
        <w:t>DTC</w:t>
      </w:r>
      <w:r>
        <w:rPr>
          <w:color w:val="000000"/>
        </w:rPr>
        <w:t>”</w:t>
      </w:r>
      <w:r>
        <w:rPr>
          <w:rFonts w:ascii="Times New Roman;sans-serif" w:hAnsi="Times New Roman;sans-serif"/>
          <w:b w:val="false"/>
          <w:color w:val="000000"/>
          <w:sz w:val="24"/>
        </w:rPr>
        <w:t>), registration of such Shares in the name of Cede or such other nominee and the crediting of such Shares on the books of DTC to securities accounts of the Underwriters (assuming that neither DTC nor any such Underwriter has notice of any adverse claim (within the meaning of Section 8-105 of the New York Uniform Commercial Code (the “</w:t>
      </w:r>
      <w:r>
        <w:rPr>
          <w:rFonts w:ascii="Times New Roman;sans-serif" w:hAnsi="Times New Roman;sans-serif"/>
          <w:b/>
          <w:color w:val="000000"/>
          <w:sz w:val="24"/>
        </w:rPr>
        <w:t>UCC</w:t>
      </w:r>
      <w:r>
        <w:rPr>
          <w:color w:val="000000"/>
        </w:rPr>
        <w:t>”</w:t>
      </w:r>
      <w:r>
        <w:rPr>
          <w:rFonts w:ascii="Times New Roman;sans-serif" w:hAnsi="Times New Roman;sans-serif"/>
          <w:b w:val="false"/>
          <w:color w:val="000000"/>
          <w:sz w:val="24"/>
        </w:rPr>
        <w:t>)) to such Shares), (A) DTC shall be a “protected purchaser” of such Shares within the meaning of Section 8-303 of the UCC, (B) under Section 8-501 of the UCC, the Underwriters will acquire a valid security entitlement in respect of such Shares and (C) no action based on any “adverse claim”, within the meaning of Section 8-102 of the UCC, to such Shares may be asserted against the Underwriters with respect to such security entitlement; for purposes of this representation, the Selling Shareholder may assume that when such payment, delivery and crediting occur, (x) such Shares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entries to the accounts of the several Underwriters on the records of DTC will have been made pursuant to the UCC.</w:t>
      </w:r>
      <w:r>
        <w:br w:type="page"/>
      </w:r>
    </w:p>
    <w:p>
      <w:pPr>
        <w:pStyle w:val="TextBody"/>
        <w:spacing w:before="0" w:after="0"/>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11835"/>
                <wp:effectExtent l="0" t="0" r="0" b="0"/>
                <wp:wrapNone/>
                <wp:docPr id="18" name="Frame18"/>
                <a:graphic xmlns:a="http://schemas.openxmlformats.org/drawingml/2006/main">
                  <a:graphicData uri="http://schemas.microsoft.com/office/word/2010/wordprocessingShape">
                    <wps:wsp>
                      <wps:cNvSpPr txBox="1"/>
                      <wps:spPr>
                        <a:xfrm>
                          <a:off x="0" y="0"/>
                          <a:ext cx="6480175" cy="711835"/>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14</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14</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v:textbox>
              </v:rect>
            </w:pict>
          </mc:Fallback>
        </mc:AlternateContent>
      </w:r>
    </w:p>
    <w:p>
      <w:pPr>
        <w:pStyle w:val="TextBody"/>
        <w:spacing w:lineRule="auto" w:line="240" w:before="0" w:after="240"/>
        <w:ind w:left="0" w:right="0" w:firstLine="720"/>
        <w:rPr/>
      </w:pPr>
      <w:r>
        <w:rPr>
          <w:rFonts w:ascii="Times New Roman;sans-serif" w:hAnsi="Times New Roman;sans-serif"/>
          <w:b w:val="false"/>
          <w:color w:val="010000"/>
          <w:sz w:val="24"/>
        </w:rPr>
        <w:t>(e)</w:t>
      </w:r>
      <w:r>
        <w:rPr>
          <w:rFonts w:ascii="Times New Roman;sans-serif" w:hAnsi="Times New Roman;sans-serif"/>
          <w:b w:val="false"/>
          <w:color w:val="000000"/>
          <w:sz w:val="24"/>
        </w:rPr>
        <w:t>The Selling Shareholder has no reason to believe that the representations and warranties of the Company contained in Section 1 are not true and correct, is familiar with the Registration Statement, the Time of Sale Prospectus and the Prospectus and has no knowledge of any material fact, condition or information not disclosed in the Time of Sale Prospectus or the Prospectus that has had, or may have, a material adverse effect on the Company and its subsidiaries, taken as a whole. The Selling Shareholder is not prompted by any information concerning the Company or its subsidiaries which is not set forth in the Time of Sale Prospectus to sell its Shares pursuant to this Agreement.</w:t>
      </w:r>
    </w:p>
    <w:p>
      <w:pPr>
        <w:pStyle w:val="TextBody"/>
        <w:spacing w:lineRule="auto" w:line="240" w:before="0" w:after="240"/>
        <w:ind w:left="0" w:right="0" w:firstLine="720"/>
        <w:rPr/>
      </w:pPr>
      <w:r>
        <w:rPr>
          <w:rFonts w:ascii="Times New Roman;sans-serif" w:hAnsi="Times New Roman;sans-serif"/>
          <w:b w:val="false"/>
          <w:color w:val="010000"/>
          <w:sz w:val="24"/>
        </w:rPr>
        <w:t>(f)</w:t>
      </w:r>
      <w:r>
        <w:rPr>
          <w:rFonts w:ascii="Times New Roman;sans-serif" w:hAnsi="Times New Roman;sans-serif"/>
          <w:b w:val="false"/>
          <w:color w:val="000000"/>
          <w:sz w:val="24"/>
        </w:rPr>
        <w:t>(i) the Registration Statement, when it became effective, did not contain and, as amended or supplemented, if applicable, will not contain any untrue statement of a material fact or omit to state a material fact required to be stated therein or necessary to make the statements therein not misleading, (ii) the Registration Statement and the Prospectus comply and, as amended or supplemented, if applicable, will comply in all material respects with the Securities Act and the applicable rules and regulations of the Commission thereunder, (iii) the Time of Sale Prospectus does not, and at the time of each sale of the Shares in connection with the offering when the Prospectus is not yet available to prospective purchasers and at the Closing Date (as defined in Section 5),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w:t>
      </w:r>
      <w:r>
        <w:rPr>
          <w:color w:val="000000"/>
        </w:rPr>
        <w:t xml:space="preserv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the representations and warranties set forth in this paragraph 2(g) are limited to statements or omissions made in reliance upon information relating to the Selling Shareholder furnished to the Company in writing by the Selling Shareholder expressly for use in the Registration Statement, the Time of Sale Prospectus, the Prospectus or any amendments or supplements thereto.</w:t>
      </w:r>
    </w:p>
    <w:p>
      <w:pPr>
        <w:pStyle w:val="TextBody"/>
        <w:spacing w:lineRule="auto" w:line="240" w:before="0" w:after="240"/>
        <w:ind w:left="0" w:right="0" w:firstLine="720"/>
        <w:rPr/>
      </w:pPr>
      <w:r>
        <w:rPr>
          <w:rFonts w:ascii="Times New Roman;sans-serif" w:hAnsi="Times New Roman;sans-serif"/>
          <w:b w:val="false"/>
          <w:color w:val="010000"/>
          <w:sz w:val="24"/>
        </w:rPr>
        <w:t>(g)</w:t>
      </w:r>
      <w:r>
        <w:rPr>
          <w:rFonts w:ascii="Times New Roman;sans-serif" w:hAnsi="Times New Roman;sans-serif"/>
          <w:b w:val="false"/>
          <w:color w:val="000000"/>
          <w:sz w:val="24"/>
        </w:rPr>
        <w:t>(i) The Selling Shareholder is not:</w:t>
      </w:r>
    </w:p>
    <w:p>
      <w:pPr>
        <w:pStyle w:val="TextBody"/>
        <w:spacing w:lineRule="auto" w:line="240" w:before="0" w:after="240"/>
        <w:ind w:left="0" w:right="0" w:firstLine="720"/>
        <w:rPr/>
      </w:pPr>
      <w:r>
        <w:rPr>
          <w:rFonts w:ascii="Times New Roman;sans-serif" w:hAnsi="Times New Roman;sans-serif"/>
          <w:b w:val="false"/>
          <w:color w:val="010000"/>
          <w:sz w:val="24"/>
        </w:rPr>
        <w:t>(A)</w:t>
      </w:r>
      <w:r>
        <w:rPr>
          <w:rFonts w:ascii="Times New Roman;sans-serif" w:hAnsi="Times New Roman;sans-serif"/>
          <w:b w:val="false"/>
          <w:color w:val="000000"/>
          <w:sz w:val="24"/>
        </w:rPr>
        <w:t>the subject of any Sanctions, or</w:t>
      </w:r>
    </w:p>
    <w:p>
      <w:pPr>
        <w:pStyle w:val="TextBody"/>
        <w:spacing w:lineRule="auto" w:line="240" w:before="0" w:after="240"/>
        <w:ind w:left="0" w:right="0" w:firstLine="720"/>
        <w:rPr/>
      </w:pPr>
      <w:r>
        <w:rPr>
          <w:rFonts w:ascii="Times New Roman;sans-serif" w:hAnsi="Times New Roman;sans-serif"/>
          <w:b w:val="false"/>
          <w:color w:val="010000"/>
          <w:sz w:val="24"/>
        </w:rPr>
        <w:t>(B)</w:t>
      </w:r>
      <w:r>
        <w:rPr>
          <w:rFonts w:ascii="Times New Roman;sans-serif" w:hAnsi="Times New Roman;sans-serif"/>
          <w:b w:val="false"/>
          <w:color w:val="000000"/>
          <w:sz w:val="24"/>
        </w:rPr>
        <w:t>located, organized or resident in a country or territory that is the subject of Sanctions (including, without limitation, the Crimea Region of Ukraine, the so-called Donetsk People’s Republic, the so-called Luhansk People’s Republic, and the non-government controlled areas of Kherson and Zaporizhzhia regions of Ukraine, Cuba, Iran, Syria, and North Korea).</w:t>
      </w:r>
    </w:p>
    <w:p>
      <w:pPr>
        <w:pStyle w:val="TextBody"/>
        <w:spacing w:lineRule="auto" w:line="240" w:before="0" w:after="240"/>
        <w:ind w:left="0" w:right="0" w:firstLine="720"/>
        <w:rPr/>
      </w:pPr>
      <w:r>
        <w:rPr>
          <w:rFonts w:ascii="Times New Roman;sans-serif" w:hAnsi="Times New Roman;sans-serif"/>
          <w:b w:val="false"/>
          <w:color w:val="010000"/>
          <w:sz w:val="24"/>
        </w:rPr>
        <w:t>(i)</w:t>
      </w:r>
      <w:r>
        <w:rPr>
          <w:rFonts w:ascii="Times New Roman;sans-serif" w:hAnsi="Times New Roman;sans-serif"/>
          <w:b w:val="false"/>
          <w:color w:val="000000"/>
          <w:sz w:val="24"/>
        </w:rPr>
        <w:t>The Selling Shareholder will not, directly or indirectly, use the proceeds of the offering, or lend, contribute or otherwise make available such proceeds to any subsidiary, joint venture partner or other Person:</w:t>
      </w:r>
    </w:p>
    <w:p>
      <w:pPr>
        <w:pStyle w:val="TextBody"/>
        <w:spacing w:lineRule="auto" w:line="240" w:before="0" w:after="240"/>
        <w:ind w:left="0" w:right="0" w:firstLine="720"/>
        <w:rPr/>
      </w:pPr>
      <w:r>
        <w:rPr>
          <w:rFonts w:ascii="Times New Roman;sans-serif" w:hAnsi="Times New Roman;sans-serif"/>
          <w:b w:val="false"/>
          <w:color w:val="010000"/>
          <w:sz w:val="24"/>
        </w:rPr>
        <w:t>(A)</w:t>
      </w:r>
      <w:r>
        <w:rPr>
          <w:rFonts w:ascii="Times New Roman;sans-serif" w:hAnsi="Times New Roman;sans-serif"/>
          <w:b w:val="false"/>
          <w:color w:val="000000"/>
          <w:sz w:val="24"/>
        </w:rPr>
        <w:t>to fund or facilitate any activities or business of or with any Person or in any country or territory that, at the time of such funding or facilitation, is the subject of Sanctions; or</w:t>
      </w:r>
    </w:p>
    <w:p>
      <w:pPr>
        <w:pStyle w:val="TextBody"/>
        <w:spacing w:lineRule="auto" w:line="240" w:before="0" w:after="240"/>
        <w:ind w:left="0" w:right="0" w:firstLine="720"/>
        <w:rPr/>
      </w:pPr>
      <w:r>
        <w:rPr>
          <w:rFonts w:ascii="Times New Roman;sans-serif" w:hAnsi="Times New Roman;sans-serif"/>
          <w:b w:val="false"/>
          <w:color w:val="010000"/>
          <w:sz w:val="24"/>
        </w:rPr>
        <w:t>(B)</w:t>
      </w:r>
      <w:r>
        <w:rPr>
          <w:rFonts w:ascii="Times New Roman;sans-serif" w:hAnsi="Times New Roman;sans-serif"/>
          <w:b w:val="false"/>
          <w:color w:val="000000"/>
          <w:sz w:val="24"/>
        </w:rPr>
        <w:t>in any other manner that will result in a violation of Sanctions by any Person (including any Person participating in the offering, whether as underwriter, advisor, investor or otherwise).</w:t>
      </w:r>
      <w:r>
        <w:br w:type="page"/>
      </w:r>
    </w:p>
    <w:p>
      <w:pPr>
        <w:pStyle w:val="TextBody"/>
        <w:spacing w:before="0" w:after="0"/>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11835"/>
                <wp:effectExtent l="0" t="0" r="0" b="0"/>
                <wp:wrapNone/>
                <wp:docPr id="19" name="Frame19"/>
                <a:graphic xmlns:a="http://schemas.openxmlformats.org/drawingml/2006/main">
                  <a:graphicData uri="http://schemas.microsoft.com/office/word/2010/wordprocessingShape">
                    <wps:wsp>
                      <wps:cNvSpPr txBox="1"/>
                      <wps:spPr>
                        <a:xfrm>
                          <a:off x="0" y="0"/>
                          <a:ext cx="6480175" cy="711835"/>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15</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15</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v:textbox>
              </v:rect>
            </w:pict>
          </mc:Fallback>
        </mc:AlternateContent>
      </w:r>
    </w:p>
    <w:p>
      <w:pPr>
        <w:pStyle w:val="TextBody"/>
        <w:spacing w:lineRule="auto" w:line="240" w:before="0" w:after="240"/>
        <w:ind w:left="0" w:right="0" w:firstLine="720"/>
        <w:rPr/>
      </w:pPr>
      <w:r>
        <w:rPr>
          <w:rFonts w:ascii="Times New Roman;sans-serif" w:hAnsi="Times New Roman;sans-serif"/>
          <w:b w:val="false"/>
          <w:color w:val="010000"/>
          <w:sz w:val="24"/>
        </w:rPr>
        <w:t>(ii)</w:t>
      </w:r>
      <w:r>
        <w:rPr>
          <w:rFonts w:ascii="Times New Roman;sans-serif" w:hAnsi="Times New Roman;sans-serif"/>
          <w:b w:val="false"/>
          <w:color w:val="000000"/>
          <w:sz w:val="24"/>
        </w:rPr>
        <w:t>For the past 5 years, the Selling Shareholder has not knowingly engaged in, is not now knowingly engaged in, and will not engage in, any dealings or transactions with any Person, or in any country or territory, that at the time of the dealing or transaction is or was the subject of Sanctions.</w:t>
      </w:r>
    </w:p>
    <w:p>
      <w:pPr>
        <w:pStyle w:val="TextBody"/>
        <w:spacing w:lineRule="auto" w:line="240" w:before="0" w:after="240"/>
        <w:ind w:left="0" w:right="0" w:firstLine="720"/>
        <w:rPr/>
      </w:pPr>
      <w:r>
        <w:rPr>
          <w:rFonts w:ascii="Times New Roman;sans-serif" w:hAnsi="Times New Roman;sans-serif"/>
          <w:b w:val="false"/>
          <w:color w:val="010000"/>
          <w:sz w:val="24"/>
        </w:rPr>
        <w:t>(iii)</w:t>
      </w:r>
      <w:r>
        <w:rPr>
          <w:rFonts w:ascii="Times New Roman;sans-serif" w:hAnsi="Times New Roman;sans-serif"/>
          <w:b w:val="false"/>
          <w:color w:val="000000"/>
          <w:sz w:val="24"/>
        </w:rPr>
        <w:t>(a) The Selling Shareholder has not taken or will take any action in furtherance of an offer, payment, promise to pay, or authorization or approval of the payment giving or receipt of money, property, gifts or anything else of value, directly or indirectly, to any Government Official in order to influence official action, or to any person in violation of any applicable anti-corruption laws; and (b) the Selling Shareholder will not use, directly or indirectly, the proceeds of the offering in furtherance of an offer, payment, promise to pay, or authorization of the payment or giving of money, or anything else of value, to any person in violation of any applicable anti-corruption laws.</w:t>
      </w:r>
    </w:p>
    <w:p>
      <w:pPr>
        <w:pStyle w:val="TextBody"/>
        <w:spacing w:lineRule="auto" w:line="240" w:before="0" w:after="240"/>
        <w:ind w:left="0" w:right="0" w:firstLine="720"/>
        <w:rPr/>
      </w:pPr>
      <w:r>
        <w:rPr>
          <w:rFonts w:ascii="Times New Roman;sans-serif" w:hAnsi="Times New Roman;sans-serif"/>
          <w:b w:val="false"/>
          <w:color w:val="010000"/>
          <w:sz w:val="24"/>
        </w:rPr>
        <w:t>(iv)</w:t>
      </w:r>
      <w:r>
        <w:rPr>
          <w:rFonts w:ascii="Times New Roman;sans-serif" w:hAnsi="Times New Roman;sans-serif"/>
          <w:b w:val="false"/>
          <w:color w:val="000000"/>
          <w:sz w:val="24"/>
        </w:rPr>
        <w:t>the Selling Shareholder is in material compliance with all applicable Anti-Money Laundering Laws, and no action, suit or proceeding by or before any court or governmental agency, authority or body or any arbitrator involving the Selling Shareholder with respect to the Anti-Money Laundering Laws is pending or, to the best knowledge of the Selling Shareholder, threatened.</w:t>
      </w:r>
    </w:p>
    <w:p>
      <w:pPr>
        <w:pStyle w:val="TextBody"/>
        <w:spacing w:lineRule="auto" w:line="240" w:before="0" w:after="240"/>
        <w:ind w:left="0" w:right="0" w:firstLine="720"/>
        <w:rPr/>
      </w:pPr>
      <w:r>
        <w:rPr>
          <w:rFonts w:ascii="Times New Roman;sans-serif" w:hAnsi="Times New Roman;sans-serif"/>
          <w:b w:val="false"/>
          <w:color w:val="010000"/>
          <w:sz w:val="24"/>
        </w:rPr>
        <w:t>(h)</w:t>
      </w:r>
      <w:r>
        <w:rPr>
          <w:rFonts w:ascii="Times New Roman;sans-serif" w:hAnsi="Times New Roman;sans-serif"/>
          <w:b w:val="false"/>
          <w:color w:val="000000"/>
          <w:sz w:val="24"/>
        </w:rPr>
        <w:t xml:space="preserve">The Selling Shareholder represents and warrants that it is not (i) an employee benefit plan subject to Title I of the Employee Retirement Income Security Act of 1974, as amended (“ERISA”), (ii) a plan or account subject to Section 4975 of the Internal Revenue Code of 1986, as amended or (iii) an entity deemed to hold “plan assets” of any such plan or account under Section 3(42) of ERISA, 29 C.F.R. 2510.3-101, or otherwise. </w:t>
      </w:r>
    </w:p>
    <w:p>
      <w:pPr>
        <w:pStyle w:val="TextBody"/>
        <w:spacing w:lineRule="auto" w:line="240" w:before="0" w:after="240"/>
        <w:ind w:left="0" w:right="0" w:firstLine="720"/>
        <w:rPr/>
      </w:pPr>
      <w:r>
        <w:rPr>
          <w:rFonts w:ascii="Times New Roman;sans-serif" w:hAnsi="Times New Roman;sans-serif"/>
          <w:b w:val="false"/>
          <w:color w:val="010000"/>
          <w:sz w:val="24"/>
        </w:rPr>
        <w:t>3.</w:t>
      </w:r>
      <w:r>
        <w:rPr>
          <w:rFonts w:ascii="Times New Roman;sans-serif" w:hAnsi="Times New Roman;sans-serif"/>
          <w:b w:val="false"/>
          <w:i/>
          <w:color w:val="000000"/>
          <w:sz w:val="24"/>
        </w:rPr>
        <w:t>Agreements to Sell and Purchase</w:t>
      </w:r>
      <w:r>
        <w:rPr>
          <w:rFonts w:ascii="Times New Roman;sans-serif" w:hAnsi="Times New Roman;sans-serif"/>
          <w:b w:val="false"/>
          <w:color w:val="000000"/>
          <w:sz w:val="24"/>
        </w:rPr>
        <w:t>. The Company hereby agrees to issue and sell to the several Underwriters, and each Underwriter, upon the basis of the representations and warranties herein contained, but subject to the conditions hereinafter stated, agrees, severally and not jointly, to purchase from the Company at $20.68 per share (the “</w:t>
      </w:r>
      <w:r>
        <w:rPr>
          <w:rFonts w:ascii="Times New Roman;sans-serif" w:hAnsi="Times New Roman;sans-serif"/>
          <w:b/>
          <w:color w:val="000000"/>
          <w:sz w:val="24"/>
        </w:rPr>
        <w:t>Purchase Price</w:t>
      </w:r>
      <w:r>
        <w:rPr>
          <w:color w:val="000000"/>
        </w:rPr>
        <w:t>”</w:t>
      </w:r>
      <w:r>
        <w:rPr>
          <w:rFonts w:ascii="Times New Roman;sans-serif" w:hAnsi="Times New Roman;sans-serif"/>
          <w:b w:val="false"/>
          <w:color w:val="000000"/>
          <w:sz w:val="24"/>
        </w:rPr>
        <w:t>) the number of Firm Shares (subject to such adjustments to eliminate fractional shares as you may determine) that bears the same proportion to the number of Firm Shares to be sold by the Company as the number of Firm Shares set forth in Schedule II hereto opposite the name of such Underwriter bears to the total number of Firm Shares. The Selling Shareholder hereby agrees to sell to the several Underwriters, and each Underwriter, upon the basis of the representations and warranties herein contained, but subject to the conditions hereinafter stated, agrees, severally and not jointly, to purchase from the Selling Shareholder at the Purchase Price the number of Firm Shares (subject to such adjustments to eliminate fractional shares as you may determine) that bears the same proportion to the number of Firm Shares to be sold by the Selling Shareholder as the number of Firm Shares set forth in Schedule II hereto opposite the name of such Underwriter bears to the total number of Firm Shares.</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On the basis of the representations and warranties contained in this Agreement, and subject to its terms and conditions, the Company agrees to issue and sell to the Underwriters the Additional Shares, and the Underwriters shall have the right to purchase, severally and not jointly, up to 566,250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The Representatives may 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w:t>
      </w:r>
      <w:r>
        <w:br w:type="page"/>
      </w:r>
    </w:p>
    <w:p>
      <w:pPr>
        <w:pStyle w:val="TextBody"/>
        <w:spacing w:before="0" w:after="0"/>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11835"/>
                <wp:effectExtent l="0" t="0" r="0" b="0"/>
                <wp:wrapNone/>
                <wp:docPr id="20" name="Frame20"/>
                <a:graphic xmlns:a="http://schemas.openxmlformats.org/drawingml/2006/main">
                  <a:graphicData uri="http://schemas.microsoft.com/office/word/2010/wordprocessingShape">
                    <wps:wsp>
                      <wps:cNvSpPr txBox="1"/>
                      <wps:spPr>
                        <a:xfrm>
                          <a:off x="0" y="0"/>
                          <a:ext cx="6480175" cy="711835"/>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16</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16</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4"/>
        </w:rPr>
        <w:t>and may not be earlier than the closing date for the Firm Shares nor later than ten business days after the date of such notice. Additional Shares may be purchased as provided in Section 5 hereof. On each day, if any, that Additional Shares are to be purchased (an “</w:t>
      </w:r>
      <w:r>
        <w:rPr>
          <w:rFonts w:ascii="Times New Roman;sans-serif" w:hAnsi="Times New Roman;sans-serif"/>
          <w:b/>
          <w:color w:val="000000"/>
          <w:sz w:val="24"/>
        </w:rPr>
        <w:t>Option Closing Date</w:t>
      </w:r>
      <w:r>
        <w:rPr>
          <w:color w:val="000000"/>
        </w:rPr>
        <w:t>”</w:t>
      </w:r>
      <w:r>
        <w:rPr>
          <w:rFonts w:ascii="Times New Roman;sans-serif" w:hAnsi="Times New Roman;sans-serif"/>
          <w:b w:val="false"/>
          <w:color w:val="000000"/>
          <w:sz w:val="24"/>
        </w:rPr>
        <w:t>), each Underwriter agrees, severally and not jointly, to purchase the number of Additional Shares (subject to such adjustments to eliminate fractional shares as you may determine) that bears the same proportion to the total number of Additional Shares to be purchased on such Option Closing Date as the number of Firm Shares set forth in Schedule II hereto opposite the name of such Underwriter bears to the total number of Firm Shares.</w:t>
      </w:r>
    </w:p>
    <w:p>
      <w:pPr>
        <w:pStyle w:val="TextBody"/>
        <w:spacing w:lineRule="auto" w:line="240" w:before="0" w:after="240"/>
        <w:ind w:left="0" w:right="0" w:firstLine="720"/>
        <w:rPr/>
      </w:pPr>
      <w:r>
        <w:rPr>
          <w:rFonts w:ascii="Times New Roman;sans-serif" w:hAnsi="Times New Roman;sans-serif"/>
          <w:b w:val="false"/>
          <w:color w:val="010000"/>
          <w:sz w:val="24"/>
        </w:rPr>
        <w:t>4.</w:t>
      </w:r>
      <w:r>
        <w:rPr>
          <w:rFonts w:ascii="Times New Roman;sans-serif" w:hAnsi="Times New Roman;sans-serif"/>
          <w:b w:val="false"/>
          <w:i/>
          <w:color w:val="000000"/>
          <w:sz w:val="24"/>
        </w:rPr>
        <w:t>Terms of Public Offering</w:t>
      </w:r>
      <w:r>
        <w:rPr>
          <w:rFonts w:ascii="Times New Roman;sans-serif" w:hAnsi="Times New Roman;sans-serif"/>
          <w:b w:val="false"/>
          <w:color w:val="000000"/>
          <w:sz w:val="24"/>
        </w:rPr>
        <w:t>. The Sellers are advised by you that the Underwriters propose to make a public offering of their respective portions of the Shares as soon after this Agreement has become effective as in your judgment is advisable. The Sellers are further advised by you that the Shares are to be offered to the public initially at $22.00 per share (the “</w:t>
      </w:r>
      <w:r>
        <w:rPr>
          <w:rFonts w:ascii="Times New Roman;sans-serif" w:hAnsi="Times New Roman;sans-serif"/>
          <w:b/>
          <w:color w:val="000000"/>
          <w:sz w:val="24"/>
        </w:rPr>
        <w:t>Public Offering Price</w:t>
      </w:r>
      <w:r>
        <w:rPr>
          <w:color w:val="000000"/>
        </w:rPr>
        <w:t>”</w:t>
      </w:r>
      <w:r>
        <w:rPr>
          <w:rFonts w:ascii="Times New Roman;sans-serif" w:hAnsi="Times New Roman;sans-serif"/>
          <w:b w:val="false"/>
          <w:color w:val="000000"/>
          <w:sz w:val="24"/>
        </w:rPr>
        <w:t>) and to certain dealers selected by you at a price that represents a concession not in excess of $0.792 per share under the Public Offering Price.</w:t>
      </w:r>
    </w:p>
    <w:p>
      <w:pPr>
        <w:pStyle w:val="TextBody"/>
        <w:spacing w:lineRule="auto" w:line="240" w:before="0" w:after="240"/>
        <w:ind w:left="0" w:right="0" w:firstLine="720"/>
        <w:rPr/>
      </w:pPr>
      <w:r>
        <w:rPr>
          <w:rFonts w:ascii="Times New Roman;sans-serif" w:hAnsi="Times New Roman;sans-serif"/>
          <w:b w:val="false"/>
          <w:color w:val="010000"/>
          <w:sz w:val="24"/>
        </w:rPr>
        <w:t>5.</w:t>
      </w:r>
      <w:r>
        <w:rPr>
          <w:rFonts w:ascii="Times New Roman;sans-serif" w:hAnsi="Times New Roman;sans-serif"/>
          <w:b w:val="false"/>
          <w:i/>
          <w:color w:val="000000"/>
          <w:sz w:val="24"/>
        </w:rPr>
        <w:t>Payment and Delivery</w:t>
      </w:r>
      <w:r>
        <w:rPr>
          <w:rFonts w:ascii="Times New Roman;sans-serif" w:hAnsi="Times New Roman;sans-serif"/>
          <w:b w:val="false"/>
          <w:color w:val="000000"/>
          <w:sz w:val="24"/>
        </w:rPr>
        <w:t>. Payment for the Firm Shares to be sold by each Seller shall be made to such Seller in Federal or other funds immediately available in New York City against delivery of such Firm Shares for the respective accounts of the several Underwriters at 10:00 a.m., New York City time, on May 9, 2023, or at such other time as shall be designated in writing by you. The time and date of such payment are hereinafter referred to as the “</w:t>
      </w:r>
      <w:r>
        <w:rPr>
          <w:rFonts w:ascii="Times New Roman;sans-serif" w:hAnsi="Times New Roman;sans-serif"/>
          <w:b/>
          <w:color w:val="000000"/>
          <w:sz w:val="24"/>
        </w:rPr>
        <w:t>Closing Date</w:t>
      </w:r>
      <w:r>
        <w:rPr>
          <w:rFonts w:ascii="Times New Roman;sans-serif" w:hAnsi="Times New Roman;sans-serif"/>
          <w:b w:val="false"/>
          <w:color w:val="000000"/>
          <w:sz w:val="24"/>
        </w:rPr>
        <w:t>.”</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Payment for any Additional Shares to be sold by each Seller shall be made to such Seller in Federal or other funds immediately available in New York City against delivery of such Additional Shares for the respective accounts of the several Underwriters at 10:00 a.m., New York City time, on the date specified in the corresponding notice described in Section 3 or at such other time as shall be designated in writing by you.</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The Firm Shares and Additional Shares shall be registered in such names and in such denominations as you shall request in writing not later than one full business day prior to the Closing Date or the applicable Option Closing Date, as the case may be. The Firm Shares and Additional Shares shall be delivered to you on the Closing Date or an Option Closing Date, as the case may be, for the respective accounts of the several Underwriters. The Purchase Price payable by the Underwriters shall be reduced by (i) any transfer taxes paid by, or on behalf of, the Underwriters in connection with the transfer of the Shares to the Underwriters duly paid and (ii) any withholding required by law.</w:t>
      </w:r>
    </w:p>
    <w:p>
      <w:pPr>
        <w:pStyle w:val="TextBody"/>
        <w:spacing w:lineRule="auto" w:line="240" w:before="0" w:after="240"/>
        <w:ind w:left="0" w:right="0" w:firstLine="720"/>
        <w:rPr/>
      </w:pPr>
      <w:r>
        <w:rPr>
          <w:rFonts w:ascii="Times New Roman;sans-serif" w:hAnsi="Times New Roman;sans-serif"/>
          <w:b w:val="false"/>
          <w:color w:val="010000"/>
          <w:sz w:val="24"/>
        </w:rPr>
        <w:t>6.</w:t>
      </w:r>
      <w:r>
        <w:rPr>
          <w:rFonts w:ascii="Times New Roman;sans-serif" w:hAnsi="Times New Roman;sans-serif"/>
          <w:b w:val="false"/>
          <w:i/>
          <w:color w:val="000000"/>
          <w:sz w:val="24"/>
        </w:rPr>
        <w:t>Conditions to the Underwriters’ Obligations</w:t>
      </w:r>
      <w:r>
        <w:rPr>
          <w:rFonts w:ascii="Times New Roman;sans-serif" w:hAnsi="Times New Roman;sans-serif"/>
          <w:b w:val="false"/>
          <w:color w:val="000000"/>
          <w:sz w:val="24"/>
        </w:rPr>
        <w:t xml:space="preserve">. The obligations of the Sellers to sell the Shares to the Underwriters and the several obligations of the Underwriters to purchase and pay for the Shares on the Closing Date are subject to the following conditions: </w:t>
      </w:r>
    </w:p>
    <w:p>
      <w:pPr>
        <w:pStyle w:val="TextBody"/>
        <w:spacing w:lineRule="auto" w:line="240" w:before="0" w:after="240"/>
        <w:ind w:left="0" w:right="0" w:firstLine="720"/>
        <w:rPr/>
      </w:pPr>
      <w:r>
        <w:rPr>
          <w:rFonts w:ascii="Times New Roman;sans-serif" w:hAnsi="Times New Roman;sans-serif"/>
          <w:b w:val="false"/>
          <w:color w:val="010000"/>
          <w:sz w:val="24"/>
        </w:rPr>
        <w:t>(a)</w:t>
      </w:r>
      <w:r>
        <w:rPr>
          <w:rFonts w:ascii="Times New Roman;sans-serif" w:hAnsi="Times New Roman;sans-serif"/>
          <w:b w:val="false"/>
          <w:color w:val="000000"/>
          <w:sz w:val="24"/>
        </w:rPr>
        <w:t>Subsequent to the execution and delivery of this Agreement and prior to the Closing Date (i) no order suspending the effectiveness of the Registration Statement shall be in effect, and no proceeding for such purpose or pursuant to Section 8A under the Securities Act shall be pending before or threatened by the Commission and (ii) 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your judgment, is material and adverse and that makes it, in your judgment, impracticable to market the Shares on the terms and in the manner contemplated in the Time of Sale Prospectus.</w:t>
      </w:r>
    </w:p>
    <w:p>
      <w:pPr>
        <w:pStyle w:val="TextBody"/>
        <w:spacing w:lineRule="auto" w:line="240" w:before="0" w:after="240"/>
        <w:ind w:left="0" w:right="0" w:firstLine="720"/>
        <w:rPr/>
      </w:pPr>
      <w:r>
        <w:rPr>
          <w:rFonts w:ascii="Times New Roman;sans-serif" w:hAnsi="Times New Roman;sans-serif"/>
          <w:b w:val="false"/>
          <w:color w:val="010000"/>
          <w:sz w:val="24"/>
        </w:rPr>
        <w:t>(b)</w:t>
      </w:r>
      <w:r>
        <w:rPr>
          <w:rFonts w:ascii="Times New Roman;sans-serif" w:hAnsi="Times New Roman;sans-serif"/>
          <w:b w:val="false"/>
          <w:color w:val="000000"/>
          <w:sz w:val="24"/>
        </w:rPr>
        <w:t>The Underwriters shall have received on the Closing Date:</w:t>
      </w:r>
      <w:r>
        <w:br w:type="page"/>
      </w:r>
    </w:p>
    <w:p>
      <w:pPr>
        <w:pStyle w:val="TextBody"/>
        <w:spacing w:before="0" w:after="0"/>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711835"/>
                <wp:effectExtent l="0" t="0" r="0" b="0"/>
                <wp:wrapNone/>
                <wp:docPr id="21" name="Frame21"/>
                <a:graphic xmlns:a="http://schemas.openxmlformats.org/drawingml/2006/main">
                  <a:graphicData uri="http://schemas.microsoft.com/office/word/2010/wordprocessingShape">
                    <wps:wsp>
                      <wps:cNvSpPr txBox="1"/>
                      <wps:spPr>
                        <a:xfrm>
                          <a:off x="0" y="0"/>
                          <a:ext cx="6480175" cy="711835"/>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17</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17</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v:textbox>
              </v:rect>
            </w:pict>
          </mc:Fallback>
        </mc:AlternateContent>
      </w:r>
    </w:p>
    <w:p>
      <w:pPr>
        <w:pStyle w:val="TextBody"/>
        <w:spacing w:lineRule="auto" w:line="240" w:before="0" w:after="240"/>
        <w:ind w:left="0" w:right="0" w:firstLine="720"/>
        <w:rPr/>
      </w:pPr>
      <w:r>
        <w:rPr>
          <w:rFonts w:ascii="Times New Roman;sans-serif" w:hAnsi="Times New Roman;sans-serif"/>
          <w:b w:val="false"/>
          <w:color w:val="010000"/>
          <w:sz w:val="24"/>
        </w:rPr>
        <w:t>(i)</w:t>
      </w:r>
      <w:r>
        <w:rPr>
          <w:rFonts w:ascii="Times New Roman;sans-serif" w:hAnsi="Times New Roman;sans-serif"/>
          <w:b w:val="false"/>
          <w:color w:val="000000"/>
          <w:sz w:val="24"/>
        </w:rPr>
        <w:t>a certificate, dated the Closing Date and signed by an executive officer of the Company, to the effect set forth in Section 6(a)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 and</w:t>
      </w:r>
    </w:p>
    <w:p>
      <w:pPr>
        <w:pStyle w:val="TextBody"/>
        <w:spacing w:lineRule="auto" w:line="240" w:before="0" w:after="240"/>
        <w:ind w:left="0" w:right="0" w:firstLine="720"/>
        <w:rPr/>
      </w:pPr>
      <w:r>
        <w:rPr>
          <w:rFonts w:ascii="Times New Roman;sans-serif" w:hAnsi="Times New Roman;sans-serif"/>
          <w:b w:val="false"/>
          <w:color w:val="010000"/>
          <w:sz w:val="24"/>
        </w:rPr>
        <w:t>(ii)</w:t>
      </w:r>
      <w:r>
        <w:rPr>
          <w:rFonts w:ascii="Times New Roman;sans-serif" w:hAnsi="Times New Roman;sans-serif"/>
          <w:b w:val="false"/>
          <w:color w:val="000000"/>
          <w:sz w:val="24"/>
        </w:rPr>
        <w:t>a certificate, dated the Closing date and signed by the Selling Shareholder, to the effect that the representations and warranties of the Selling Shareholder contained in this Agreement are true and correct as of the Closing Date and that the Selling Shareholder has complied with all of the agreements and satisfied all of the conditions on the Selling Shareholder’s part to be performed or satisfied hereunder on or before the Closing Date.</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The officer signing and delivering such certificate on behalf of the Company may rely upon his or her knowledge as to proceedings threatened.</w:t>
      </w:r>
    </w:p>
    <w:p>
      <w:pPr>
        <w:pStyle w:val="TextBody"/>
        <w:spacing w:lineRule="auto" w:line="240" w:before="0" w:after="240"/>
        <w:ind w:left="0" w:right="0" w:firstLine="720"/>
        <w:rPr/>
      </w:pPr>
      <w:r>
        <w:rPr>
          <w:rFonts w:ascii="Times New Roman;sans-serif" w:hAnsi="Times New Roman;sans-serif"/>
          <w:b w:val="false"/>
          <w:color w:val="010000"/>
          <w:sz w:val="24"/>
        </w:rPr>
        <w:t>(c)</w:t>
      </w:r>
      <w:r>
        <w:rPr>
          <w:rFonts w:ascii="Times New Roman;sans-serif" w:hAnsi="Times New Roman;sans-serif"/>
          <w:b w:val="false"/>
          <w:color w:val="000000"/>
          <w:sz w:val="24"/>
        </w:rPr>
        <w:t>The Underwriters shall have received on the Closing Date an opinion and a negative assurance letter of Cooley LLP, outside counsel for the Company, dated the Closing Date, in form and substance reasonably satisfactory to the Representatives, together with signed or reproduced copies of such letter for each of the other Underwriters.</w:t>
      </w:r>
    </w:p>
    <w:p>
      <w:pPr>
        <w:pStyle w:val="TextBody"/>
        <w:spacing w:lineRule="auto" w:line="240" w:before="0" w:after="240"/>
        <w:ind w:left="0" w:right="0" w:firstLine="720"/>
        <w:rPr/>
      </w:pPr>
      <w:r>
        <w:rPr>
          <w:rFonts w:ascii="Times New Roman;sans-serif" w:hAnsi="Times New Roman;sans-serif"/>
          <w:b w:val="false"/>
          <w:color w:val="010000"/>
          <w:sz w:val="24"/>
        </w:rPr>
        <w:t>(d)</w:t>
      </w:r>
      <w:r>
        <w:rPr>
          <w:rFonts w:ascii="Times New Roman;sans-serif" w:hAnsi="Times New Roman;sans-serif"/>
          <w:b w:val="false"/>
          <w:color w:val="000000"/>
          <w:sz w:val="24"/>
        </w:rPr>
        <w:t>The Underwriters shall have received on the Closing Date an opinion of Cooley LLP, outside counsel for the Selling Shareholder, dated the Closing Date, in form and substance reasonably satisfactory to the Representatives, together with signed or reproduced copies of such letter for each of the other Underwriters.</w:t>
      </w:r>
    </w:p>
    <w:p>
      <w:pPr>
        <w:pStyle w:val="TextBody"/>
        <w:spacing w:lineRule="auto" w:line="240" w:before="0" w:after="240"/>
        <w:ind w:left="0" w:right="0" w:firstLine="720"/>
        <w:rPr/>
      </w:pPr>
      <w:r>
        <w:rPr>
          <w:rFonts w:ascii="Times New Roman;sans-serif" w:hAnsi="Times New Roman;sans-serif"/>
          <w:b w:val="false"/>
          <w:color w:val="010000"/>
          <w:sz w:val="24"/>
        </w:rPr>
        <w:t>(e)</w:t>
      </w:r>
      <w:r>
        <w:rPr>
          <w:rFonts w:ascii="Times New Roman;sans-serif" w:hAnsi="Times New Roman;sans-serif"/>
          <w:b w:val="false"/>
          <w:color w:val="000000"/>
          <w:sz w:val="24"/>
        </w:rPr>
        <w:t>The Underwriters shall have received on the Closing Date an opinion, dated the Closing Date of (x) Shay Glenn LLP, intellectual property counsel for the Company and (y) Cooley LLP, regulatory counsel for the Company, in each case, in form and substance reasonably satisfactory to the Representatives, together with signed or reproduced copies of such letter for each of the other Underwriters.</w:t>
      </w:r>
    </w:p>
    <w:p>
      <w:pPr>
        <w:pStyle w:val="TextBody"/>
        <w:spacing w:lineRule="auto" w:line="240" w:before="0" w:after="240"/>
        <w:ind w:left="0" w:right="0" w:firstLine="720"/>
        <w:rPr/>
      </w:pPr>
      <w:r>
        <w:rPr>
          <w:rFonts w:ascii="Times New Roman;sans-serif" w:hAnsi="Times New Roman;sans-serif"/>
          <w:b w:val="false"/>
          <w:color w:val="010000"/>
          <w:sz w:val="24"/>
        </w:rPr>
        <w:t>(f)</w:t>
      </w:r>
      <w:r>
        <w:rPr>
          <w:rFonts w:ascii="Times New Roman;sans-serif" w:hAnsi="Times New Roman;sans-serif"/>
          <w:b w:val="false"/>
          <w:color w:val="000000"/>
          <w:sz w:val="24"/>
        </w:rPr>
        <w:t>The Underwriters shall have received on the Closing Date an opinion and negative assurances letter of Latham &amp; Watkins LLP, counsel for the Underwriters, dated the Closing Date, in the form mutually agreed upon between the Underwriters and Latham &amp; Watkins LLP.</w:t>
      </w:r>
    </w:p>
    <w:p>
      <w:pPr>
        <w:pStyle w:val="TextBody"/>
        <w:spacing w:lineRule="auto" w:line="240" w:before="0" w:after="240"/>
        <w:ind w:left="0" w:right="0" w:firstLine="720"/>
        <w:rPr/>
      </w:pPr>
      <w:r>
        <w:rPr>
          <w:rFonts w:ascii="Times New Roman;sans-serif" w:hAnsi="Times New Roman;sans-serif"/>
          <w:b w:val="false"/>
          <w:color w:val="010000"/>
          <w:sz w:val="24"/>
        </w:rPr>
        <w:t>(g)</w:t>
      </w:r>
      <w:r>
        <w:rPr>
          <w:rFonts w:ascii="Times New Roman;sans-serif" w:hAnsi="Times New Roman;sans-serif"/>
          <w:b w:val="false"/>
          <w:color w:val="000000"/>
          <w:sz w:val="24"/>
        </w:rPr>
        <w:t xml:space="preserve">The Underwriters shall have received, on each of the date hereof and the Closing Date, a letter dated the date hereof or the Closing Date, as the case may be, in form and substance reasonably satisfactory to the Representatives, from PricewaterhouseCoopers LLP, independent registered public accounting firm,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the letter delivered on the Closing Date shall use a “cut-off date” not earlier than the date hereof.</w:t>
      </w:r>
    </w:p>
    <w:p>
      <w:pPr>
        <w:pStyle w:val="TextBody"/>
        <w:spacing w:lineRule="auto" w:line="240" w:before="0" w:after="240"/>
        <w:ind w:left="0" w:right="0" w:firstLine="720"/>
        <w:rPr/>
      </w:pPr>
      <w:r>
        <w:rPr>
          <w:rFonts w:ascii="Times New Roman;sans-serif" w:hAnsi="Times New Roman;sans-serif"/>
          <w:b w:val="false"/>
          <w:color w:val="010000"/>
          <w:sz w:val="24"/>
        </w:rPr>
        <w:t>(h)</w:t>
      </w:r>
      <w:r>
        <w:rPr>
          <w:rFonts w:ascii="Times New Roman;sans-serif" w:hAnsi="Times New Roman;sans-serif"/>
          <w:b w:val="false"/>
          <w:color w:val="000000"/>
          <w:sz w:val="24"/>
        </w:rPr>
        <w:t>The “lock-up” agreements, each substantially in the form of Exhibit A hereto, between you and certain stockholders, officers and directors of the Company relating to sales and certain other dispositions of shares of Common Stock or certain other securities, delivered to you on or before the date hereof, shall be in full force and effect on the Closing Date.</w:t>
      </w:r>
      <w:r>
        <w:br w:type="page"/>
      </w:r>
    </w:p>
    <w:p>
      <w:pPr>
        <w:pStyle w:val="TextBody"/>
        <w:spacing w:before="0" w:after="0"/>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11835"/>
                <wp:effectExtent l="0" t="0" r="0" b="0"/>
                <wp:wrapNone/>
                <wp:docPr id="22" name="Frame22"/>
                <a:graphic xmlns:a="http://schemas.openxmlformats.org/drawingml/2006/main">
                  <a:graphicData uri="http://schemas.microsoft.com/office/word/2010/wordprocessingShape">
                    <wps:wsp>
                      <wps:cNvSpPr txBox="1"/>
                      <wps:spPr>
                        <a:xfrm>
                          <a:off x="0" y="0"/>
                          <a:ext cx="6480175" cy="711835"/>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18</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18</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v:textbox>
              </v:rect>
            </w:pict>
          </mc:Fallback>
        </mc:AlternateContent>
      </w:r>
    </w:p>
    <w:p>
      <w:pPr>
        <w:pStyle w:val="TextBody"/>
        <w:spacing w:lineRule="auto" w:line="240" w:before="0" w:after="240"/>
        <w:ind w:left="0" w:right="0" w:firstLine="720"/>
        <w:rPr/>
      </w:pPr>
      <w:r>
        <w:rPr>
          <w:rFonts w:ascii="Times New Roman;sans-serif" w:hAnsi="Times New Roman;sans-serif"/>
          <w:b w:val="false"/>
          <w:color w:val="010000"/>
          <w:sz w:val="24"/>
        </w:rPr>
        <w:t>(i)</w:t>
      </w:r>
      <w:r>
        <w:rPr>
          <w:rFonts w:ascii="Times New Roman;sans-serif" w:hAnsi="Times New Roman;sans-serif"/>
          <w:b w:val="false"/>
          <w:color w:val="000000"/>
          <w:sz w:val="24"/>
        </w:rPr>
        <w:t xml:space="preserve">On the Closing Date, the Shares shall have been approved for listing on the Nasdaq Global Market, subject only to official notice of issuance. </w:t>
      </w:r>
    </w:p>
    <w:p>
      <w:pPr>
        <w:pStyle w:val="TextBody"/>
        <w:spacing w:lineRule="auto" w:line="240" w:before="0" w:after="240"/>
        <w:ind w:left="0" w:right="0" w:firstLine="720"/>
        <w:rPr/>
      </w:pPr>
      <w:r>
        <w:rPr>
          <w:rFonts w:ascii="Times New Roman;sans-serif" w:hAnsi="Times New Roman;sans-serif"/>
          <w:b w:val="false"/>
          <w:color w:val="010000"/>
          <w:sz w:val="24"/>
        </w:rPr>
        <w:t>(j)</w:t>
      </w:r>
      <w:r>
        <w:rPr>
          <w:rFonts w:ascii="Times New Roman;sans-serif" w:hAnsi="Times New Roman;sans-serif"/>
          <w:b w:val="false"/>
          <w:color w:val="000000"/>
          <w:sz w:val="24"/>
        </w:rPr>
        <w:t>FINRA has confirmed that it has not raised any objection with respect to the fairness and reasonableness of the underwriting terms and arrangements relating to the offering of the Shares.</w:t>
      </w:r>
    </w:p>
    <w:p>
      <w:pPr>
        <w:pStyle w:val="TextBody"/>
        <w:spacing w:lineRule="auto" w:line="240" w:before="0" w:after="240"/>
        <w:ind w:left="0" w:right="0" w:firstLine="720"/>
        <w:rPr/>
      </w:pPr>
      <w:r>
        <w:rPr>
          <w:rFonts w:ascii="Times New Roman;sans-serif" w:hAnsi="Times New Roman;sans-serif"/>
          <w:b w:val="false"/>
          <w:color w:val="010000"/>
          <w:sz w:val="24"/>
        </w:rPr>
        <w:t>(k)</w:t>
      </w:r>
      <w:r>
        <w:rPr>
          <w:rFonts w:ascii="Times New Roman;sans-serif" w:hAnsi="Times New Roman;sans-serif"/>
          <w:b w:val="false"/>
          <w:color w:val="000000"/>
          <w:sz w:val="24"/>
        </w:rPr>
        <w:t xml:space="preserve">The Underwriters shall have received, on each of the date hereof and the Closing Date, a certificate dated the date hereof or the Closing Date, as the case may be, in form and substance satisfactory to the Representatives, from the Chief Financial Officer of the Company. </w:t>
      </w:r>
    </w:p>
    <w:p>
      <w:pPr>
        <w:pStyle w:val="TextBody"/>
        <w:spacing w:lineRule="auto" w:line="240" w:before="0" w:after="240"/>
        <w:ind w:left="0" w:right="0" w:firstLine="720"/>
        <w:rPr/>
      </w:pPr>
      <w:r>
        <w:rPr>
          <w:rFonts w:ascii="Times New Roman;sans-serif" w:hAnsi="Times New Roman;sans-serif"/>
          <w:b w:val="false"/>
          <w:color w:val="010000"/>
          <w:sz w:val="24"/>
        </w:rPr>
        <w:t>(l)</w:t>
      </w:r>
      <w:r>
        <w:rPr>
          <w:rFonts w:ascii="Times New Roman;sans-serif" w:hAnsi="Times New Roman;sans-serif"/>
          <w:b w:val="false"/>
          <w:color w:val="000000"/>
          <w:sz w:val="24"/>
        </w:rPr>
        <w:t>The several obligations of the Underwriters to purchase Additional Shares hereunder are subject to the delivery to you on the applicable Option Closing Date of the following:</w:t>
      </w:r>
    </w:p>
    <w:p>
      <w:pPr>
        <w:pStyle w:val="TextBody"/>
        <w:spacing w:lineRule="auto" w:line="240" w:before="0" w:after="240"/>
        <w:ind w:left="0" w:right="0" w:firstLine="720"/>
        <w:rPr/>
      </w:pPr>
      <w:r>
        <w:rPr>
          <w:rFonts w:ascii="Times New Roman;sans-serif" w:hAnsi="Times New Roman;sans-serif"/>
          <w:b w:val="false"/>
          <w:color w:val="010000"/>
          <w:sz w:val="24"/>
        </w:rPr>
        <w:t>(i)</w:t>
      </w:r>
      <w:r>
        <w:rPr>
          <w:rFonts w:ascii="Times New Roman;sans-serif" w:hAnsi="Times New Roman;sans-serif"/>
          <w:b w:val="false"/>
          <w:color w:val="000000"/>
          <w:sz w:val="24"/>
        </w:rPr>
        <w:t>a certificate, dated the Option Closing Date and signed by an executive officer of the Company, confirming that the certificate delivered on the Closing Date pursuant to Section 6(b)(i) hereof remains true and correct as of such Option Closing Date;</w:t>
      </w:r>
    </w:p>
    <w:p>
      <w:pPr>
        <w:pStyle w:val="TextBody"/>
        <w:spacing w:lineRule="auto" w:line="240" w:before="0" w:after="240"/>
        <w:ind w:left="0" w:right="0" w:firstLine="720"/>
        <w:rPr/>
      </w:pPr>
      <w:r>
        <w:rPr>
          <w:rFonts w:ascii="Times New Roman;sans-serif" w:hAnsi="Times New Roman;sans-serif"/>
          <w:b w:val="false"/>
          <w:color w:val="010000"/>
          <w:sz w:val="24"/>
        </w:rPr>
        <w:t>(ii)</w:t>
      </w:r>
      <w:r>
        <w:rPr>
          <w:rFonts w:ascii="Times New Roman;sans-serif" w:hAnsi="Times New Roman;sans-serif"/>
          <w:b w:val="false"/>
          <w:color w:val="000000"/>
          <w:sz w:val="24"/>
        </w:rPr>
        <w:t>an opinion and negative assurance letter of Cooley LLP, outside counsel for the Company, dated the Option Closing Date, relating to the Additional Shares to be purchased on such Option Closing Date and otherwise to the same effect as the opinion and negative assurance letter required by Section 6(c) hereof;</w:t>
      </w:r>
    </w:p>
    <w:p>
      <w:pPr>
        <w:pStyle w:val="TextBody"/>
        <w:spacing w:lineRule="auto" w:line="240" w:before="0" w:after="240"/>
        <w:ind w:left="0" w:right="0" w:firstLine="720"/>
        <w:rPr/>
      </w:pPr>
      <w:r>
        <w:rPr>
          <w:rFonts w:ascii="Times New Roman;sans-serif" w:hAnsi="Times New Roman;sans-serif"/>
          <w:b w:val="false"/>
          <w:color w:val="010000"/>
          <w:sz w:val="24"/>
        </w:rPr>
        <w:t>(iii)</w:t>
      </w:r>
      <w:r>
        <w:rPr>
          <w:rFonts w:ascii="Times New Roman;sans-serif" w:hAnsi="Times New Roman;sans-serif"/>
          <w:b w:val="false"/>
          <w:color w:val="000000"/>
          <w:sz w:val="24"/>
        </w:rPr>
        <w:t>an opinion, dated the Closing Date of (x) Shay Glenn LLP, intellectual property counsel for the Company and (y) Cooley LLP, regulatory counsel for the Company, in each case, relating to the Additional Shares to be purchased on such Option Closing Date and otherwise to the same effect as the opinion required by Section 6(e) hereof;</w:t>
      </w:r>
    </w:p>
    <w:p>
      <w:pPr>
        <w:pStyle w:val="TextBody"/>
        <w:spacing w:lineRule="auto" w:line="240" w:before="0" w:after="240"/>
        <w:ind w:left="0" w:right="0" w:firstLine="720"/>
        <w:rPr/>
      </w:pPr>
      <w:r>
        <w:rPr>
          <w:rFonts w:ascii="Times New Roman;sans-serif" w:hAnsi="Times New Roman;sans-serif"/>
          <w:b w:val="false"/>
          <w:color w:val="010000"/>
          <w:sz w:val="24"/>
        </w:rPr>
        <w:t>(iv)</w:t>
      </w:r>
      <w:r>
        <w:rPr>
          <w:rFonts w:ascii="Times New Roman;sans-serif" w:hAnsi="Times New Roman;sans-serif"/>
          <w:b w:val="false"/>
          <w:color w:val="000000"/>
          <w:sz w:val="24"/>
        </w:rPr>
        <w:t xml:space="preserve">an opinion and negative assurance letter of Latham &amp; Watkins LLP, counsel for the Underwriters, dated the Option Closing Date, relating to the Additional Shares to be purchased on such Option Closing Date and otherwise to the same effect as the opinion and negative assurance letter required by Section 6(f) hereof; </w:t>
      </w:r>
    </w:p>
    <w:p>
      <w:pPr>
        <w:pStyle w:val="TextBody"/>
        <w:spacing w:lineRule="auto" w:line="240" w:before="0" w:after="240"/>
        <w:ind w:left="0" w:right="0" w:firstLine="720"/>
        <w:rPr/>
      </w:pPr>
      <w:r>
        <w:rPr>
          <w:rFonts w:ascii="Times New Roman;sans-serif" w:hAnsi="Times New Roman;sans-serif"/>
          <w:b w:val="false"/>
          <w:color w:val="010000"/>
          <w:sz w:val="24"/>
        </w:rPr>
        <w:t>(v)</w:t>
      </w:r>
      <w:r>
        <w:rPr>
          <w:rFonts w:ascii="Times New Roman;sans-serif" w:hAnsi="Times New Roman;sans-serif"/>
          <w:b w:val="false"/>
          <w:color w:val="000000"/>
          <w:sz w:val="24"/>
        </w:rPr>
        <w:t xml:space="preserve">a letter dated the Option Closing Date, in form and substance reasonably satisfactory to the Representatives, from PricewaterhouseCoopers LLP, independent registered public accountants, substantially in the same form and substance as the letter furnished to the Underwriters pursuant to Section 6(g) hereof;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the letter delivered on the Option Closing Date shall use a “cut-off date” not earlier than two business days prior to such Option Closing Date; and</w:t>
      </w:r>
    </w:p>
    <w:p>
      <w:pPr>
        <w:pStyle w:val="TextBody"/>
        <w:spacing w:lineRule="auto" w:line="240" w:before="0" w:after="240"/>
        <w:ind w:left="0" w:right="0" w:firstLine="720"/>
        <w:rPr/>
      </w:pPr>
      <w:r>
        <w:rPr>
          <w:rFonts w:ascii="Times New Roman;sans-serif" w:hAnsi="Times New Roman;sans-serif"/>
          <w:b w:val="false"/>
          <w:color w:val="010000"/>
          <w:sz w:val="24"/>
        </w:rPr>
        <w:t>(vi)</w:t>
      </w:r>
      <w:r>
        <w:rPr>
          <w:color w:val="000000"/>
        </w:rPr>
        <w:t xml:space="preserve"> </w:t>
      </w:r>
      <w:r>
        <w:rPr>
          <w:rFonts w:ascii="Times New Roman;sans-serif" w:hAnsi="Times New Roman;sans-serif"/>
          <w:b w:val="false"/>
          <w:color w:val="000000"/>
          <w:sz w:val="24"/>
        </w:rPr>
        <w:t xml:space="preserve">a certificate dated the Option Closing Date, in form and substance satisfactory to the Representatives, from the Chief Financial Officer of the Company. </w:t>
      </w:r>
    </w:p>
    <w:p>
      <w:pPr>
        <w:pStyle w:val="TextBody"/>
        <w:spacing w:lineRule="auto" w:line="240" w:before="0" w:after="240"/>
        <w:ind w:left="0" w:right="0" w:firstLine="720"/>
        <w:rPr/>
      </w:pPr>
      <w:r>
        <w:rPr>
          <w:rFonts w:ascii="Times New Roman;sans-serif" w:hAnsi="Times New Roman;sans-serif"/>
          <w:b w:val="false"/>
          <w:color w:val="010000"/>
          <w:sz w:val="24"/>
        </w:rPr>
        <w:t>(m)</w:t>
      </w:r>
      <w:r>
        <w:rPr>
          <w:rFonts w:ascii="Times New Roman;sans-serif" w:hAnsi="Times New Roman;sans-serif"/>
          <w:b w:val="false"/>
          <w:color w:val="000000"/>
          <w:sz w:val="24"/>
        </w:rPr>
        <w:t>Such other documents as you may reasonably request with respect to the good standing of the Company, the due authorization and issuance of the Additional Shares to be sold on such Option Closing Date and other matters related to the issuance of such Additional Shares shall have been delivered to you.</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With respect to Sections 6(c) and 6(l)(ii) above, Cooley LLP, and with respect to Sections 6(f) and 6(l)(iv) above, Latham &amp; Watkins LLP may state that their opinions and beliefs are </w:t>
      </w:r>
      <w:r>
        <w:br w:type="page"/>
      </w:r>
    </w:p>
    <w:p>
      <w:pPr>
        <w:pStyle w:val="TextBody"/>
        <w:spacing w:before="0" w:after="0"/>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711835"/>
                <wp:effectExtent l="0" t="0" r="0" b="0"/>
                <wp:wrapNone/>
                <wp:docPr id="23" name="Frame23"/>
                <a:graphic xmlns:a="http://schemas.openxmlformats.org/drawingml/2006/main">
                  <a:graphicData uri="http://schemas.microsoft.com/office/word/2010/wordprocessingShape">
                    <wps:wsp>
                      <wps:cNvSpPr txBox="1"/>
                      <wps:spPr>
                        <a:xfrm>
                          <a:off x="0" y="0"/>
                          <a:ext cx="6480175" cy="711835"/>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19</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19</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pStyle w:val="TextBody"/>
        <w:spacing w:lineRule="auto" w:line="240" w:before="0" w:after="240"/>
        <w:ind w:left="0" w:right="0" w:firstLine="720"/>
        <w:rPr/>
      </w:pPr>
      <w:r>
        <w:rPr>
          <w:rFonts w:ascii="Times New Roman;sans-serif" w:hAnsi="Times New Roman;sans-serif"/>
          <w:b w:val="false"/>
          <w:color w:val="010000"/>
          <w:sz w:val="24"/>
        </w:rPr>
        <w:t>7.</w:t>
      </w:r>
      <w:r>
        <w:rPr>
          <w:rFonts w:ascii="Times New Roman;sans-serif" w:hAnsi="Times New Roman;sans-serif"/>
          <w:b w:val="false"/>
          <w:i/>
          <w:color w:val="000000"/>
          <w:sz w:val="24"/>
        </w:rPr>
        <w:t>Covenants of the Company</w:t>
      </w:r>
      <w:r>
        <w:rPr>
          <w:rFonts w:ascii="Times New Roman;sans-serif" w:hAnsi="Times New Roman;sans-serif"/>
          <w:b w:val="false"/>
          <w:color w:val="000000"/>
          <w:sz w:val="24"/>
        </w:rPr>
        <w:t>. The Company covenants with each Underwriter as follows:</w:t>
      </w:r>
    </w:p>
    <w:p>
      <w:pPr>
        <w:pStyle w:val="TextBody"/>
        <w:spacing w:lineRule="auto" w:line="240" w:before="0" w:after="240"/>
        <w:ind w:left="0" w:right="0" w:firstLine="720"/>
        <w:rPr/>
      </w:pPr>
      <w:r>
        <w:rPr>
          <w:rFonts w:ascii="Times New Roman;sans-serif" w:hAnsi="Times New Roman;sans-serif"/>
          <w:b w:val="false"/>
          <w:color w:val="010000"/>
          <w:sz w:val="24"/>
        </w:rPr>
        <w:t>(a)</w:t>
      </w:r>
      <w:r>
        <w:rPr>
          <w:rFonts w:ascii="Times New Roman;sans-serif" w:hAnsi="Times New Roman;sans-serif"/>
          <w:b w:val="false"/>
          <w:color w:val="000000"/>
          <w:sz w:val="24"/>
        </w:rPr>
        <w:t>To furnish to you, without charge, four signed copies of the Registration Statement (including exhibits thereto and documents incorporated by reference therein) and for delivery to each other Underwriter a conformed copy of the Registration Statement (without exhibits thereto) and to furnish to you in New York City, without charge, prior to 10:00 a.m. New York City time on the business day next succeeding the date of this Agreement and during the period mentioned in Section 7(e) or 7(f) below, as many copies of the Time of Sale Prospectus, the Prospectus, any documents incorporated by reference therein and any supplements and amendments thereto or to the Registration Statement as you may reasonably request.</w:t>
      </w:r>
    </w:p>
    <w:p>
      <w:pPr>
        <w:pStyle w:val="TextBody"/>
        <w:spacing w:lineRule="auto" w:line="240" w:before="0" w:after="240"/>
        <w:ind w:left="0" w:right="0" w:firstLine="720"/>
        <w:rPr/>
      </w:pPr>
      <w:r>
        <w:rPr>
          <w:rFonts w:ascii="Times New Roman;sans-serif" w:hAnsi="Times New Roman;sans-serif"/>
          <w:b w:val="false"/>
          <w:color w:val="010000"/>
          <w:sz w:val="24"/>
        </w:rPr>
        <w:t>(b)</w:t>
      </w:r>
      <w:r>
        <w:rPr>
          <w:rFonts w:ascii="Times New Roman;sans-serif" w:hAnsi="Times New Roman;sans-serif"/>
          <w:b w:val="false"/>
          <w:color w:val="000000"/>
          <w:sz w:val="24"/>
        </w:rPr>
        <w:t>Before amending or supplementing the Registration Statement, the Time of Sale Prospectus or the Prospectus, to furnish to you a copy of each such proposed amendment or supplement and not to file any such proposed amendment or supplement to which you reasonably object, and to file with the Commission within the applicable period specified in Rule 424(b) under the Securities Act any prospectus required to be filed pursuant to such Rule.</w:t>
      </w:r>
    </w:p>
    <w:p>
      <w:pPr>
        <w:pStyle w:val="TextBody"/>
        <w:spacing w:lineRule="auto" w:line="240" w:before="0" w:after="240"/>
        <w:ind w:left="0" w:right="0" w:firstLine="720"/>
        <w:rPr/>
      </w:pPr>
      <w:r>
        <w:rPr>
          <w:rFonts w:ascii="Times New Roman;sans-serif" w:hAnsi="Times New Roman;sans-serif"/>
          <w:b w:val="false"/>
          <w:color w:val="010000"/>
          <w:sz w:val="24"/>
        </w:rPr>
        <w:t>(c)</w:t>
      </w:r>
      <w:r>
        <w:rPr>
          <w:rFonts w:ascii="Times New Roman;sans-serif" w:hAnsi="Times New Roman;sans-serif"/>
          <w:b w:val="false"/>
          <w:color w:val="000000"/>
          <w:sz w:val="24"/>
        </w:rPr>
        <w:t>To furnish to you a copy of each proposed free writing prospectus to be prepared by or on behalf of, used by, or referred to by the Company and not to use or refer to any proposed free writing prospectus to which you reasonably object.</w:t>
      </w:r>
    </w:p>
    <w:p>
      <w:pPr>
        <w:pStyle w:val="TextBody"/>
        <w:spacing w:lineRule="auto" w:line="240" w:before="0" w:after="240"/>
        <w:ind w:left="0" w:right="0" w:firstLine="720"/>
        <w:rPr/>
      </w:pPr>
      <w:r>
        <w:rPr>
          <w:rFonts w:ascii="Times New Roman;sans-serif" w:hAnsi="Times New Roman;sans-serif"/>
          <w:b w:val="false"/>
          <w:color w:val="010000"/>
          <w:sz w:val="24"/>
        </w:rPr>
        <w:t>(d)</w:t>
      </w:r>
      <w:r>
        <w:rPr>
          <w:rFonts w:ascii="Times New Roman;sans-serif" w:hAnsi="Times New Roman;sans-serif"/>
          <w:b w:val="false"/>
          <w:color w:val="000000"/>
          <w:sz w:val="24"/>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pStyle w:val="TextBody"/>
        <w:spacing w:lineRule="auto" w:line="240" w:before="0" w:after="240"/>
        <w:ind w:left="0" w:right="0" w:firstLine="720"/>
        <w:rPr/>
      </w:pPr>
      <w:r>
        <w:rPr>
          <w:rFonts w:ascii="Times New Roman;sans-serif" w:hAnsi="Times New Roman;sans-serif"/>
          <w:b w:val="false"/>
          <w:color w:val="010000"/>
          <w:sz w:val="24"/>
        </w:rPr>
        <w:t>(e)</w:t>
      </w:r>
      <w:r>
        <w:rPr>
          <w:rFonts w:ascii="Times New Roman;sans-serif" w:hAnsi="Times New Roman;sans-serif"/>
          <w:b w:val="false"/>
          <w:color w:val="000000"/>
          <w:sz w:val="24"/>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pStyle w:val="TextBody"/>
        <w:spacing w:lineRule="auto" w:line="240" w:before="0" w:after="240"/>
        <w:ind w:left="0" w:right="0" w:firstLine="720"/>
        <w:rPr/>
      </w:pPr>
      <w:r>
        <w:rPr>
          <w:rFonts w:ascii="Times New Roman;sans-serif" w:hAnsi="Times New Roman;sans-serif"/>
          <w:b w:val="false"/>
          <w:color w:val="010000"/>
          <w:sz w:val="24"/>
        </w:rPr>
        <w:t>(f)</w:t>
      </w:r>
      <w:r>
        <w:rPr>
          <w:rFonts w:ascii="Times New Roman;sans-serif" w:hAnsi="Times New Roman;sans-serif"/>
          <w:b w:val="false"/>
          <w:color w:val="000000"/>
          <w:sz w:val="24"/>
        </w:rPr>
        <w:t xml:space="preserve">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w:t>
      </w:r>
      <w:r>
        <w:br w:type="page"/>
      </w:r>
    </w:p>
    <w:p>
      <w:pPr>
        <w:pStyle w:val="TextBody"/>
        <w:spacing w:before="0" w:after="0"/>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11835"/>
                <wp:effectExtent l="0" t="0" r="0" b="0"/>
                <wp:wrapNone/>
                <wp:docPr id="24" name="Frame24"/>
                <a:graphic xmlns:a="http://schemas.openxmlformats.org/drawingml/2006/main">
                  <a:graphicData uri="http://schemas.microsoft.com/office/word/2010/wordprocessingShape">
                    <wps:wsp>
                      <wps:cNvSpPr txBox="1"/>
                      <wps:spPr>
                        <a:xfrm>
                          <a:off x="0" y="0"/>
                          <a:ext cx="6480175" cy="711835"/>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20</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20</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you will furnish to the Company) to which Shares may have been sold by you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pStyle w:val="TextBody"/>
        <w:spacing w:lineRule="auto" w:line="240" w:before="0" w:after="240"/>
        <w:ind w:left="0" w:right="0" w:firstLine="720"/>
        <w:rPr/>
      </w:pPr>
      <w:r>
        <w:rPr>
          <w:rFonts w:ascii="Times New Roman;sans-serif" w:hAnsi="Times New Roman;sans-serif"/>
          <w:b w:val="false"/>
          <w:color w:val="010000"/>
          <w:sz w:val="24"/>
        </w:rPr>
        <w:t>(g)</w:t>
      </w:r>
      <w:r>
        <w:rPr>
          <w:rFonts w:ascii="Times New Roman;sans-serif" w:hAnsi="Times New Roman;sans-serif"/>
          <w:b w:val="false"/>
          <w:color w:val="000000"/>
          <w:sz w:val="24"/>
        </w:rPr>
        <w:t>During the period when a Prospectus relating to the Shares is (or, but for the exception afforded by Rule 172, would be) required to be delivered under the Securities Act, to file all documents required to be filed with the Commission pursuant to the Securities Exchange Act of 1934, as amended (the “</w:t>
      </w:r>
      <w:r>
        <w:rPr>
          <w:rFonts w:ascii="Times New Roman;sans-serif" w:hAnsi="Times New Roman;sans-serif"/>
          <w:b/>
          <w:color w:val="000000"/>
          <w:sz w:val="24"/>
        </w:rPr>
        <w:t>Exchange Act</w:t>
      </w:r>
      <w:r>
        <w:rPr>
          <w:color w:val="000000"/>
        </w:rPr>
        <w:t>”</w:t>
      </w:r>
      <w:r>
        <w:rPr>
          <w:rFonts w:ascii="Times New Roman;sans-serif" w:hAnsi="Times New Roman;sans-serif"/>
          <w:b w:val="false"/>
          <w:color w:val="000000"/>
          <w:sz w:val="24"/>
        </w:rPr>
        <w:t>) within the time periods required by the Exchange Act and the regulations thereunder. Additionally, the Company shall report the use of proceeds from the issuance of the Shares as may be required under Rule 463 under the Securities Act.</w:t>
      </w:r>
    </w:p>
    <w:p>
      <w:pPr>
        <w:pStyle w:val="TextBody"/>
        <w:spacing w:lineRule="auto" w:line="240" w:before="0" w:after="240"/>
        <w:ind w:left="0" w:right="0" w:firstLine="720"/>
        <w:rPr/>
      </w:pPr>
      <w:r>
        <w:rPr>
          <w:rFonts w:ascii="Times New Roman;sans-serif" w:hAnsi="Times New Roman;sans-serif"/>
          <w:b w:val="false"/>
          <w:color w:val="010000"/>
          <w:sz w:val="24"/>
        </w:rPr>
        <w:t>(h)</w:t>
      </w:r>
      <w:r>
        <w:rPr>
          <w:rFonts w:ascii="Times New Roman;sans-serif" w:hAnsi="Times New Roman;sans-serif"/>
          <w:b w:val="false"/>
          <w:color w:val="000000"/>
          <w:sz w:val="24"/>
        </w:rPr>
        <w:t>To use the net proceeds received by it from the sale of the Shares in the manner specified in the Registration Statement, the Time of Sale Prospectus and the Prospectus under “Use of Proceeds.”</w:t>
      </w:r>
    </w:p>
    <w:p>
      <w:pPr>
        <w:pStyle w:val="TextBody"/>
        <w:spacing w:lineRule="auto" w:line="240" w:before="0" w:after="240"/>
        <w:ind w:left="0" w:right="0" w:firstLine="720"/>
        <w:rPr/>
      </w:pPr>
      <w:r>
        <w:rPr>
          <w:rFonts w:ascii="Times New Roman;sans-serif" w:hAnsi="Times New Roman;sans-serif"/>
          <w:b w:val="false"/>
          <w:color w:val="010000"/>
          <w:sz w:val="24"/>
        </w:rPr>
        <w:t>(i)</w:t>
      </w:r>
      <w:r>
        <w:rPr>
          <w:rFonts w:ascii="Times New Roman;sans-serif" w:hAnsi="Times New Roman;sans-serif"/>
          <w:b w:val="false"/>
          <w:color w:val="000000"/>
          <w:sz w:val="24"/>
        </w:rPr>
        <w:t>To use its best efforts to effect and maintain the listing of the Common Stock (including the Shares) on the Nasdaq Global Market.</w:t>
      </w:r>
    </w:p>
    <w:p>
      <w:pPr>
        <w:pStyle w:val="TextBody"/>
        <w:spacing w:lineRule="auto" w:line="240" w:before="0" w:after="240"/>
        <w:ind w:left="0" w:right="0" w:firstLine="720"/>
        <w:rPr/>
      </w:pPr>
      <w:r>
        <w:rPr>
          <w:rFonts w:ascii="Times New Roman;sans-serif" w:hAnsi="Times New Roman;sans-serif"/>
          <w:b w:val="false"/>
          <w:color w:val="010000"/>
          <w:sz w:val="24"/>
        </w:rPr>
        <w:t>(j)</w:t>
      </w:r>
      <w:r>
        <w:rPr>
          <w:rFonts w:ascii="Times New Roman;sans-serif" w:hAnsi="Times New Roman;sans-serif"/>
          <w:b w:val="false"/>
          <w:color w:val="000000"/>
          <w:sz w:val="24"/>
        </w:rPr>
        <w:t>To endeavor to qualify the Shares for offer and sale under the securities or Blue Sky laws of such jurisdictions as you shall reasonably request, provided, however, that nothing contained herein shall require the Company to qualify to do business in any jurisdiction, to execute a general consent to service of process in any jurisdiction or to subject itself to taxation in any jurisdiction in which it is not otherwise subject.</w:t>
      </w:r>
    </w:p>
    <w:p>
      <w:pPr>
        <w:pStyle w:val="TextBody"/>
        <w:spacing w:lineRule="auto" w:line="240" w:before="0" w:after="240"/>
        <w:ind w:left="0" w:right="0" w:firstLine="720"/>
        <w:rPr/>
      </w:pPr>
      <w:r>
        <w:rPr>
          <w:rFonts w:ascii="Times New Roman;sans-serif" w:hAnsi="Times New Roman;sans-serif"/>
          <w:b w:val="false"/>
          <w:color w:val="010000"/>
          <w:sz w:val="24"/>
        </w:rPr>
        <w:t>(k)</w:t>
      </w:r>
      <w:r>
        <w:rPr>
          <w:rFonts w:ascii="Times New Roman;sans-serif" w:hAnsi="Times New Roman;sans-serif"/>
          <w:b w:val="false"/>
          <w:color w:val="000000"/>
          <w:sz w:val="24"/>
        </w:rPr>
        <w:t>To make generally available to the Company’s security holders and to you as soon as practicable an earning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pStyle w:val="TextBody"/>
        <w:spacing w:lineRule="auto" w:line="240" w:before="0" w:after="240"/>
        <w:ind w:left="0" w:right="0" w:firstLine="720"/>
        <w:rPr/>
      </w:pPr>
      <w:r>
        <w:rPr>
          <w:rFonts w:ascii="Times New Roman;sans-serif" w:hAnsi="Times New Roman;sans-serif"/>
          <w:b w:val="false"/>
          <w:color w:val="010000"/>
          <w:sz w:val="24"/>
        </w:rPr>
        <w:t>(l)</w:t>
      </w:r>
      <w:r>
        <w:rPr>
          <w:rFonts w:ascii="Times New Roman;sans-serif" w:hAnsi="Times New Roman;sans-serif"/>
          <w:b w:val="false"/>
          <w:color w:val="000000"/>
          <w:sz w:val="24"/>
        </w:rPr>
        <w:t>If at any time following the distribution of any Written Testing the Waters Communication there occurred or occurs an event or development as a result of which such Written Testing the 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 the Waters Communication to eliminate or correct such untrue statement or omission.</w:t>
      </w:r>
    </w:p>
    <w:p>
      <w:pPr>
        <w:pStyle w:val="TextBody"/>
        <w:spacing w:lineRule="auto" w:line="240" w:before="0" w:after="240"/>
        <w:ind w:left="0" w:right="0" w:firstLine="720"/>
        <w:rPr/>
      </w:pPr>
      <w:r>
        <w:rPr>
          <w:rFonts w:ascii="Times New Roman;sans-serif" w:hAnsi="Times New Roman;sans-serif"/>
          <w:b w:val="false"/>
          <w:color w:val="010000"/>
          <w:sz w:val="24"/>
        </w:rPr>
        <w:t>(m)</w:t>
      </w:r>
      <w:r>
        <w:rPr>
          <w:rFonts w:ascii="Times New Roman;sans-serif" w:hAnsi="Times New Roman;sans-serif"/>
          <w:b w:val="false"/>
          <w:color w:val="000000"/>
          <w:sz w:val="24"/>
        </w:rPr>
        <w:t xml:space="preserve">Company will deliver to each Underwriter (or its agent), on the date of execution of this Agreement, a properly completed and executed Certification Regarding Beneficial Owners of Legal Entity Customers in a form reasonably acceptable to the Underwriters, together with copies of identifying documentation, and the Company undertakes to provide such </w:t>
      </w:r>
      <w:r>
        <w:br w:type="page"/>
      </w:r>
    </w:p>
    <w:p>
      <w:pPr>
        <w:pStyle w:val="TextBody"/>
        <w:spacing w:before="0" w:after="0"/>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711835"/>
                <wp:effectExtent l="0" t="0" r="0" b="0"/>
                <wp:wrapNone/>
                <wp:docPr id="25" name="Frame25"/>
                <a:graphic xmlns:a="http://schemas.openxmlformats.org/drawingml/2006/main">
                  <a:graphicData uri="http://schemas.microsoft.com/office/word/2010/wordprocessingShape">
                    <wps:wsp>
                      <wps:cNvSpPr txBox="1"/>
                      <wps:spPr>
                        <a:xfrm>
                          <a:off x="0" y="0"/>
                          <a:ext cx="6480175" cy="711835"/>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21</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21</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additional supporting documentation as each Underwriter may reasonably request in connection with the verification of the foregoing Certification.</w:t>
      </w:r>
    </w:p>
    <w:p>
      <w:pPr>
        <w:pStyle w:val="TextBody"/>
        <w:spacing w:lineRule="auto" w:line="240" w:before="0" w:after="240"/>
        <w:ind w:left="0" w:right="0" w:firstLine="720"/>
        <w:rPr/>
      </w:pPr>
      <w:r>
        <w:rPr>
          <w:rFonts w:ascii="Times New Roman;sans-serif" w:hAnsi="Times New Roman;sans-serif"/>
          <w:b w:val="false"/>
          <w:color w:val="010000"/>
          <w:sz w:val="24"/>
        </w:rPr>
        <w:t>(n)</w:t>
      </w:r>
      <w:r>
        <w:rPr>
          <w:rFonts w:ascii="Times New Roman;sans-serif" w:hAnsi="Times New Roman;sans-serif"/>
          <w:b w:val="false"/>
          <w:color w:val="000000"/>
          <w:sz w:val="24"/>
        </w:rPr>
        <w:t>Whether or not the transactions contemplated in this Agreement are consummated or this Agreement is terminated, the Company agrees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reasonable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7(j) hereof, including filing fees and the reasonable fees and disbursements of counsel for the Underwriters in connection with such qualification and in connection with the Blue Sky or Legal Investment memorandum, provided, that the amount of such fees and disbursements of counsel to be paid shall not exceed $5,000 (excluding any filing fees), (iv) all filing fees and the reasonable fees and disbursements of counsel to the Underwriters incurred in connection with the review and qualification of the offering of the Shares by FINRA, provided, that the amount of such fees and disbursements of counsel to be paid shall not exceed $30,000 (excluding any filing fees), (v) all costs and expenses incident to listing the Shares on the Nasdaq Global Market,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the cost of any aircraft chartered in connection with the road show (with the Underwriters agreeing to pay for the other 50%), (ix) the document production charges and expenses associated with printing this Agreement and (x) all other costs and expenses incident to the performance of the obligations of the Company hereunder for which provision is not otherwise made in this Section. It is understood, however, that except as provided in this Section, Section 10 titled “Indemnity and Contribution” and the last paragraph of Section 12 below, the Underwriters will pay all of their costs and expenses, including fees and disbursements of their counsel, stock transfer taxes payable on resale of any of the Shares by them and any advertising expenses connected with any offers they may make.</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Whether or not the transactions contemplated in this Agreement are consummated or this Agreement is terminated, the Selling Shareholder agrees to pay or cause to be paid all expenses incident to the performance of its obligations under this Agreement, including the fees, disbursements and expenses of the counsel for the Selling Shareholder and all other costs and expenses incident to the performance of the obligations of the Selling Shareholder hereunder for which provision is not otherwise made in this Section. </w:t>
      </w:r>
    </w:p>
    <w:p>
      <w:pPr>
        <w:pStyle w:val="TextBody"/>
        <w:spacing w:lineRule="auto" w:line="240" w:before="0" w:after="240"/>
        <w:rPr>
          <w:color w:val="000000"/>
        </w:rPr>
      </w:pPr>
      <w:r>
        <w:rPr>
          <w:color w:val="000000"/>
        </w:rPr>
        <w:t>    </w:t>
      </w:r>
      <w:r>
        <w:rPr>
          <w:rFonts w:ascii="Times New Roman;sans-serif" w:hAnsi="Times New Roman;sans-serif"/>
          <w:b w:val="false"/>
          <w:color w:val="000000"/>
          <w:sz w:val="24"/>
        </w:rPr>
        <w:t>The provisions of this Section shall not supersede or otherwise affect any agreement that the Sellers may otherwise have for the allocation of such expenses. among themselves.</w:t>
      </w:r>
      <w:r>
        <w:br w:type="page"/>
      </w:r>
    </w:p>
    <w:p>
      <w:pPr>
        <w:pStyle w:val="TextBody"/>
        <w:spacing w:before="0" w:after="0"/>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11835"/>
                <wp:effectExtent l="0" t="0" r="0" b="0"/>
                <wp:wrapNone/>
                <wp:docPr id="26" name="Frame26"/>
                <a:graphic xmlns:a="http://schemas.openxmlformats.org/drawingml/2006/main">
                  <a:graphicData uri="http://schemas.microsoft.com/office/word/2010/wordprocessingShape">
                    <wps:wsp>
                      <wps:cNvSpPr txBox="1"/>
                      <wps:spPr>
                        <a:xfrm>
                          <a:off x="0" y="0"/>
                          <a:ext cx="6480175" cy="711835"/>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22</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22</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v:textbox>
              </v:rect>
            </w:pict>
          </mc:Fallback>
        </mc:AlternateContent>
      </w:r>
    </w:p>
    <w:p>
      <w:pPr>
        <w:pStyle w:val="TextBody"/>
        <w:spacing w:lineRule="auto" w:line="240" w:before="0" w:after="240"/>
        <w:ind w:left="0" w:right="0" w:firstLine="720"/>
        <w:rPr/>
      </w:pPr>
      <w:r>
        <w:rPr>
          <w:rFonts w:ascii="Times New Roman;sans-serif" w:hAnsi="Times New Roman;sans-serif"/>
          <w:b w:val="false"/>
          <w:color w:val="010000"/>
          <w:sz w:val="24"/>
        </w:rPr>
        <w:t>(o)</w:t>
      </w:r>
      <w:r>
        <w:rPr>
          <w:rFonts w:ascii="Times New Roman;sans-serif" w:hAnsi="Times New Roman;sans-serif"/>
          <w:b w:val="false"/>
          <w:color w:val="000000"/>
          <w:sz w:val="24"/>
        </w:rPr>
        <w:t>The Company hereby agrees that, without the prior written consent of BofA Securities, Inc. and Morgan Stanley &amp; Co. LLC on behalf of the Underwriters, it will not, and will not publicly disclose an intention to, during the period ending on and including the 60</w:t>
      </w:r>
      <w:r>
        <w:rPr>
          <w:rFonts w:ascii="Times New Roman;sans-serif" w:hAnsi="Times New Roman;sans-serif"/>
          <w:b w:val="false"/>
          <w:color w:val="000000"/>
          <w:sz w:val="16"/>
        </w:rPr>
        <w:t>th</w:t>
      </w:r>
      <w:r>
        <w:rPr>
          <w:color w:val="000000"/>
        </w:rPr>
        <w:t> </w:t>
      </w:r>
      <w:r>
        <w:rPr>
          <w:rFonts w:ascii="Times New Roman;sans-serif" w:hAnsi="Times New Roman;sans-serif"/>
          <w:b w:val="false"/>
          <w:color w:val="000000"/>
          <w:sz w:val="24"/>
        </w:rPr>
        <w:t>day after the date of the Prospectus (the “</w:t>
      </w:r>
      <w:r>
        <w:rPr>
          <w:rFonts w:ascii="Times New Roman;sans-serif" w:hAnsi="Times New Roman;sans-serif"/>
          <w:b/>
          <w:color w:val="000000"/>
          <w:sz w:val="24"/>
        </w:rPr>
        <w:t>Restricted Period</w:t>
      </w:r>
      <w:r>
        <w:rPr>
          <w:color w:val="000000"/>
        </w:rPr>
        <w:t>”</w:t>
      </w:r>
      <w:r>
        <w:rPr>
          <w:rFonts w:ascii="Times New Roman;sans-serif" w:hAnsi="Times New Roman;sans-serif"/>
          <w:b w:val="false"/>
          <w:color w:val="000000"/>
          <w:sz w:val="24"/>
        </w:rPr>
        <w:t xml:space="preserve">),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 The foregoing restrictions shall not apply to (a) the Shares to be sold hereunder, (b) the issuance by the Company of shares of Common Stock upon the exercise (including net exercise) of an option or warrant or the conversion of a security outstanding on the date hereof and disclosed in the Time of Sale Prospectus, (c) the issuance by the Company of shares of, or options to purchase shares of, Common Stock or restricted stock units (including the Common Stock issued upon the settlement or exercise thereof) to employees, officers, directors, advisors or consultants of the Company pursuant to employee benefit plans described in the Time of Sale Prospectus and Prospectus, (d) the filing by the Company of registration statements on Form S-8 with respect to the employee benefit plans described in the Time of Sale Prospectus, (e) the sale or issuance of or entry into an agreement to sell or issue shares of Common Stock in connection with the Company’s acquisition of one or more businesses, products or technologies (whether by means of merger, stock purchase, asset purchase or otherwise) or in connection with joint ventures, commercial relationships or other strategic transactions,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the aggregate number of shares of Common Stock that the Company may sell or issue or agree to sell or issue pursuant to this clause (e) shall not exceed 5% of the total number of shares of Common Stock issued and outstanding immediately following the completion of the transactions contemplated by this Agreement,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each recipient of shares of Common Stock or securities convertible into or exercisable for Common Stock pursuant to this clause (e) shall execute a lock-up agreement substantially in the form of Exhibit A hereto. </w:t>
      </w:r>
    </w:p>
    <w:p>
      <w:pPr>
        <w:pStyle w:val="TextBody"/>
        <w:spacing w:lineRule="auto" w:line="240" w:before="0" w:after="240"/>
        <w:ind w:left="0" w:right="0" w:firstLine="720"/>
        <w:rPr/>
      </w:pPr>
      <w:r>
        <w:rPr>
          <w:rFonts w:ascii="Times New Roman;sans-serif" w:hAnsi="Times New Roman;sans-serif"/>
          <w:b w:val="false"/>
          <w:color w:val="010000"/>
          <w:sz w:val="24"/>
        </w:rPr>
        <w:t>(p)</w:t>
      </w:r>
      <w:r>
        <w:rPr>
          <w:rFonts w:ascii="Times New Roman;sans-serif" w:hAnsi="Times New Roman;sans-serif"/>
          <w:b w:val="false"/>
          <w:color w:val="000000"/>
          <w:sz w:val="24"/>
        </w:rPr>
        <w:t>If the Selling Shareholder is not a U.S. person for U.S. federal income tax purposes, the Company will deliver to each Underwriter (or its agent), on or before the Closing Date, (i) a certificate with respect to the Company’s status as a “United States real property holding corporation,” dated not more than thirty (30) days prior to the Closing Date, as described in Treasury Regulations Sections 1.897-2(h) and 1.1445-2(c)(3), and (ii) proof of delivery to the IRS of the required notice, as described in Treasury Regulations 1.897-2(h)(2).</w:t>
      </w:r>
    </w:p>
    <w:p>
      <w:pPr>
        <w:pStyle w:val="TextBody"/>
        <w:spacing w:lineRule="auto" w:line="240" w:before="0" w:after="240"/>
        <w:ind w:left="0" w:right="0" w:firstLine="720"/>
        <w:rPr/>
      </w:pPr>
      <w:r>
        <w:rPr>
          <w:rFonts w:ascii="Times New Roman;sans-serif" w:hAnsi="Times New Roman;sans-serif"/>
          <w:b w:val="false"/>
          <w:color w:val="010000"/>
          <w:sz w:val="24"/>
        </w:rPr>
        <w:t>8.</w:t>
      </w:r>
      <w:r>
        <w:rPr>
          <w:rFonts w:ascii="Times New Roman;sans-serif" w:hAnsi="Times New Roman;sans-serif"/>
          <w:b w:val="false"/>
          <w:i/>
          <w:color w:val="000000"/>
          <w:sz w:val="24"/>
        </w:rPr>
        <w:t>Covenants of the Seller.</w:t>
      </w:r>
      <w:r>
        <w:rPr>
          <w:color w:val="000000"/>
        </w:rPr>
        <w:t xml:space="preserve"> </w:t>
      </w:r>
      <w:r>
        <w:rPr>
          <w:rFonts w:ascii="Times New Roman;sans-serif" w:hAnsi="Times New Roman;sans-serif"/>
          <w:b w:val="false"/>
          <w:color w:val="000000"/>
          <w:sz w:val="24"/>
        </w:rPr>
        <w:t>Each Seller, severally and not jointly, covenants with each Underwriter as follows:</w:t>
      </w:r>
    </w:p>
    <w:p>
      <w:pPr>
        <w:pStyle w:val="TextBody"/>
        <w:spacing w:lineRule="auto" w:line="240" w:before="0" w:after="240"/>
        <w:ind w:left="0" w:right="0" w:firstLine="720"/>
        <w:rPr/>
      </w:pPr>
      <w:r>
        <w:rPr>
          <w:rFonts w:ascii="Times New Roman;sans-serif" w:hAnsi="Times New Roman;sans-serif"/>
          <w:b w:val="false"/>
          <w:color w:val="010000"/>
          <w:sz w:val="24"/>
        </w:rPr>
        <w:t>(a)</w:t>
      </w:r>
      <w:r>
        <w:rPr>
          <w:rFonts w:ascii="Times New Roman;sans-serif" w:hAnsi="Times New Roman;sans-serif"/>
          <w:b w:val="false"/>
          <w:color w:val="000000"/>
          <w:sz w:val="24"/>
        </w:rPr>
        <w:t>Each Seller will deliver to each Underwriter (or its agent), prior to or at the Closing Date, a properly completed and executed Internal Revenue Service (“</w:t>
      </w:r>
      <w:r>
        <w:rPr>
          <w:rFonts w:ascii="Times New Roman;sans-serif" w:hAnsi="Times New Roman;sans-serif"/>
          <w:b/>
          <w:color w:val="000000"/>
          <w:sz w:val="24"/>
        </w:rPr>
        <w:t>IRS</w:t>
      </w:r>
      <w:r>
        <w:rPr>
          <w:color w:val="000000"/>
        </w:rPr>
        <w:t>”</w:t>
      </w:r>
      <w:r>
        <w:rPr>
          <w:rFonts w:ascii="Times New Roman;sans-serif" w:hAnsi="Times New Roman;sans-serif"/>
          <w:b w:val="false"/>
          <w:color w:val="000000"/>
          <w:sz w:val="24"/>
        </w:rPr>
        <w:t>) Form W-9 or an IRS Form W-8, as appropriate, together with all required attachments to such form.</w:t>
      </w:r>
    </w:p>
    <w:p>
      <w:pPr>
        <w:pStyle w:val="TextBody"/>
        <w:spacing w:lineRule="auto" w:line="240" w:before="0" w:after="240"/>
        <w:ind w:left="0" w:right="0" w:firstLine="720"/>
        <w:rPr/>
      </w:pPr>
      <w:r>
        <w:rPr>
          <w:rFonts w:ascii="Times New Roman;sans-serif" w:hAnsi="Times New Roman;sans-serif"/>
          <w:b w:val="false"/>
          <w:color w:val="010000"/>
          <w:sz w:val="24"/>
        </w:rPr>
        <w:t>(b)</w:t>
      </w:r>
      <w:r>
        <w:rPr>
          <w:rFonts w:ascii="Times New Roman;sans-serif" w:hAnsi="Times New Roman;sans-serif"/>
          <w:b w:val="false"/>
          <w:color w:val="000000"/>
          <w:sz w:val="24"/>
        </w:rPr>
        <w:t>Each Seller will deliver to each Underwriter (or its agent), on the date of execution of this Agreement, a properly completed and executed Certification Regarding Beneficial Owners of Legal Entity Customers, together with copies of identifying documentation, and each Seller undertakes to provide such additional supporting documentation as each Underwriter may reasonably request in connection with the verification of the foregoing Certification.</w:t>
      </w:r>
      <w:r>
        <w:br w:type="page"/>
      </w:r>
    </w:p>
    <w:p>
      <w:pPr>
        <w:pStyle w:val="TextBody"/>
        <w:spacing w:before="0" w:after="0"/>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711835"/>
                <wp:effectExtent l="0" t="0" r="0" b="0"/>
                <wp:wrapNone/>
                <wp:docPr id="27" name="Frame27"/>
                <a:graphic xmlns:a="http://schemas.openxmlformats.org/drawingml/2006/main">
                  <a:graphicData uri="http://schemas.microsoft.com/office/word/2010/wordprocessingShape">
                    <wps:wsp>
                      <wps:cNvSpPr txBox="1"/>
                      <wps:spPr>
                        <a:xfrm>
                          <a:off x="0" y="0"/>
                          <a:ext cx="6480175" cy="711835"/>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23</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23</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v:textbox>
              </v:rect>
            </w:pict>
          </mc:Fallback>
        </mc:AlternateContent>
      </w:r>
    </w:p>
    <w:p>
      <w:pPr>
        <w:pStyle w:val="TextBody"/>
        <w:spacing w:lineRule="auto" w:line="240" w:before="0" w:after="240"/>
        <w:ind w:left="0" w:right="0" w:firstLine="720"/>
        <w:rPr/>
      </w:pPr>
      <w:r>
        <w:rPr>
          <w:rFonts w:ascii="Times New Roman;sans-serif" w:hAnsi="Times New Roman;sans-serif"/>
          <w:b w:val="false"/>
          <w:color w:val="010000"/>
          <w:sz w:val="24"/>
        </w:rPr>
        <w:t>9.</w:t>
      </w:r>
      <w:r>
        <w:rPr>
          <w:rFonts w:ascii="Times New Roman;sans-serif" w:hAnsi="Times New Roman;sans-serif"/>
          <w:b w:val="false"/>
          <w:i/>
          <w:color w:val="000000"/>
          <w:sz w:val="24"/>
        </w:rPr>
        <w:t>Covenants of the Underwriters</w:t>
      </w:r>
      <w:r>
        <w:rPr>
          <w:rFonts w:ascii="Times New Roman;sans-serif" w:hAnsi="Times New Roman;sans-serif"/>
          <w:b w:val="false"/>
          <w:color w:val="000000"/>
          <w:sz w:val="24"/>
        </w:rPr>
        <w:t>. Each Underwriter severally covenants with the Company 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pStyle w:val="TextBody"/>
        <w:spacing w:lineRule="auto" w:line="240" w:before="0" w:after="240"/>
        <w:ind w:left="0" w:right="0" w:firstLine="720"/>
        <w:rPr/>
      </w:pPr>
      <w:r>
        <w:rPr>
          <w:rFonts w:ascii="Times New Roman;sans-serif" w:hAnsi="Times New Roman;sans-serif"/>
          <w:b w:val="false"/>
          <w:color w:val="010000"/>
          <w:sz w:val="24"/>
        </w:rPr>
        <w:t>10.</w:t>
      </w:r>
      <w:r>
        <w:rPr>
          <w:rFonts w:ascii="Times New Roman;sans-serif" w:hAnsi="Times New Roman;sans-serif"/>
          <w:b w:val="false"/>
          <w:i/>
          <w:color w:val="000000"/>
          <w:sz w:val="24"/>
        </w:rPr>
        <w:t>Indemnity and Contribution</w:t>
      </w:r>
      <w:r>
        <w:rPr>
          <w:rFonts w:ascii="Times New Roman;sans-serif" w:hAnsi="Times New Roman;sans-serif"/>
          <w:b w:val="false"/>
          <w:color w:val="000000"/>
          <w:sz w:val="24"/>
        </w:rPr>
        <w:t>. (a) The Company, agrees to indemnify and hold harmless each Underwriter, the directors, officers, employees and agents of each Underwriter, each person, if any, who controls any Underwriter within the meaning of either Section 15 of the Securities Act or Section 20 of the Exchange Act, and each affiliate of any Underwriter within the meaning of Rule 405 under the Securities Act (collectively, the “</w:t>
      </w:r>
      <w:r>
        <w:rPr>
          <w:rFonts w:ascii="Times New Roman;sans-serif" w:hAnsi="Times New Roman;sans-serif"/>
          <w:b/>
          <w:color w:val="000000"/>
          <w:sz w:val="24"/>
        </w:rPr>
        <w:t>Underwriter Indemnitees</w:t>
      </w:r>
      <w:r>
        <w:rPr>
          <w:color w:val="000000"/>
        </w:rPr>
        <w:t>”</w:t>
      </w:r>
      <w:r>
        <w:rPr>
          <w:rFonts w:ascii="Times New Roman;sans-serif" w:hAnsi="Times New Roman;sans-serif"/>
          <w:b w:val="false"/>
          <w:color w:val="000000"/>
          <w:sz w:val="24"/>
        </w:rPr>
        <w: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w:t>
      </w:r>
      <w:r>
        <w:rPr>
          <w:rFonts w:ascii="Times New Roman;sans-serif" w:hAnsi="Times New Roman;sans-serif"/>
          <w:b/>
          <w:color w:val="000000"/>
          <w:sz w:val="24"/>
        </w:rPr>
        <w:t>road show</w:t>
      </w:r>
      <w:r>
        <w:rPr>
          <w:color w:val="000000"/>
        </w:rPr>
        <w:t>”</w:t>
      </w:r>
      <w:r>
        <w:rPr>
          <w:rFonts w:ascii="Times New Roman;sans-serif" w:hAnsi="Times New Roman;sans-serif"/>
          <w:b w:val="false"/>
          <w:color w:val="000000"/>
          <w:sz w:val="24"/>
        </w:rPr>
        <w:t xml:space="preserve">), or the Prospectus or any amendment or supplement thereto, or any Written-Testing-the-Waters Communication or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any Underwriter furnished to the Company in writing by such Underwriter through you expressly for use therein. </w:t>
      </w:r>
    </w:p>
    <w:p>
      <w:pPr>
        <w:pStyle w:val="TextBody"/>
        <w:spacing w:lineRule="auto" w:line="240" w:before="0" w:after="240"/>
        <w:ind w:left="0" w:right="0" w:firstLine="720"/>
        <w:rPr/>
      </w:pPr>
      <w:r>
        <w:rPr>
          <w:rFonts w:ascii="Times New Roman;sans-serif" w:hAnsi="Times New Roman;sans-serif"/>
          <w:b w:val="false"/>
          <w:color w:val="010000"/>
          <w:sz w:val="24"/>
        </w:rPr>
        <w:t>(a)</w:t>
      </w:r>
      <w:r>
        <w:rPr>
          <w:rFonts w:ascii="Times New Roman;sans-serif" w:hAnsi="Times New Roman;sans-serif"/>
          <w:b w:val="false"/>
          <w:color w:val="000000"/>
          <w:sz w:val="24"/>
        </w:rPr>
        <w:t>The Selling Shareholder agrees to indemnify and hold harmless the Underwriter Indemnitees,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or the Prospectus or any amendment or supplement thereto, or any Written-Testing-the-Waters Communication or caused by any omission or alleged omission to state therein a material fact required to be stated therein or necessary to make the statements therein not misleading, but only with reference to information relating to the Selling Shareholder furnished in writing by or on behalf of the Selling Shareholder expressly for use in the Registration Statement, any preliminary prospectus, the Time of Sale Prospectus, any issuer free writing prospectus, road show or the Prospectus or any amendment or supplement thereto.</w:t>
      </w:r>
    </w:p>
    <w:p>
      <w:pPr>
        <w:pStyle w:val="TextBody"/>
        <w:spacing w:lineRule="auto" w:line="240" w:before="0" w:after="240"/>
        <w:ind w:left="0" w:right="0" w:firstLine="720"/>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Each Underwriter agrees, severally and not jointly, to indemnify and hold harmless the Company, the Selling Shareholder, the directors of the Company, the officers of the Company who sign the Registration Statement and each person, if any, who controls the Company or any Selling Shareholder within the meaning of either Section 15 of the Securities Act or Section 20 of the Exchange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w:t>
      </w:r>
      <w:r>
        <w:br w:type="page"/>
      </w:r>
    </w:p>
    <w:p>
      <w:pPr>
        <w:pStyle w:val="TextBody"/>
        <w:spacing w:before="0" w:after="0"/>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711835"/>
                <wp:effectExtent l="0" t="0" r="0" b="0"/>
                <wp:wrapNone/>
                <wp:docPr id="28" name="Frame28"/>
                <a:graphic xmlns:a="http://schemas.openxmlformats.org/drawingml/2006/main">
                  <a:graphicData uri="http://schemas.microsoft.com/office/word/2010/wordprocessingShape">
                    <wps:wsp>
                      <wps:cNvSpPr txBox="1"/>
                      <wps:spPr>
                        <a:xfrm>
                          <a:off x="0" y="0"/>
                          <a:ext cx="6480175" cy="711835"/>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24</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24</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under the Securities Act, any Company information that the Company has filed, or is required to file, pursuant to Rule 433(d) under the Securities Act, any road show or the Prospectus or any amendment or supplement thereto, or caused by any omission or alleged omission to state therein a material fact required to be stated therein or necessary to make the statements therein not misleading, but only with reference to information relating to such Underwriter furnished to the Company in writing by such Underwriter through you expressly for use in the Registration Statement, any preliminary prospectus, the Time of Sale Prospectus, any issuer free writing prospectus, road show, or the Prospectus or any amendment or supplement thereto, it being understood and agreed that the only such information furnished by any Underwriter consists of the following information: (x) the concession figure appearing in the first paragraph under the caption “Underwriting – Commissions and Discounts”, (y) the information in the second through fourth paragraphs under the heading “Underwriting – Price Stabilization, Short Positions and Penalty Bids” and (z) the information under the heading “Underwriting – Electronic Distribution” in each case contained in the Prospectus.</w:t>
      </w:r>
    </w:p>
    <w:p>
      <w:pPr>
        <w:pStyle w:val="TextBody"/>
        <w:spacing w:lineRule="auto" w:line="240" w:before="0" w:after="240"/>
        <w:ind w:left="0" w:right="0" w:firstLine="720"/>
        <w:rPr/>
      </w:pPr>
      <w:r>
        <w:rPr>
          <w:rFonts w:ascii="Times New Roman;sans-serif" w:hAnsi="Times New Roman;sans-serif"/>
          <w:b w:val="false"/>
          <w:color w:val="010000"/>
          <w:sz w:val="24"/>
        </w:rPr>
        <w:t>(c)</w:t>
      </w:r>
      <w:r>
        <w:rPr>
          <w:rFonts w:ascii="Times New Roman;sans-serif" w:hAnsi="Times New Roman;sans-serif"/>
          <w:b w:val="false"/>
          <w:color w:val="000000"/>
          <w:sz w:val="24"/>
        </w:rPr>
        <w:t>In case any proceeding (including any governmental investigation) shall be instituted involving any person in respect of which indemnity may be sought pursuant to Section 10(a), 10(b) or 10(c), such person (the “</w:t>
      </w:r>
      <w:r>
        <w:rPr>
          <w:rFonts w:ascii="Times New Roman;sans-serif" w:hAnsi="Times New Roman;sans-serif"/>
          <w:b/>
          <w:color w:val="000000"/>
          <w:sz w:val="24"/>
        </w:rPr>
        <w:t>indemnified party</w:t>
      </w:r>
      <w:r>
        <w:rPr>
          <w:color w:val="000000"/>
        </w:rPr>
        <w:t>”</w:t>
      </w:r>
      <w:r>
        <w:rPr>
          <w:rFonts w:ascii="Times New Roman;sans-serif" w:hAnsi="Times New Roman;sans-serif"/>
          <w:b w:val="false"/>
          <w:color w:val="000000"/>
          <w:sz w:val="24"/>
        </w:rPr>
        <w:t>) shall promptly notify the person against whom such indemnity may be sought (the “</w:t>
      </w:r>
      <w:r>
        <w:rPr>
          <w:rFonts w:ascii="Times New Roman;sans-serif" w:hAnsi="Times New Roman;sans-serif"/>
          <w:b/>
          <w:color w:val="000000"/>
          <w:sz w:val="24"/>
        </w:rPr>
        <w:t>indemnifying party</w:t>
      </w:r>
      <w:r>
        <w:rPr>
          <w:color w:val="000000"/>
        </w:rPr>
        <w:t>”</w:t>
      </w:r>
      <w:r>
        <w:rPr>
          <w:rFonts w:ascii="Times New Roman;sans-serif" w:hAnsi="Times New Roman;sans-serif"/>
          <w:b w:val="false"/>
          <w:color w:val="000000"/>
          <w:sz w:val="24"/>
        </w:rPr>
        <w:t xml:space="preserve">)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in writing to the retention of such counsel; (ii) the indemnifying party has failed within a reasonable time to retain counsel reasonably satisfactory to the indemnified party; (iii) the indemnified party shall have reasonably concluded that there may be legal defenses available to it that are different from or in addition to those available to the indemnifying party or (iv)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(i) the fees and expenses of more than one separate firm (in addition to any local counsel) for all such indemnified parties and that all such fees and expenses shall be reimbursed as they are incurred, (ii) the fees and expenses of more than one separate firm (in addition to any local counsel) for the Company, its directors, its officers who sign the Registration Statement and each person, if any, who controls the Company within the meaning of either such Section and (iii) the fees and expenses of more than one separate firm (in addition to any local counsel) for the Selling Shareholder and all persons, if any, who control the Selling Shareholder within the meaning of either such Section. In the case of parties indemnified pursuant to Section 10(a) or 10(b), such separate firm shall be designated in writing by the Representatives. In the case of parties indemnified pursuant to Section 10(c), such separate firm shall be designated in writing by the Company.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w:t>
      </w:r>
      <w:r>
        <w:br w:type="page"/>
      </w:r>
    </w:p>
    <w:p>
      <w:pPr>
        <w:pStyle w:val="TextBody"/>
        <w:spacing w:before="0" w:after="0"/>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711835"/>
                <wp:effectExtent l="0" t="0" r="0" b="0"/>
                <wp:wrapNone/>
                <wp:docPr id="29" name="Frame29"/>
                <a:graphic xmlns:a="http://schemas.openxmlformats.org/drawingml/2006/main">
                  <a:graphicData uri="http://schemas.microsoft.com/office/word/2010/wordprocessingShape">
                    <wps:wsp>
                      <wps:cNvSpPr txBox="1"/>
                      <wps:spPr>
                        <a:xfrm>
                          <a:off x="0" y="0"/>
                          <a:ext cx="6480175" cy="711835"/>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25</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25</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 includes an unconditional release of such indemnified party from all liability on claims that are the subject matter of such proceeding and (ii) does not include a statement as to or an admission of fault, culpability or a failure to act by or on behalf of any indemnified party.</w:t>
      </w:r>
    </w:p>
    <w:p>
      <w:pPr>
        <w:pStyle w:val="TextBody"/>
        <w:spacing w:lineRule="auto" w:line="240" w:before="0" w:after="240"/>
        <w:ind w:left="0" w:right="0" w:firstLine="720"/>
        <w:rPr/>
      </w:pPr>
      <w:r>
        <w:rPr>
          <w:rFonts w:ascii="Times New Roman;sans-serif" w:hAnsi="Times New Roman;sans-serif"/>
          <w:b w:val="false"/>
          <w:color w:val="010000"/>
          <w:sz w:val="24"/>
        </w:rPr>
        <w:t>(d)</w:t>
      </w:r>
      <w:r>
        <w:rPr>
          <w:rFonts w:ascii="Times New Roman;sans-serif" w:hAnsi="Times New Roman;sans-serif"/>
          <w:b w:val="false"/>
          <w:color w:val="000000"/>
          <w:sz w:val="24"/>
        </w:rPr>
        <w:t>To the extent the indemnification provided for in Section 10(a), 10(b) or 10(c)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indemnifying party or parties on the one hand and the indemnified party or parties on the other hand from the offering of the Shares or (ii) if the allocation provided by clause 10(e)(i) above is not permitted by applicable law, in such proportion as is appropriate to reflect not only the relative benefits referred to in clause 10(e)(i) above but also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benefits received by the Sellers on the one hand and the Underwriters on the other hand in connection with the offering of the Shares shall be deemed to be in the same respective proportions as the net proceeds from the offering of the Shares (before deducting expenses) received by the Sellers and the total underwriting discounts and commissions received by the Underwriters, in each case as set forth in the table on the cover of the Prospectus, bear to the aggregate Public Offering Price of the Shares. The relative fault of the Sellers on the one hand and the Underwriters on the other hand shall be determined by reference to, among other things, whether the untrue or alleged untrue statement of a material fact or the omission or alleged omission to state a material fact relates to information supplied by the Sellers or by the Underwriters and the parties’ relative intent, knowledge, access to information and opportunity to correct or prevent such statement or omission. The Underwriters’ respective obligations to contribute pursuant to this Section 10 are several in proportion to the respective number of Shares they have purchased hereunder, and not joint. The liability of the Selling Shareholder under the contribution agreement contained in this paragraph shall be limited to an amount equal to the aggregate Public Offering Price of the Shares sold by the Selling Shareholder under this Agreement.</w:t>
      </w:r>
    </w:p>
    <w:p>
      <w:pPr>
        <w:pStyle w:val="TextBody"/>
        <w:spacing w:lineRule="auto" w:line="240" w:before="0" w:after="240"/>
        <w:ind w:left="0" w:right="0" w:firstLine="720"/>
        <w:rPr/>
      </w:pPr>
      <w:r>
        <w:rPr>
          <w:rFonts w:ascii="Times New Roman;sans-serif" w:hAnsi="Times New Roman;sans-serif"/>
          <w:b w:val="false"/>
          <w:color w:val="010000"/>
          <w:sz w:val="24"/>
        </w:rPr>
        <w:t>(e)</w:t>
      </w:r>
      <w:r>
        <w:rPr>
          <w:rFonts w:ascii="Times New Roman;sans-serif" w:hAnsi="Times New Roman;sans-serif"/>
          <w:b w:val="false"/>
          <w:color w:val="000000"/>
          <w:sz w:val="24"/>
        </w:rPr>
        <w:t xml:space="preserve">The Sellers and the Underwriters agree that it would not be just or equitable if contribution pursuant to this Section 10 were determined by </w:t>
      </w:r>
      <w:r>
        <w:rPr>
          <w:rFonts w:ascii="Times New Roman;sans-serif" w:hAnsi="Times New Roman;sans-serif"/>
          <w:b w:val="false"/>
          <w:i/>
          <w:color w:val="000000"/>
          <w:sz w:val="24"/>
        </w:rPr>
        <w:t>pro rata</w:t>
      </w:r>
      <w:r>
        <w:rPr>
          <w:color w:val="000000"/>
        </w:rPr>
        <w:t xml:space="preserve"> </w:t>
      </w:r>
      <w:r>
        <w:rPr>
          <w:rFonts w:ascii="Times New Roman;sans-serif" w:hAnsi="Times New Roman;sans-serif"/>
          <w:b w:val="false"/>
          <w:color w:val="000000"/>
          <w:sz w:val="24"/>
        </w:rPr>
        <w:t xml:space="preserve">allocation (even if the Underwriters were treated as one entity for such purpose) or by any other method of allocation that does not take account of the equitable considerations referred to in Section 10(e). The amount paid or payable by an indemnified party as a result of the losses, claims, damages and liabilities referred to in Section 10(e) shall be deemed to include, subject to the limitations set forth above, any legal or other expenses reasonably incurred by such indemnified party in connection with investigating or defending any such action or claim. Notwithstanding the provisions of this Section 10,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w:t>
      </w:r>
      <w:r>
        <w:br w:type="page"/>
      </w:r>
    </w:p>
    <w:p>
      <w:pPr>
        <w:pStyle w:val="TextBody"/>
        <w:spacing w:before="0" w:after="0"/>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11835"/>
                <wp:effectExtent l="0" t="0" r="0" b="0"/>
                <wp:wrapNone/>
                <wp:docPr id="30" name="Frame30"/>
                <a:graphic xmlns:a="http://schemas.openxmlformats.org/drawingml/2006/main">
                  <a:graphicData uri="http://schemas.microsoft.com/office/word/2010/wordprocessingShape">
                    <wps:wsp>
                      <wps:cNvSpPr txBox="1"/>
                      <wps:spPr>
                        <a:xfrm>
                          <a:off x="0" y="0"/>
                          <a:ext cx="6480175" cy="711835"/>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26</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26</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any person who was not guilty of such fraudulent misrepresentation. The remedies provided for in this Section 9 are not exclusive and shall not limit any rights or remedies which may otherwise be available to any indemnified party at law or in equity.</w:t>
      </w:r>
    </w:p>
    <w:p>
      <w:pPr>
        <w:pStyle w:val="TextBody"/>
        <w:spacing w:lineRule="auto" w:line="240" w:before="0" w:after="240"/>
        <w:ind w:left="0" w:right="0" w:firstLine="720"/>
        <w:rPr/>
      </w:pPr>
      <w:r>
        <w:rPr>
          <w:rFonts w:ascii="Times New Roman;sans-serif" w:hAnsi="Times New Roman;sans-serif"/>
          <w:b w:val="false"/>
          <w:color w:val="010000"/>
          <w:sz w:val="24"/>
        </w:rPr>
        <w:t>(f)</w:t>
      </w:r>
      <w:r>
        <w:rPr>
          <w:rFonts w:ascii="Times New Roman;sans-serif" w:hAnsi="Times New Roman;sans-serif"/>
          <w:b w:val="false"/>
          <w:color w:val="000000"/>
          <w:sz w:val="24"/>
        </w:rPr>
        <w:t>The indemnity and contribution provisions contained in this Section 10 and the representations, warranties and other statements of the Company and the Selling Shareholder contained in this Agreement shall remain operative and in full force and effect regardless of (i) any termination of this Agreement, (ii) any investigation made by or on behalf of any Underwriter, any person controlling any Underwriter or any affiliate of any Underwriter, by or on behalf of the Company, its officers or directors or any person controlling the Company or by or on behalf any Selling Shareholder or any person controlling any Selling Shareholder and (iii) acceptance of and payment for any of the Shares.</w:t>
      </w:r>
    </w:p>
    <w:p>
      <w:pPr>
        <w:pStyle w:val="TextBody"/>
        <w:spacing w:lineRule="auto" w:line="240" w:before="0" w:after="240"/>
        <w:ind w:left="0" w:right="0" w:firstLine="720"/>
        <w:rPr/>
      </w:pPr>
      <w:r>
        <w:rPr>
          <w:rFonts w:ascii="Times New Roman;sans-serif" w:hAnsi="Times New Roman;sans-serif"/>
          <w:b w:val="false"/>
          <w:color w:val="010000"/>
          <w:sz w:val="24"/>
        </w:rPr>
        <w:t>11.</w:t>
      </w:r>
      <w:r>
        <w:rPr>
          <w:rFonts w:ascii="Times New Roman;sans-serif" w:hAnsi="Times New Roman;sans-serif"/>
          <w:b w:val="false"/>
          <w:i/>
          <w:color w:val="000000"/>
          <w:sz w:val="24"/>
        </w:rPr>
        <w:t>Termination</w:t>
      </w:r>
      <w:r>
        <w:rPr>
          <w:rFonts w:ascii="Times New Roman;sans-serif" w:hAnsi="Times New Roman;sans-serif"/>
          <w:b w:val="false"/>
          <w:color w:val="000000"/>
          <w:sz w:val="24"/>
        </w:rPr>
        <w:t>. The Underwriters may terminate this Agreement by notice given by you to the Company, if after the execution and delivery of this Agreement and prior to the Closing Date or any Option Closing Date, as the case may be, (i) trading generally shall have been suspended or materially limited on, or by, as the case may be, any of the New York Stock Exchange, the NYSE MKT, the Nasdaq Global Market, or other relevant exchanges,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your judgment, is material and adverse and which, singly or together with any other event specified in this clause (v), makes it, in your judgment, impracticable or inadvisable to proceed with the offer, sale or delivery of the Shares on the terms and in the manner contemplated in the Time of Sale Prospectus or the Prospectus. In the event the offering is not completed according to the terms of this Agreement, expenses reimbursable under Section 7(n) shall be limited to accountable expenses actually incurred by the Underwriters.</w:t>
      </w:r>
    </w:p>
    <w:p>
      <w:pPr>
        <w:pStyle w:val="TextBody"/>
        <w:spacing w:lineRule="auto" w:line="240" w:before="0" w:after="240"/>
        <w:ind w:left="0" w:right="0" w:firstLine="720"/>
        <w:rPr/>
      </w:pPr>
      <w:r>
        <w:rPr>
          <w:rFonts w:ascii="Times New Roman;sans-serif" w:hAnsi="Times New Roman;sans-serif"/>
          <w:b w:val="false"/>
          <w:color w:val="010000"/>
          <w:sz w:val="24"/>
        </w:rPr>
        <w:t>12.</w:t>
      </w:r>
      <w:r>
        <w:rPr>
          <w:rFonts w:ascii="Times New Roman;sans-serif" w:hAnsi="Times New Roman;sans-serif"/>
          <w:b w:val="false"/>
          <w:i/>
          <w:color w:val="000000"/>
          <w:sz w:val="24"/>
        </w:rPr>
        <w:t>Effectiveness; Defaulting Underwriters</w:t>
      </w:r>
      <w:r>
        <w:rPr>
          <w:rFonts w:ascii="Times New Roman;sans-serif" w:hAnsi="Times New Roman;sans-serif"/>
          <w:b w:val="false"/>
          <w:color w:val="000000"/>
          <w:sz w:val="24"/>
        </w:rPr>
        <w:t>. This Agreement shall become effective upon the execution and delivery hereof by the parties hereto.</w:t>
      </w:r>
    </w:p>
    <w:p>
      <w:pPr>
        <w:pStyle w:val="TextBody"/>
        <w:spacing w:lineRule="auto" w:line="240" w:before="0" w:after="240"/>
        <w:ind w:left="0" w:right="0" w:firstLine="720"/>
        <w:rPr/>
      </w:pPr>
      <w:r>
        <w:rPr>
          <w:rFonts w:ascii="Times New Roman;sans-serif" w:hAnsi="Times New Roman;sans-serif"/>
          <w:b w:val="false"/>
          <w:color w:val="000000"/>
          <w:sz w:val="24"/>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II bears to the aggregate number of Firm Shares set forth opposite the names of all such non-defaulting Underwriters, or in such other proportions as you may specify, to purchase the Shares which such defaulting Underwriter or Underwriters agreed but failed or refused to purchase on such date;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in no event shall the number of Shares that any Underwriter has agreed to purchase pursuant to this Agreement be increased pursuant to this Section 12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you, the Company and the Selling Shareholder for the purchase of such Firm Shares are not made within 36 hours after such default, this Agreement shall terminate without liability on the part of any non-defaulting Underwriter, the Company or the Selling Shareholder. In any such case either you or the relevant Sellers shall have the right to postpone the Closing Date, but in no event for longer than </w:t>
      </w:r>
      <w:r>
        <w:br w:type="page"/>
      </w:r>
    </w:p>
    <w:p>
      <w:pPr>
        <w:pStyle w:val="TextBody"/>
        <w:spacing w:before="0" w:after="0"/>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711835"/>
                <wp:effectExtent l="0" t="0" r="0" b="0"/>
                <wp:wrapNone/>
                <wp:docPr id="31" name="Frame31"/>
                <a:graphic xmlns:a="http://schemas.openxmlformats.org/drawingml/2006/main">
                  <a:graphicData uri="http://schemas.microsoft.com/office/word/2010/wordprocessingShape">
                    <wps:wsp>
                      <wps:cNvSpPr txBox="1"/>
                      <wps:spPr>
                        <a:xfrm>
                          <a:off x="0" y="0"/>
                          <a:ext cx="6480175" cy="711835"/>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27</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27</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If this Agreement shall be terminated by the Underwriters, or any of them, because of any failure or refusal on the part of any Seller to comply with the terms or to fulfill any of the conditions of this Agreement, or if for any reason any Seller shall be unable to perform its obligations under this Agreement (which, for purposes of this Section 12, shall not include termination by the Underwriters under items (i), (iii), (iv) or (v) of Section 11), then (a) prior to the Closing Date, the Company and any Seller that has failed to perform under this Agreement,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 or (b) after the Closing Date but prior to any Option Closing Date with respect to the purchase of any Additional Shares pursuant to a notice delivered by the Representatives to the Company under Section 3 hereof,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the proposed purchase of any such Additional Shares pursuant to this Agreement or the offering contemplated hereunder.</w:t>
      </w:r>
    </w:p>
    <w:p>
      <w:pPr>
        <w:pStyle w:val="TextBody"/>
        <w:spacing w:lineRule="auto" w:line="240" w:before="0" w:after="240"/>
        <w:ind w:left="0" w:right="0" w:firstLine="720"/>
        <w:rPr/>
      </w:pPr>
      <w:r>
        <w:rPr>
          <w:rFonts w:ascii="Times New Roman;sans-serif" w:hAnsi="Times New Roman;sans-serif"/>
          <w:b w:val="false"/>
          <w:color w:val="010000"/>
          <w:sz w:val="24"/>
        </w:rPr>
        <w:t>13.</w:t>
      </w:r>
      <w:r>
        <w:rPr>
          <w:rFonts w:ascii="Times New Roman;sans-serif" w:hAnsi="Times New Roman;sans-serif"/>
          <w:b w:val="false"/>
          <w:i/>
          <w:color w:val="000000"/>
          <w:sz w:val="24"/>
        </w:rPr>
        <w:t>Entire Agreement</w:t>
      </w:r>
      <w:r>
        <w:rPr>
          <w:rFonts w:ascii="Times New Roman;sans-serif" w:hAnsi="Times New Roman;sans-serif"/>
          <w:b w:val="false"/>
          <w:color w:val="000000"/>
          <w:sz w:val="24"/>
        </w:rPr>
        <w:t>. (a) This Agreement, together with any contemporaneous written agreements and any prior written agreements (to the extent not superseded by this Agreement) that relate to the offering of the Shares, represents the entire agreement between the Company and the Selling Shareholder, on the one hand, and the Underwriters, on the other, with respect to the preparation of any preliminary prospectus, the Time of Sale Prospectus, the Prospectus, the conduct of the offering, and the purchase and sale of the Shares.</w:t>
      </w:r>
    </w:p>
    <w:p>
      <w:pPr>
        <w:pStyle w:val="TextBody"/>
        <w:spacing w:lineRule="auto" w:line="240" w:before="0" w:after="240"/>
        <w:ind w:left="0" w:right="0" w:firstLine="720"/>
        <w:rPr/>
      </w:pPr>
      <w:r>
        <w:rPr>
          <w:rFonts w:ascii="Times New Roman;sans-serif" w:hAnsi="Times New Roman;sans-serif"/>
          <w:b w:val="false"/>
          <w:color w:val="010000"/>
          <w:sz w:val="24"/>
        </w:rPr>
        <w:t>(a)</w:t>
      </w:r>
      <w:r>
        <w:rPr>
          <w:rFonts w:ascii="Times New Roman;sans-serif" w:hAnsi="Times New Roman;sans-serif"/>
          <w:b w:val="false"/>
          <w:color w:val="000000"/>
          <w:sz w:val="24"/>
        </w:rPr>
        <w:t>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and prior written agreements (to the extent not superseded by this Agreement), if any, (iii) the Underwriters may have interests that differ from those of the Company, and (iv) none of the activities of the Underwriters in connection with the transactions contemplated herein constitutes a recommendation, investment advice, or solicitation of any action by the Underwriters with respect to any entity or natural person. The Company waives to the full extent permitted by applicable law any claims it may have against the Underwriters arising from an alleged breach of fiduciary duty in connection with the offering of the Shares.</w:t>
      </w:r>
    </w:p>
    <w:p>
      <w:pPr>
        <w:pStyle w:val="TextBody"/>
        <w:spacing w:lineRule="auto" w:line="240" w:before="0" w:after="240"/>
        <w:ind w:left="0" w:right="0" w:firstLine="720"/>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The Selling Shareholder further acknowledges and agrees that, although the Underwriters may provide the Selling Shareholder with certain Regulation Best Interest and Form CRS disclosures or other related documentation in connection with the offering, the Underwriters are not making a recommendation to the Selling Shareholder to participate in the </w:t>
      </w:r>
      <w:r>
        <w:br w:type="page"/>
      </w:r>
    </w:p>
    <w:p>
      <w:pPr>
        <w:pStyle w:val="TextBody"/>
        <w:spacing w:before="0" w:after="0"/>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711835"/>
                <wp:effectExtent l="0" t="0" r="0" b="0"/>
                <wp:wrapNone/>
                <wp:docPr id="32" name="Frame32"/>
                <a:graphic xmlns:a="http://schemas.openxmlformats.org/drawingml/2006/main">
                  <a:graphicData uri="http://schemas.microsoft.com/office/word/2010/wordprocessingShape">
                    <wps:wsp>
                      <wps:cNvSpPr txBox="1"/>
                      <wps:spPr>
                        <a:xfrm>
                          <a:off x="0" y="0"/>
                          <a:ext cx="6480175" cy="711835"/>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28</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28</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offering or sell any Shares at the Purchase Price, and nothing set forth in such disclosures or documentation is intended to suggest that any Underwriter is making such a recommendation.</w:t>
      </w:r>
    </w:p>
    <w:p>
      <w:pPr>
        <w:pStyle w:val="TextBody"/>
        <w:spacing w:lineRule="auto" w:line="240" w:before="0" w:after="240"/>
        <w:ind w:left="0" w:right="0" w:firstLine="720"/>
        <w:rPr/>
      </w:pPr>
      <w:r>
        <w:rPr>
          <w:rFonts w:ascii="Times New Roman;sans-serif" w:hAnsi="Times New Roman;sans-serif"/>
          <w:b w:val="false"/>
          <w:color w:val="010000"/>
          <w:sz w:val="24"/>
        </w:rPr>
        <w:t>14.</w:t>
      </w:r>
      <w:r>
        <w:rPr>
          <w:rFonts w:ascii="Times New Roman;sans-serif" w:hAnsi="Times New Roman;sans-serif"/>
          <w:b w:val="false"/>
          <w:i/>
          <w:color w:val="000000"/>
          <w:sz w:val="24"/>
        </w:rPr>
        <w:t xml:space="preserve">Recognition of the U.S. Special Resolution Regimes. </w:t>
      </w:r>
      <w:r>
        <w:rPr>
          <w:rFonts w:ascii="Times New Roman;sans-serif" w:hAnsi="Times New Roman;sans-serif"/>
          <w:b w:val="false"/>
          <w:color w:val="000000"/>
          <w:sz w:val="24"/>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w:t>
      </w:r>
    </w:p>
    <w:p>
      <w:pPr>
        <w:pStyle w:val="TextBody"/>
        <w:spacing w:lineRule="auto" w:line="240" w:before="0" w:after="240"/>
        <w:ind w:left="0" w:right="0" w:firstLine="720"/>
        <w:rPr/>
      </w:pPr>
      <w:r>
        <w:rPr>
          <w:rFonts w:ascii="Times New Roman;sans-serif" w:hAnsi="Times New Roman;sans-serif"/>
          <w:b w:val="false"/>
          <w:color w:val="010000"/>
          <w:sz w:val="24"/>
        </w:rPr>
        <w:t>(a)</w:t>
      </w:r>
      <w:r>
        <w:rPr>
          <w:rFonts w:ascii="Times New Roman;sans-serif" w:hAnsi="Times New Roman;sans-serif"/>
          <w:b w:val="false"/>
          <w:color w:val="000000"/>
          <w:sz w:val="24"/>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spacing w:lineRule="auto" w:line="240" w:before="0" w:after="240"/>
        <w:rPr/>
      </w:pPr>
      <w:r>
        <w:rPr>
          <w:color w:val="000000"/>
        </w:rPr>
        <w:t>    </w:t>
      </w:r>
      <w:r>
        <w:rPr>
          <w:rFonts w:ascii="Times New Roman;sans-serif" w:hAnsi="Times New Roman;sans-serif"/>
          <w:b w:val="false"/>
          <w:color w:val="000000"/>
          <w:sz w:val="24"/>
        </w:rPr>
        <w:t>For purposes of this Section a “</w:t>
      </w:r>
      <w:r>
        <w:rPr>
          <w:rFonts w:ascii="Times New Roman;sans-serif" w:hAnsi="Times New Roman;sans-serif"/>
          <w:b/>
          <w:color w:val="000000"/>
          <w:sz w:val="24"/>
        </w:rPr>
        <w:t>BHC Act Affiliate</w:t>
      </w:r>
      <w:r>
        <w:rPr>
          <w:color w:val="000000"/>
        </w:rPr>
        <w:t xml:space="preserve">” </w:t>
      </w:r>
      <w:r>
        <w:rPr>
          <w:rFonts w:ascii="Times New Roman;sans-serif" w:hAnsi="Times New Roman;sans-serif"/>
          <w:b w:val="false"/>
          <w:color w:val="000000"/>
          <w:sz w:val="24"/>
        </w:rPr>
        <w:t>has the meaning assigned to the term “affiliate” in, and shall be interpreted in accordance with, 12 U.S.C. § 1841(k). “</w:t>
      </w:r>
      <w:r>
        <w:rPr>
          <w:rFonts w:ascii="Times New Roman;sans-serif" w:hAnsi="Times New Roman;sans-serif"/>
          <w:b/>
          <w:color w:val="000000"/>
          <w:sz w:val="24"/>
        </w:rPr>
        <w:t>Covered Entity</w:t>
      </w:r>
      <w:r>
        <w:rPr>
          <w:color w:val="000000"/>
        </w:rPr>
        <w:t xml:space="preserve">” </w:t>
      </w:r>
      <w:r>
        <w:rPr>
          <w:rFonts w:ascii="Times New Roman;sans-serif" w:hAnsi="Times New Roman;sans-serif"/>
          <w:b w:val="false"/>
          <w:color w:val="000000"/>
          <w:sz w:val="24"/>
        </w:rPr>
        <w:t>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sans-serif" w:hAnsi="Times New Roman;sans-serif"/>
          <w:b/>
          <w:color w:val="000000"/>
          <w:sz w:val="24"/>
        </w:rPr>
        <w:t>Default Right</w:t>
      </w:r>
      <w:r>
        <w:rPr>
          <w:color w:val="000000"/>
        </w:rPr>
        <w:t xml:space="preserve">” </w:t>
      </w:r>
      <w:r>
        <w:rPr>
          <w:rFonts w:ascii="Times New Roman;sans-serif" w:hAnsi="Times New Roman;sans-serif"/>
          <w:b w:val="false"/>
          <w:color w:val="000000"/>
          <w:sz w:val="24"/>
        </w:rPr>
        <w:t>has the meaning assigned to that term in, and shall be interpreted in accordance with, 12 C.F.R. §§ 252.81, 47.2 or 382.1, as applicable. “</w:t>
      </w:r>
      <w:r>
        <w:rPr>
          <w:rFonts w:ascii="Times New Roman;sans-serif" w:hAnsi="Times New Roman;sans-serif"/>
          <w:b/>
          <w:color w:val="000000"/>
          <w:sz w:val="24"/>
        </w:rPr>
        <w:t>U.S. Special Resolution Regime</w:t>
      </w:r>
      <w:r>
        <w:rPr>
          <w:color w:val="000000"/>
        </w:rPr>
        <w:t xml:space="preserve">” </w:t>
      </w:r>
      <w:r>
        <w:rPr>
          <w:rFonts w:ascii="Times New Roman;sans-serif" w:hAnsi="Times New Roman;sans-serif"/>
          <w:b w:val="false"/>
          <w:color w:val="000000"/>
          <w:sz w:val="24"/>
        </w:rPr>
        <w:t>means each of (i) the Federal Deposit Insurance Act and the regulations promulgated thereunder and (ii) Title II of the Dodd-Frank Wall Street Reform and Consumer Protection Act and the regulations promulgated thereunder.</w:t>
      </w:r>
    </w:p>
    <w:p>
      <w:pPr>
        <w:pStyle w:val="TextBody"/>
        <w:spacing w:lineRule="auto" w:line="240" w:before="0" w:after="240"/>
        <w:ind w:left="0" w:right="0" w:firstLine="720"/>
        <w:rPr/>
      </w:pPr>
      <w:r>
        <w:rPr>
          <w:rFonts w:ascii="Times New Roman;sans-serif" w:hAnsi="Times New Roman;sans-serif"/>
          <w:b w:val="false"/>
          <w:color w:val="010000"/>
          <w:sz w:val="24"/>
        </w:rPr>
        <w:t>15.</w:t>
      </w:r>
      <w:r>
        <w:rPr>
          <w:rFonts w:ascii="Times New Roman;sans-serif" w:hAnsi="Times New Roman;sans-serif"/>
          <w:b w:val="false"/>
          <w:i/>
          <w:color w:val="000000"/>
          <w:sz w:val="24"/>
        </w:rPr>
        <w:t>Counterparts</w:t>
      </w:r>
      <w:r>
        <w:rPr>
          <w:rFonts w:ascii="Times New Roman;sans-serif" w:hAnsi="Times New Roman;sans-serif"/>
          <w:b w:val="false"/>
          <w:color w:val="000000"/>
          <w:sz w:val="24"/>
        </w:rPr>
        <w:t xml:space="preserve">. This Agreement may be signed in two or more counterparts, each of which shall be an original, with the same effect as if the signatures thereto and hereto were upon the same instrument. Counterparts may be delivered via facsimile, electronic mail (including any electronic signature covered by the U.S. federal ESIGN Act of 2000, Uniform Electronic Transactions Act, the Electronic Signatures and Records Act or other applicable law, e.g., </w:t>
      </w:r>
      <w:r>
        <w:rPr>
          <w:rFonts w:ascii="Times New Roman;sans-serif" w:hAnsi="Times New Roman;sans-serif"/>
          <w:b w:val="false"/>
          <w:color w:val="000000"/>
          <w:sz w:val="24"/>
          <w:u w:val="single"/>
        </w:rPr>
        <w:t>www.docusign.com</w:t>
      </w:r>
      <w:r>
        <w:rPr>
          <w:rFonts w:ascii="Times New Roman;sans-serif" w:hAnsi="Times New Roman;sans-serif"/>
          <w:b w:val="false"/>
          <w:color w:val="000000"/>
          <w:sz w:val="24"/>
        </w:rPr>
        <w:t>) or other transmission method and any counterpart so delivered shall be deemed to have been duly and validly delivered and be valid and effective for all purposes.</w:t>
      </w:r>
    </w:p>
    <w:p>
      <w:pPr>
        <w:pStyle w:val="TextBody"/>
        <w:spacing w:lineRule="auto" w:line="240" w:before="0" w:after="240"/>
        <w:ind w:left="0" w:right="0" w:firstLine="720"/>
        <w:rPr/>
      </w:pPr>
      <w:r>
        <w:rPr>
          <w:rFonts w:ascii="Times New Roman;sans-serif" w:hAnsi="Times New Roman;sans-serif"/>
          <w:b w:val="false"/>
          <w:color w:val="010000"/>
          <w:sz w:val="24"/>
        </w:rPr>
        <w:t>16.</w:t>
      </w:r>
      <w:r>
        <w:rPr>
          <w:rFonts w:ascii="Times New Roman;sans-serif" w:hAnsi="Times New Roman;sans-serif"/>
          <w:b w:val="false"/>
          <w:i/>
          <w:color w:val="000000"/>
          <w:sz w:val="24"/>
        </w:rPr>
        <w:t>Applicable Law</w:t>
      </w:r>
      <w:r>
        <w:rPr>
          <w:rFonts w:ascii="Times New Roman;sans-serif" w:hAnsi="Times New Roman;sans-serif"/>
          <w:b w:val="false"/>
          <w:color w:val="000000"/>
          <w:sz w:val="24"/>
        </w:rPr>
        <w:t>. This Agreement and any claim, controversy or dispute arising under or related to this Agreement shall be governed by and construed in accordance with the internal laws of the State of New York. The Company irrevocably submits to the non-exclusive jurisdiction of any New York State or United States Federal court sitting in The City of New York over any suit, action or proceeding arising out of or relating to this Agreement, the Prospectus, the Registration Statement or the offering of the Shares (each, a “</w:t>
      </w:r>
      <w:r>
        <w:rPr>
          <w:rFonts w:ascii="Times New Roman;sans-serif" w:hAnsi="Times New Roman;sans-serif"/>
          <w:b/>
          <w:color w:val="000000"/>
          <w:sz w:val="24"/>
        </w:rPr>
        <w:t>Related Proceeding</w:t>
      </w:r>
      <w:r>
        <w:rPr>
          <w:color w:val="000000"/>
        </w:rPr>
        <w:t>”</w:t>
      </w:r>
      <w:r>
        <w:rPr>
          <w:rFonts w:ascii="Times New Roman;sans-serif" w:hAnsi="Times New Roman;sans-serif"/>
          <w:b w:val="false"/>
          <w:color w:val="000000"/>
          <w:sz w:val="24"/>
        </w:rPr>
        <w:t>). The Company irrevocably waives, to the fullest extent permitted by law, any objection which it may now or hereafter have to the laying of venue of any Related Proceeding brought in such a court and any claim that any such Related Proceeding brought in such a court has been brought in an inconvenient forum. To the extent that the Company has or hereafter may acquire any immunity (on the grounds of sovereignty or otherwise) from the jurisdiction of any court or from any legal process with respect to itself or its property, the Company irrevocably waives, to the fullest extent permitted by law, such immunity in respect of any such suit, action or proceeding.</w:t>
      </w:r>
      <w:r>
        <w:br w:type="page"/>
      </w:r>
    </w:p>
    <w:p>
      <w:pPr>
        <w:pStyle w:val="TextBody"/>
        <w:spacing w:before="0" w:after="0"/>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711835"/>
                <wp:effectExtent l="0" t="0" r="0" b="0"/>
                <wp:wrapNone/>
                <wp:docPr id="33" name="Frame33"/>
                <a:graphic xmlns:a="http://schemas.openxmlformats.org/drawingml/2006/main">
                  <a:graphicData uri="http://schemas.microsoft.com/office/word/2010/wordprocessingShape">
                    <wps:wsp>
                      <wps:cNvSpPr txBox="1"/>
                      <wps:spPr>
                        <a:xfrm>
                          <a:off x="0" y="0"/>
                          <a:ext cx="6480175" cy="711835"/>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29</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29</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v:textbox>
              </v:rect>
            </w:pict>
          </mc:Fallback>
        </mc:AlternateContent>
      </w:r>
    </w:p>
    <w:p>
      <w:pPr>
        <w:pStyle w:val="TextBody"/>
        <w:spacing w:lineRule="auto" w:line="240" w:before="0" w:after="240"/>
        <w:ind w:left="0" w:right="0" w:firstLine="720"/>
        <w:rPr/>
      </w:pPr>
      <w:r>
        <w:rPr>
          <w:rFonts w:ascii="Times New Roman;sans-serif" w:hAnsi="Times New Roman;sans-serif"/>
          <w:b w:val="false"/>
          <w:color w:val="010000"/>
          <w:sz w:val="24"/>
        </w:rPr>
        <w:t>17.</w:t>
      </w:r>
      <w:r>
        <w:rPr>
          <w:rFonts w:ascii="Times New Roman;sans-serif" w:hAnsi="Times New Roman;sans-serif"/>
          <w:b w:val="false"/>
          <w:i/>
          <w:color w:val="000000"/>
          <w:sz w:val="24"/>
        </w:rPr>
        <w:t>Headings</w:t>
      </w:r>
      <w:r>
        <w:rPr>
          <w:rFonts w:ascii="Times New Roman;sans-serif" w:hAnsi="Times New Roman;sans-serif"/>
          <w:b w:val="false"/>
          <w:color w:val="000000"/>
          <w:sz w:val="24"/>
        </w:rPr>
        <w:t>. The headings of the sections of this Agreement have been inserted for convenience of reference only and shall not be deemed a part of this Agreement.</w:t>
      </w:r>
    </w:p>
    <w:p>
      <w:pPr>
        <w:pStyle w:val="TextBody"/>
        <w:spacing w:lineRule="auto" w:line="240" w:before="0" w:after="240"/>
        <w:ind w:left="0" w:right="0" w:firstLine="720"/>
        <w:rPr/>
      </w:pPr>
      <w:r>
        <w:rPr>
          <w:rFonts w:ascii="Times New Roman;sans-serif" w:hAnsi="Times New Roman;sans-serif"/>
          <w:b w:val="false"/>
          <w:color w:val="010000"/>
          <w:sz w:val="24"/>
        </w:rPr>
        <w:t>18.</w:t>
      </w:r>
      <w:r>
        <w:rPr>
          <w:rFonts w:ascii="Times New Roman;sans-serif" w:hAnsi="Times New Roman;sans-serif"/>
          <w:b w:val="false"/>
          <w:i/>
          <w:color w:val="000000"/>
          <w:sz w:val="24"/>
        </w:rPr>
        <w:t xml:space="preserve">Notices. </w:t>
      </w:r>
      <w:r>
        <w:rPr>
          <w:rFonts w:ascii="Times New Roman;sans-serif" w:hAnsi="Times New Roman;sans-serif"/>
          <w:b w:val="false"/>
          <w:color w:val="000000"/>
          <w:sz w:val="24"/>
        </w:rPr>
        <w:t>All communications hereunder shall be in writing and effective only upon receipt and if to the Underwriters shall be delivered, mailed or sent to you in care of Morgan Stanley &amp; Co. LLC, 1585 Broadway, New York, New York 10036, Attention: Equity Syndicate Desk, with a copy to the Legal Department; and in care of BofA Securities, One Bryant Park, New York, New York 10036, Attention: Syndicate Department (email: dg.ecm_execution_services@bofa.com), with a copy to ECM Legal (email: dg.ecm_legal@bofa.com; in care of Morgan Stanley &amp; Co. LLC, 1585 Broadway, New York, New York 10036, Attention: Equity Syndicate Desk, with a copy to the Legal Department; in care of Jefferies LLC, 520 Madison Avenue, New York, New York 10022, Attention: General Counsel (facsimile: (646) 619-4437); if to the Company shall be delivered, mailed or sent to 471 El Camino Real, Suite 101, Santa Clara, California 95050; and if to the Selling Shareholder shall be delivered, mailed or sent to Jeffrey W. Dunn, c/o SI-BONE, Inc., 471 El Camino Real, Suite 101, Santa Clara, California 95050.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11835"/>
                <wp:effectExtent l="0" t="0" r="0" b="0"/>
                <wp:wrapNone/>
                <wp:docPr id="34" name="Frame34"/>
                <a:graphic xmlns:a="http://schemas.openxmlformats.org/drawingml/2006/main">
                  <a:graphicData uri="http://schemas.microsoft.com/office/word/2010/wordprocessingShape">
                    <wps:wsp>
                      <wps:cNvSpPr txBox="1"/>
                      <wps:spPr>
                        <a:xfrm>
                          <a:off x="0" y="0"/>
                          <a:ext cx="6480175" cy="711835"/>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30</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30</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v:textbox>
              </v:rect>
            </w:pict>
          </mc:Fallback>
        </mc:AlternateContent>
      </w:r>
    </w:p>
    <w:p>
      <w:pPr>
        <w:pStyle w:val="TextBody"/>
        <w:spacing w:before="0" w:after="240"/>
        <w:ind w:left="0" w:right="0" w:firstLine="720"/>
        <w:rPr/>
      </w:pPr>
      <w:r>
        <w:rPr/>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p>
      <w:pPr>
        <w:pStyle w:val="TextBody"/>
        <w:spacing w:lineRule="auto" w:line="240" w:before="0" w:after="480"/>
        <w:rPr>
          <w:rFonts w:ascii="Times New Roman;sans-serif" w:hAnsi="Times New Roman;sans-serif"/>
          <w:b w:val="false"/>
          <w:color w:val="000000"/>
          <w:sz w:val="24"/>
        </w:rPr>
      </w:pPr>
      <w:r>
        <w:rPr>
          <w:rFonts w:ascii="Times New Roman;sans-serif" w:hAnsi="Times New Roman;sans-serif"/>
          <w:b w:val="false"/>
          <w:color w:val="000000"/>
          <w:sz w:val="24"/>
        </w:rPr>
        <w:t>SI-BONE, Inc.</w:t>
      </w:r>
    </w:p>
    <w:p>
      <w:pPr>
        <w:pStyle w:val="TextBody"/>
        <w:spacing w:lineRule="auto" w:line="240" w:before="0" w:after="0"/>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Laura Francis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Laura Francis</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Title: Chief Executive Officer</w:t>
      </w:r>
    </w:p>
    <w:p>
      <w:pPr>
        <w:pStyle w:val="TextBody"/>
        <w:spacing w:before="0" w:after="0"/>
        <w:rPr/>
      </w:pPr>
      <w:r>
        <w:rPr/>
      </w:r>
    </w:p>
    <w:p>
      <w:pPr>
        <w:pStyle w:val="TextBody"/>
        <w:spacing w:before="0" w:after="0"/>
        <w:rPr/>
      </w:pPr>
      <w:r>
        <w:rPr/>
      </w:r>
    </w:p>
    <w:p>
      <w:pPr>
        <w:pStyle w:val="TextBody"/>
        <w:spacing w:lineRule="auto" w:line="240" w:before="0" w:after="480"/>
        <w:rPr>
          <w:rFonts w:ascii="Times New Roman;sans-serif" w:hAnsi="Times New Roman;sans-serif"/>
          <w:b w:val="false"/>
          <w:color w:val="000000"/>
          <w:sz w:val="24"/>
        </w:rPr>
      </w:pPr>
      <w:r>
        <w:rPr>
          <w:rFonts w:ascii="Times New Roman;sans-serif" w:hAnsi="Times New Roman;sans-serif"/>
          <w:b w:val="false"/>
          <w:color w:val="000000"/>
          <w:sz w:val="24"/>
        </w:rPr>
        <w:t>The Selling Shareholder named in Schedule I hereto, acting severally</w:t>
      </w:r>
    </w:p>
    <w:p>
      <w:pPr>
        <w:pStyle w:val="TextBody"/>
        <w:spacing w:lineRule="auto" w:line="240" w:before="0" w:after="0"/>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Jeffrey W. Dunn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Jeffrey W. Dunn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770255"/>
                <wp:effectExtent l="0" t="0" r="0" b="0"/>
                <wp:wrapNone/>
                <wp:docPr id="35" name="Frame35"/>
                <a:graphic xmlns:a="http://schemas.openxmlformats.org/drawingml/2006/main">
                  <a:graphicData uri="http://schemas.microsoft.com/office/word/2010/wordprocessingShape">
                    <wps:wsp>
                      <wps:cNvSpPr txBox="1"/>
                      <wps:spPr>
                        <a:xfrm>
                          <a:off x="0" y="0"/>
                          <a:ext cx="6480175" cy="770255"/>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Underwriting Agreement]</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Underwriting Agreement]</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before="0" w:after="283"/>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Accepted as of the date hereof</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BofA Securities, Inc.</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Morgan Stanley &amp; Co. LLC</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Jefferies LLC </w:t>
      </w:r>
    </w:p>
    <w:p>
      <w:pPr>
        <w:pStyle w:val="TextBody"/>
        <w:spacing w:before="0" w:after="0"/>
        <w:rPr/>
      </w:pPr>
      <w:r>
        <w:rPr/>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Acting severally on behalf of themselves and the</w:t>
        <w:br/>
        <w:t>several Underwriters named in Schedule II hereto</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By: BofA Securities, Inc. </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Milton Hsu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Milton Hsu</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Title: Managing Director</w:t>
      </w:r>
    </w:p>
    <w:p>
      <w:pPr>
        <w:pStyle w:val="TextBody"/>
        <w:spacing w:before="0" w:after="24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By: Morgan Stanley &amp; Co. LLC </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Daniel Hernandez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Daniel Hernandez</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p>
      <w:pPr>
        <w:pStyle w:val="TextBody"/>
        <w:spacing w:before="0" w:after="24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By: Jefferies LLC </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Leo Reif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Leo Reif</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Title: Global Head of Medical Technology</w:t>
      </w:r>
    </w:p>
    <w:p>
      <w:pPr>
        <w:pStyle w:val="TextBody"/>
        <w:spacing w:before="0" w:after="24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770255"/>
                <wp:effectExtent l="0" t="0" r="0" b="0"/>
                <wp:wrapNone/>
                <wp:docPr id="36" name="Frame36"/>
                <a:graphic xmlns:a="http://schemas.openxmlformats.org/drawingml/2006/main">
                  <a:graphicData uri="http://schemas.microsoft.com/office/word/2010/wordprocessingShape">
                    <wps:wsp>
                      <wps:cNvSpPr txBox="1"/>
                      <wps:spPr>
                        <a:xfrm>
                          <a:off x="0" y="0"/>
                          <a:ext cx="6480175" cy="770255"/>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Underwriting Agreement]</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Underwriting Agreement]</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before="0" w:after="283"/>
                        <w:rPr/>
                      </w:pPr>
                      <w:r>
                        <w:rPr/>
                      </w:r>
                    </w:p>
                  </w:txbxContent>
                </v:textbox>
              </v:rect>
            </w:pict>
          </mc:Fallback>
        </mc:AlternateContent>
      </w:r>
    </w:p>
    <w:p>
      <w:pPr>
        <w:pStyle w:val="TextBody"/>
        <w:spacing w:lineRule="auto" w:line="240" w:before="0" w:after="480"/>
        <w:jc w:val="right"/>
        <w:rPr>
          <w:rFonts w:ascii="Times New Roman;sans-serif" w:hAnsi="Times New Roman;sans-serif"/>
          <w:b/>
          <w:color w:val="000000"/>
          <w:sz w:val="24"/>
        </w:rPr>
      </w:pPr>
      <w:r>
        <w:rPr>
          <w:rFonts w:ascii="Times New Roman;sans-serif" w:hAnsi="Times New Roman;sans-serif"/>
          <w:b/>
          <w:color w:val="000000"/>
          <w:sz w:val="24"/>
        </w:rPr>
        <w:t>SCHEDULE I</w:t>
      </w:r>
    </w:p>
    <w:tbl>
      <w:tblPr>
        <w:tblW w:w="5879" w:type="dxa"/>
        <w:jc w:val="left"/>
        <w:tblInd w:w="0" w:type="dxa"/>
        <w:tblCellMar>
          <w:top w:w="28" w:type="dxa"/>
          <w:left w:w="28" w:type="dxa"/>
          <w:bottom w:w="28" w:type="dxa"/>
          <w:right w:w="28" w:type="dxa"/>
        </w:tblCellMar>
      </w:tblPr>
      <w:tblGrid>
        <w:gridCol w:w="766"/>
        <w:gridCol w:w="674"/>
        <w:gridCol w:w="675"/>
        <w:gridCol w:w="1100"/>
        <w:gridCol w:w="1100"/>
        <w:gridCol w:w="1564"/>
      </w:tblGrid>
      <w:tr>
        <w:trPr/>
        <w:tc>
          <w:tcPr>
            <w:tcW w:w="766"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6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Selling Shareholder</w:t>
            </w:r>
          </w:p>
        </w:tc>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Number of Firm Shares To Be Sold</w:t>
            </w:r>
          </w:p>
        </w:tc>
      </w:tr>
      <w:tr>
        <w:trPr/>
        <w:tc>
          <w:tcPr>
            <w:tcW w:w="2115" w:type="dxa"/>
            <w:gridSpan w:val="3"/>
            <w:tcBorders>
              <w:top w:val="sing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top w:val="sing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Jeffrey W. Dunn</w:t>
            </w:r>
          </w:p>
        </w:tc>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272,753</w:t>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Total:</w:t>
            </w:r>
          </w:p>
        </w:tc>
        <w:tc>
          <w:tcPr>
            <w:tcW w:w="3764" w:type="dxa"/>
            <w:gridSpan w:val="3"/>
            <w:tcBorders>
              <w:bottom w:val="double" w:sz="6"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272,753</w:t>
            </w:r>
          </w:p>
        </w:tc>
      </w:tr>
    </w:tbl>
    <w:p>
      <w:pPr>
        <w:pStyle w:val="TextBody"/>
        <w:spacing w:before="0" w:after="480"/>
        <w:jc w:val="righ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887095"/>
                <wp:effectExtent l="0" t="0" r="0" b="0"/>
                <wp:wrapNone/>
                <wp:docPr id="37" name="Frame37"/>
                <a:graphic xmlns:a="http://schemas.openxmlformats.org/drawingml/2006/main">
                  <a:graphicData uri="http://schemas.microsoft.com/office/word/2010/wordprocessingShape">
                    <wps:wsp>
                      <wps:cNvSpPr txBox="1"/>
                      <wps:spPr>
                        <a:xfrm>
                          <a:off x="0" y="0"/>
                          <a:ext cx="6480175" cy="887095"/>
                        </a:xfrm>
                        <a:prstGeom prst="rect"/>
                      </wps:spPr>
                      <wps:txbx>
                        <w:txbxContent>
                          <w:p>
                            <w:pPr>
                              <w:pStyle w:val="TextBody"/>
                              <w:spacing w:lineRule="auto" w:line="240" w:before="0" w:after="0"/>
                              <w:rPr>
                                <w:color w:val="000000"/>
                              </w:rPr>
                            </w:pPr>
                            <w:r>
                              <w:rPr>
                                <w:color w:val="000000"/>
                              </w:rPr>
                              <w:t>    </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I-1</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I-1</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v:textbox>
              </v:rect>
            </w:pict>
          </mc:Fallback>
        </mc:AlternateContent>
      </w:r>
    </w:p>
    <w:p>
      <w:pPr>
        <w:pStyle w:val="TextBody"/>
        <w:spacing w:lineRule="auto" w:line="240" w:before="0" w:after="480"/>
        <w:jc w:val="right"/>
        <w:rPr>
          <w:rFonts w:ascii="Times New Roman;sans-serif" w:hAnsi="Times New Roman;sans-serif"/>
          <w:b/>
          <w:color w:val="000000"/>
          <w:sz w:val="24"/>
        </w:rPr>
      </w:pPr>
      <w:r>
        <w:rPr>
          <w:rFonts w:ascii="Times New Roman;sans-serif" w:hAnsi="Times New Roman;sans-serif"/>
          <w:b/>
          <w:color w:val="000000"/>
          <w:sz w:val="24"/>
        </w:rPr>
        <w:t>SCHEDULE II</w:t>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825"/>
        <w:gridCol w:w="726"/>
        <w:gridCol w:w="729"/>
        <w:gridCol w:w="991"/>
        <w:gridCol w:w="991"/>
        <w:gridCol w:w="993"/>
        <w:gridCol w:w="1449"/>
        <w:gridCol w:w="1449"/>
        <w:gridCol w:w="2052"/>
      </w:tblGrid>
      <w:tr>
        <w:trPr/>
        <w:tc>
          <w:tcPr>
            <w:tcW w:w="825"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1449" w:type="dxa"/>
            <w:tcBorders/>
            <w:shd w:fill="auto" w:val="clear"/>
            <w:vAlign w:val="center"/>
          </w:tcPr>
          <w:p>
            <w:pPr>
              <w:pStyle w:val="TableContents"/>
              <w:spacing w:before="0" w:after="283"/>
              <w:rPr>
                <w:sz w:val="4"/>
                <w:szCs w:val="4"/>
              </w:rPr>
            </w:pPr>
            <w:r>
              <w:rPr>
                <w:sz w:val="4"/>
                <w:szCs w:val="4"/>
              </w:rPr>
            </w:r>
          </w:p>
        </w:tc>
        <w:tc>
          <w:tcPr>
            <w:tcW w:w="1449" w:type="dxa"/>
            <w:tcBorders/>
            <w:shd w:fill="auto" w:val="clear"/>
            <w:vAlign w:val="center"/>
          </w:tcPr>
          <w:p>
            <w:pPr>
              <w:pStyle w:val="TableContents"/>
              <w:spacing w:before="0" w:after="283"/>
              <w:rPr>
                <w:sz w:val="4"/>
                <w:szCs w:val="4"/>
              </w:rPr>
            </w:pPr>
            <w:r>
              <w:rPr>
                <w:sz w:val="4"/>
                <w:szCs w:val="4"/>
              </w:rPr>
            </w:r>
          </w:p>
        </w:tc>
        <w:tc>
          <w:tcPr>
            <w:tcW w:w="2052" w:type="dxa"/>
            <w:tcBorders/>
            <w:shd w:fill="auto" w:val="clear"/>
            <w:vAlign w:val="cente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Underwriter</w:t>
            </w:r>
          </w:p>
        </w:tc>
        <w:tc>
          <w:tcPr>
            <w:tcW w:w="2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Number of Firm Shares To Be Purchased</w:t>
            </w:r>
          </w:p>
        </w:tc>
        <w:tc>
          <w:tcPr>
            <w:tcW w:w="49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Number of Additional Shares To Be Purchased if Full Option is Exercised</w:t>
            </w:r>
          </w:p>
        </w:tc>
      </w:tr>
      <w:tr>
        <w:trPr/>
        <w:tc>
          <w:tcPr>
            <w:tcW w:w="228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7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95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BofA Securities, Inc.</w:t>
            </w:r>
          </w:p>
        </w:tc>
        <w:tc>
          <w:tcPr>
            <w:tcW w:w="297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1,321,250</w:t>
            </w:r>
          </w:p>
        </w:tc>
        <w:tc>
          <w:tcPr>
            <w:tcW w:w="495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198,188</w:t>
            </w:r>
          </w:p>
        </w:tc>
      </w:tr>
      <w:tr>
        <w:trPr/>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Morgan Stanley &amp; Co. LLC.</w:t>
            </w:r>
          </w:p>
        </w:tc>
        <w:tc>
          <w:tcPr>
            <w:tcW w:w="297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1,132,500</w:t>
            </w:r>
          </w:p>
        </w:tc>
        <w:tc>
          <w:tcPr>
            <w:tcW w:w="495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169,875</w:t>
            </w:r>
          </w:p>
        </w:tc>
      </w:tr>
      <w:tr>
        <w:trPr/>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Jefferies LLC</w:t>
            </w:r>
          </w:p>
        </w:tc>
        <w:tc>
          <w:tcPr>
            <w:tcW w:w="297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566,250</w:t>
            </w:r>
          </w:p>
        </w:tc>
        <w:tc>
          <w:tcPr>
            <w:tcW w:w="495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84,937</w:t>
            </w:r>
          </w:p>
        </w:tc>
      </w:tr>
      <w:tr>
        <w:trPr/>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Canaccord Genuity LLC</w:t>
            </w:r>
          </w:p>
        </w:tc>
        <w:tc>
          <w:tcPr>
            <w:tcW w:w="297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377,500</w:t>
            </w:r>
          </w:p>
        </w:tc>
        <w:tc>
          <w:tcPr>
            <w:tcW w:w="495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56,625</w:t>
            </w:r>
          </w:p>
        </w:tc>
      </w:tr>
      <w:tr>
        <w:trPr/>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Cantor Fitzgerald &amp; Co.</w:t>
            </w:r>
          </w:p>
        </w:tc>
        <w:tc>
          <w:tcPr>
            <w:tcW w:w="297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377,500</w:t>
            </w:r>
          </w:p>
        </w:tc>
        <w:tc>
          <w:tcPr>
            <w:tcW w:w="495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56,625</w:t>
            </w:r>
          </w:p>
        </w:tc>
      </w:tr>
      <w:tr>
        <w:trPr/>
        <w:tc>
          <w:tcPr>
            <w:tcW w:w="2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Total:</w:t>
            </w:r>
          </w:p>
        </w:tc>
        <w:tc>
          <w:tcPr>
            <w:tcW w:w="2975" w:type="dxa"/>
            <w:gridSpan w:val="3"/>
            <w:tcBorders>
              <w:top w:val="single" w:sz="6" w:space="0" w:color="000000"/>
              <w:bottom w:val="double" w:sz="6"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3,775,000</w:t>
            </w:r>
          </w:p>
        </w:tc>
        <w:tc>
          <w:tcPr>
            <w:tcW w:w="4950" w:type="dxa"/>
            <w:gridSpan w:val="3"/>
            <w:tcBorders>
              <w:top w:val="single" w:sz="6" w:space="0" w:color="000000"/>
              <w:bottom w:val="double" w:sz="6"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566,250</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887095"/>
                <wp:effectExtent l="0" t="0" r="0" b="0"/>
                <wp:wrapNone/>
                <wp:docPr id="38" name="Frame38"/>
                <a:graphic xmlns:a="http://schemas.openxmlformats.org/drawingml/2006/main">
                  <a:graphicData uri="http://schemas.microsoft.com/office/word/2010/wordprocessingShape">
                    <wps:wsp>
                      <wps:cNvSpPr txBox="1"/>
                      <wps:spPr>
                        <a:xfrm>
                          <a:off x="0" y="0"/>
                          <a:ext cx="6480175" cy="887095"/>
                        </a:xfrm>
                        <a:prstGeom prst="rect"/>
                      </wps:spPr>
                      <wps:txbx>
                        <w:txbxContent>
                          <w:p>
                            <w:pPr>
                              <w:pStyle w:val="TextBody"/>
                              <w:spacing w:lineRule="auto" w:line="240" w:before="0" w:after="0"/>
                              <w:rPr>
                                <w:color w:val="000000"/>
                              </w:rPr>
                            </w:pPr>
                            <w:r>
                              <w:rPr>
                                <w:color w:val="000000"/>
                              </w:rPr>
                              <w:t>    </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II-1</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II-1</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v:textbox>
              </v:rect>
            </w:pict>
          </mc:Fallback>
        </mc:AlternateContent>
      </w:r>
    </w:p>
    <w:p>
      <w:pPr>
        <w:pStyle w:val="TextBody"/>
        <w:spacing w:lineRule="auto" w:line="240" w:before="0" w:after="480"/>
        <w:jc w:val="right"/>
        <w:rPr>
          <w:rFonts w:ascii="Times New Roman;sans-serif" w:hAnsi="Times New Roman;sans-serif"/>
          <w:b/>
          <w:color w:val="000000"/>
          <w:sz w:val="24"/>
        </w:rPr>
      </w:pPr>
      <w:r>
        <w:rPr>
          <w:rFonts w:ascii="Times New Roman;sans-serif" w:hAnsi="Times New Roman;sans-serif"/>
          <w:b/>
          <w:color w:val="000000"/>
          <w:sz w:val="24"/>
        </w:rPr>
        <w:t>SCHEDULE III</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Time of Sale Prospectus</w:t>
      </w:r>
    </w:p>
    <w:p>
      <w:pPr>
        <w:pStyle w:val="TextBody"/>
        <w:spacing w:lineRule="auto" w:line="240"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 xml:space="preserve">1.    Preliminary Prospectus Supplement dated May 4, 2023, and Basic Prospectus </w:t>
      </w:r>
    </w:p>
    <w:p>
      <w:pPr>
        <w:pStyle w:val="TextBody"/>
        <w:spacing w:lineRule="auto" w:line="240"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2.    Free writing prospectuses filed by the Company under Rule 433(d) of the Securities Act: None.</w:t>
      </w:r>
    </w:p>
    <w:p>
      <w:pPr>
        <w:pStyle w:val="TextBody"/>
        <w:spacing w:lineRule="auto" w:line="240"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3.    Pricing information:</w:t>
      </w:r>
    </w:p>
    <w:p>
      <w:pPr>
        <w:pStyle w:val="TextBody"/>
        <w:spacing w:lineRule="auto" w:line="240" w:before="0" w:after="240"/>
        <w:ind w:left="0" w:right="0" w:hanging="720"/>
        <w:rPr>
          <w:color w:val="000000"/>
        </w:rPr>
      </w:pPr>
      <w:r>
        <w:rPr>
          <w:color w:val="000000"/>
        </w:rPr>
        <w:t>    </w:t>
      </w:r>
      <w:r>
        <w:rPr>
          <w:rFonts w:ascii="Times New Roman;sans-serif" w:hAnsi="Times New Roman;sans-serif"/>
          <w:b w:val="false"/>
          <w:color w:val="000000"/>
          <w:sz w:val="24"/>
        </w:rPr>
        <w:t>Number of Firm Shares purchased by the Underwriters from the Company: 3,502,247</w:t>
      </w:r>
    </w:p>
    <w:p>
      <w:pPr>
        <w:pStyle w:val="TextBody"/>
        <w:spacing w:lineRule="auto" w:line="240" w:before="0" w:after="240"/>
        <w:ind w:left="0" w:right="0" w:hanging="720"/>
        <w:rPr>
          <w:color w:val="000000"/>
        </w:rPr>
      </w:pPr>
      <w:r>
        <w:rPr>
          <w:color w:val="000000"/>
        </w:rPr>
        <w:t>    </w:t>
      </w:r>
      <w:r>
        <w:rPr>
          <w:rFonts w:ascii="Times New Roman;sans-serif" w:hAnsi="Times New Roman;sans-serif"/>
          <w:b w:val="false"/>
          <w:color w:val="000000"/>
          <w:sz w:val="24"/>
        </w:rPr>
        <w:t>Number of Firm Shares purchase by the Underwriters from the Selling Shareholder: 272,753</w:t>
      </w:r>
    </w:p>
    <w:p>
      <w:pPr>
        <w:pStyle w:val="TextBody"/>
        <w:spacing w:lineRule="auto" w:line="240" w:before="0" w:after="240"/>
        <w:ind w:left="0" w:right="0" w:hanging="720"/>
        <w:rPr>
          <w:color w:val="000000"/>
        </w:rPr>
      </w:pPr>
      <w:r>
        <w:rPr>
          <w:color w:val="000000"/>
        </w:rPr>
        <w:t>    </w:t>
      </w:r>
      <w:r>
        <w:rPr>
          <w:rFonts w:ascii="Times New Roman;sans-serif" w:hAnsi="Times New Roman;sans-serif"/>
          <w:b w:val="false"/>
          <w:color w:val="000000"/>
          <w:sz w:val="24"/>
        </w:rPr>
        <w:t>Number of Additional Shares to be sold by the Company at the option of the Underwriters: up to 566,250</w:t>
      </w:r>
    </w:p>
    <w:p>
      <w:pPr>
        <w:pStyle w:val="TextBody"/>
        <w:spacing w:lineRule="auto" w:line="240" w:before="0" w:after="240"/>
        <w:ind w:left="0" w:right="0" w:hanging="720"/>
        <w:rPr>
          <w:color w:val="000000"/>
        </w:rPr>
      </w:pPr>
      <w:r>
        <w:rPr>
          <w:color w:val="000000"/>
        </w:rPr>
        <w:t>    </w:t>
      </w:r>
      <w:r>
        <w:rPr>
          <w:rFonts w:ascii="Times New Roman;sans-serif" w:hAnsi="Times New Roman;sans-serif"/>
          <w:b w:val="false"/>
          <w:color w:val="000000"/>
          <w:sz w:val="24"/>
        </w:rPr>
        <w:t>Initial price per share to the public: $22.00</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711835"/>
                <wp:effectExtent l="0" t="0" r="0" b="0"/>
                <wp:wrapNone/>
                <wp:docPr id="39" name="Frame39"/>
                <a:graphic xmlns:a="http://schemas.openxmlformats.org/drawingml/2006/main">
                  <a:graphicData uri="http://schemas.microsoft.com/office/word/2010/wordprocessingShape">
                    <wps:wsp>
                      <wps:cNvSpPr txBox="1"/>
                      <wps:spPr>
                        <a:xfrm>
                          <a:off x="0" y="0"/>
                          <a:ext cx="6480175" cy="711835"/>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III-1</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III-1</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|US-DOCS\140511620.6||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40" w:before="0" w:after="240"/>
        <w:jc w:val="right"/>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FORM OF LOCK-UP LETTER</w:t>
      </w:r>
    </w:p>
    <w:p>
      <w:pPr>
        <w:pStyle w:val="TextBody"/>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[To be provided under separate cover]</w:t>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drawing>
          <wp:inline distT="0" distB="63500" distL="0" distR="0">
            <wp:extent cx="1295400" cy="419100"/>
            <wp:effectExtent l="0" t="0" r="0" b="0"/>
            <wp:docPr id="4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 descr=""/>
                    <pic:cNvPicPr>
                      <a:picLocks noChangeAspect="1" noChangeArrowheads="1"/>
                    </pic:cNvPicPr>
                  </pic:nvPicPr>
                  <pic:blipFill>
                    <a:blip r:embed="rId2"/>
                    <a:stretch>
                      <a:fillRect/>
                    </a:stretch>
                  </pic:blipFill>
                  <pic:spPr bwMode="auto">
                    <a:xfrm>
                      <a:off x="0" y="0"/>
                      <a:ext cx="1295400" cy="419100"/>
                    </a:xfrm>
                    <a:prstGeom prst="rect">
                      <a:avLst/>
                    </a:prstGeom>
                  </pic:spPr>
                </pic:pic>
              </a:graphicData>
            </a:graphic>
          </wp:inline>
        </w:drawing>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right"/>
        <w:rPr>
          <w:rFonts w:ascii="Arial;sans-serif" w:hAnsi="Arial;sans-serif"/>
          <w:b/>
          <w:color w:val="000000"/>
          <w:sz w:val="18"/>
        </w:rPr>
      </w:pPr>
      <w:r>
        <w:rPr>
          <w:rFonts w:ascii="Arial;sans-serif" w:hAnsi="Arial;sans-serif"/>
          <w:b/>
          <w:color w:val="000000"/>
          <w:sz w:val="18"/>
        </w:rPr>
        <w:t xml:space="preserve">Exhibit 5.1 </w:t>
      </w:r>
    </w:p>
    <w:p>
      <w:pPr>
        <w:pStyle w:val="TextBody"/>
        <w:spacing w:before="0" w:after="0"/>
        <w:rPr/>
      </w:pPr>
      <w:r>
        <w:rPr/>
      </w:r>
    </w:p>
    <w:p>
      <w:pPr>
        <w:pStyle w:val="TextBody"/>
        <w:spacing w:lineRule="auto" w:line="240" w:before="240" w:after="283"/>
        <w:rPr>
          <w:rFonts w:ascii="Arial;sans-serif" w:hAnsi="Arial;sans-serif"/>
          <w:b w:val="false"/>
          <w:color w:val="000000"/>
          <w:sz w:val="18"/>
        </w:rPr>
      </w:pPr>
      <w:r>
        <w:rPr>
          <w:rFonts w:ascii="Arial;sans-serif" w:hAnsi="Arial;sans-serif"/>
          <w:b w:val="false"/>
          <w:color w:val="000000"/>
          <w:sz w:val="18"/>
        </w:rPr>
        <w:t>John T. McKenna</w: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+1 650 843 5059</w: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 xml:space="preserve">jmckenna@cooley.com </w:t>
      </w:r>
    </w:p>
    <w:p>
      <w:pPr>
        <w:pStyle w:val="TextBody"/>
        <w:spacing w:lineRule="auto" w:line="240" w:before="240" w:after="283"/>
        <w:rPr>
          <w:rFonts w:ascii="Arial;sans-serif" w:hAnsi="Arial;sans-serif"/>
          <w:b w:val="false"/>
          <w:color w:val="000000"/>
          <w:sz w:val="18"/>
        </w:rPr>
      </w:pPr>
      <w:r>
        <w:rPr>
          <w:rFonts w:ascii="Arial;sans-serif" w:hAnsi="Arial;sans-serif"/>
          <w:b w:val="false"/>
          <w:color w:val="000000"/>
          <w:sz w:val="18"/>
        </w:rPr>
        <w:t>May 5, 2023</w:t>
      </w:r>
    </w:p>
    <w:p>
      <w:pPr>
        <w:pStyle w:val="TextBody"/>
        <w:spacing w:lineRule="auto" w:line="240" w:before="240" w:after="283"/>
        <w:rPr>
          <w:rFonts w:ascii="Arial;sans-serif" w:hAnsi="Arial;sans-serif"/>
          <w:b w:val="false"/>
          <w:color w:val="000000"/>
          <w:sz w:val="18"/>
        </w:rPr>
      </w:pPr>
      <w:r>
        <w:rPr>
          <w:rFonts w:ascii="Arial;sans-serif" w:hAnsi="Arial;sans-serif"/>
          <w:b w:val="false"/>
          <w:color w:val="000000"/>
          <w:sz w:val="18"/>
        </w:rPr>
        <w:t xml:space="preserve">SI-BONE, Inc. </w: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471 El Camino Real, Suite 101</w: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 xml:space="preserve">Santa Clara, CA 95050 </w:t>
      </w:r>
    </w:p>
    <w:p>
      <w:pPr>
        <w:pStyle w:val="TextBody"/>
        <w:spacing w:lineRule="auto" w:line="240" w:before="240" w:after="283"/>
        <w:rPr>
          <w:rFonts w:ascii="Arial;sans-serif" w:hAnsi="Arial;sans-serif"/>
          <w:b w:val="false"/>
          <w:color w:val="000000"/>
          <w:sz w:val="18"/>
        </w:rPr>
      </w:pPr>
      <w:r>
        <w:rPr>
          <w:rFonts w:ascii="Arial;sans-serif" w:hAnsi="Arial;sans-serif"/>
          <w:b w:val="false"/>
          <w:color w:val="000000"/>
          <w:sz w:val="18"/>
        </w:rPr>
        <w:t xml:space="preserve">Ladies and Gentlemen: </w:t>
      </w:r>
    </w:p>
    <w:p>
      <w:pPr>
        <w:pStyle w:val="TextBody"/>
        <w:spacing w:lineRule="auto" w:line="240" w:before="240" w:after="283"/>
        <w:jc w:val="both"/>
        <w:rPr/>
      </w:pPr>
      <w:r>
        <w:rPr>
          <w:rFonts w:ascii="Arial;sans-serif" w:hAnsi="Arial;sans-serif"/>
          <w:b w:val="false"/>
          <w:color w:val="000000"/>
          <w:sz w:val="18"/>
        </w:rPr>
        <w:t>You have requested our opinion, as counsel to SI-BONE, Inc., a Delaware corporation (the “</w:t>
      </w:r>
      <w:r>
        <w:rPr>
          <w:rFonts w:ascii="Arial;sans-serif" w:hAnsi="Arial;sans-serif"/>
          <w:b/>
          <w:i/>
          <w:color w:val="000000"/>
          <w:sz w:val="18"/>
        </w:rPr>
        <w:t>Company</w:t>
      </w:r>
      <w:r>
        <w:rPr>
          <w:color w:val="000000"/>
        </w:rPr>
        <w:t>”</w:t>
      </w:r>
      <w:r>
        <w:rPr>
          <w:rFonts w:ascii="Arial;sans-serif" w:hAnsi="Arial;sans-serif"/>
          <w:b w:val="false"/>
          <w:color w:val="000000"/>
          <w:sz w:val="18"/>
        </w:rPr>
        <w:t>), in connection with the sale of up to 4,341,250 shares of its common stock, par value $0.0001 per share (the “</w:t>
      </w:r>
      <w:r>
        <w:rPr>
          <w:rFonts w:ascii="Arial;sans-serif" w:hAnsi="Arial;sans-serif"/>
          <w:b/>
          <w:i/>
          <w:color w:val="000000"/>
          <w:sz w:val="18"/>
        </w:rPr>
        <w:t>Shares</w:t>
      </w:r>
      <w:r>
        <w:rPr>
          <w:color w:val="000000"/>
        </w:rPr>
        <w:t>”</w:t>
      </w:r>
      <w:r>
        <w:rPr>
          <w:rFonts w:ascii="Arial;sans-serif" w:hAnsi="Arial;sans-serif"/>
          <w:b w:val="false"/>
          <w:color w:val="000000"/>
          <w:sz w:val="18"/>
        </w:rPr>
        <w:t>), which consists of (i) 4,068,497 Shares to be sold by the Company (including up to 566,250 Shares that may be sold by the Company upon exercise of an over-allotment option to be granted to the underwriters) (collectively, the “</w:t>
      </w:r>
      <w:r>
        <w:rPr>
          <w:rFonts w:ascii="Arial;sans-serif" w:hAnsi="Arial;sans-serif"/>
          <w:b/>
          <w:i/>
          <w:color w:val="000000"/>
          <w:sz w:val="18"/>
        </w:rPr>
        <w:t>Company Shares</w:t>
      </w:r>
      <w:r>
        <w:rPr>
          <w:color w:val="000000"/>
        </w:rPr>
        <w:t>”</w:t>
      </w:r>
      <w:r>
        <w:rPr>
          <w:rFonts w:ascii="Arial;sans-serif" w:hAnsi="Arial;sans-serif"/>
          <w:b w:val="false"/>
          <w:color w:val="000000"/>
          <w:sz w:val="18"/>
        </w:rPr>
        <w:t>) and (ii) 272,753 Shares to be sold by the selling stockholder (the “</w:t>
      </w:r>
      <w:r>
        <w:rPr>
          <w:rFonts w:ascii="Arial;sans-serif" w:hAnsi="Arial;sans-serif"/>
          <w:b/>
          <w:i/>
          <w:color w:val="000000"/>
          <w:sz w:val="18"/>
        </w:rPr>
        <w:t>Selling Stockholder</w:t>
      </w:r>
      <w:r>
        <w:rPr>
          <w:color w:val="000000"/>
        </w:rPr>
        <w:t>”</w:t>
      </w:r>
      <w:r>
        <w:rPr>
          <w:rFonts w:ascii="Arial;sans-serif" w:hAnsi="Arial;sans-serif"/>
          <w:b w:val="false"/>
          <w:color w:val="000000"/>
          <w:sz w:val="18"/>
        </w:rPr>
        <w:t>) identified in the Prospectus (the “</w:t>
      </w:r>
      <w:r>
        <w:rPr>
          <w:rFonts w:ascii="Arial;sans-serif" w:hAnsi="Arial;sans-serif"/>
          <w:b/>
          <w:i/>
          <w:color w:val="000000"/>
          <w:sz w:val="18"/>
        </w:rPr>
        <w:t>Stockholder Shares</w:t>
      </w:r>
      <w:r>
        <w:rPr>
          <w:color w:val="000000"/>
        </w:rPr>
        <w:t>”</w:t>
      </w:r>
      <w:r>
        <w:rPr>
          <w:rFonts w:ascii="Arial;sans-serif" w:hAnsi="Arial;sans-serif"/>
          <w:b w:val="false"/>
          <w:color w:val="000000"/>
          <w:sz w:val="18"/>
        </w:rPr>
        <w:t>), all pursuant to the Registration Statement on Form S-3 (File No. 333-271635) (the “</w:t>
      </w:r>
      <w:r>
        <w:rPr>
          <w:rFonts w:ascii="Arial;sans-serif" w:hAnsi="Arial;sans-serif"/>
          <w:b/>
          <w:i/>
          <w:color w:val="000000"/>
          <w:sz w:val="18"/>
        </w:rPr>
        <w:t>Registration Statement</w:t>
      </w:r>
      <w:r>
        <w:rPr>
          <w:color w:val="000000"/>
        </w:rPr>
        <w:t>”</w:t>
      </w:r>
      <w:r>
        <w:rPr>
          <w:rFonts w:ascii="Arial;sans-serif" w:hAnsi="Arial;sans-serif"/>
          <w:b w:val="false"/>
          <w:color w:val="000000"/>
          <w:sz w:val="18"/>
        </w:rPr>
        <w:t>) filed with the Securities and Exchange Commission (the “</w:t>
      </w:r>
      <w:r>
        <w:rPr>
          <w:rFonts w:ascii="Arial;sans-serif" w:hAnsi="Arial;sans-serif"/>
          <w:b/>
          <w:i/>
          <w:color w:val="000000"/>
          <w:sz w:val="18"/>
        </w:rPr>
        <w:t>Commission</w:t>
      </w:r>
      <w:r>
        <w:rPr>
          <w:color w:val="000000"/>
        </w:rPr>
        <w:t>”</w:t>
      </w:r>
      <w:r>
        <w:rPr>
          <w:rFonts w:ascii="Arial;sans-serif" w:hAnsi="Arial;sans-serif"/>
          <w:b w:val="false"/>
          <w:color w:val="000000"/>
          <w:sz w:val="18"/>
        </w:rPr>
        <w:t>) under the Securities Act of 1933, as amended (the “</w:t>
      </w:r>
      <w:r>
        <w:rPr>
          <w:rFonts w:ascii="Arial;sans-serif" w:hAnsi="Arial;sans-serif"/>
          <w:b/>
          <w:i/>
          <w:color w:val="000000"/>
          <w:sz w:val="18"/>
        </w:rPr>
        <w:t>Securities Act</w:t>
      </w:r>
      <w:r>
        <w:rPr>
          <w:color w:val="000000"/>
        </w:rPr>
        <w:t>”</w:t>
      </w:r>
      <w:r>
        <w:rPr>
          <w:rFonts w:ascii="Arial;sans-serif" w:hAnsi="Arial;sans-serif"/>
          <w:b w:val="false"/>
          <w:color w:val="000000"/>
          <w:sz w:val="18"/>
        </w:rPr>
        <w:t>), the prospectus included in the Registration Statement (the “</w:t>
      </w:r>
      <w:r>
        <w:rPr>
          <w:rFonts w:ascii="Arial;sans-serif" w:hAnsi="Arial;sans-serif"/>
          <w:b/>
          <w:i/>
          <w:color w:val="000000"/>
          <w:sz w:val="18"/>
        </w:rPr>
        <w:t>Base Prospectus</w:t>
      </w:r>
      <w:r>
        <w:rPr>
          <w:color w:val="000000"/>
        </w:rPr>
        <w:t>”</w:t>
      </w:r>
      <w:r>
        <w:rPr>
          <w:rFonts w:ascii="Arial;sans-serif" w:hAnsi="Arial;sans-serif"/>
          <w:b w:val="false"/>
          <w:color w:val="000000"/>
          <w:sz w:val="18"/>
        </w:rPr>
        <w:t>) and the prospectus supplement dated May 4, 2023, and filed with the Commission pursuant to Rule 424(b) under the Securities Act (together with the Base Prospectus, the “</w:t>
      </w:r>
      <w:r>
        <w:rPr>
          <w:rFonts w:ascii="Arial;sans-serif" w:hAnsi="Arial;sans-serif"/>
          <w:b/>
          <w:i/>
          <w:color w:val="000000"/>
          <w:sz w:val="18"/>
        </w:rPr>
        <w:t>Prospectus</w:t>
      </w:r>
      <w:r>
        <w:rPr>
          <w:color w:val="000000"/>
        </w:rPr>
        <w:t>”</w:t>
      </w:r>
      <w:r>
        <w:rPr>
          <w:rFonts w:ascii="Arial;sans-serif" w:hAnsi="Arial;sans-serif"/>
          <w:b w:val="false"/>
          <w:color w:val="000000"/>
          <w:sz w:val="18"/>
        </w:rPr>
        <w:t>). We have been advised that the Stockholder Shares are to be acquired from the Company prior to their sale by the Selling Stockholder upon exercise of a stock option (the “</w:t>
      </w:r>
      <w:r>
        <w:rPr>
          <w:rFonts w:ascii="Arial;sans-serif" w:hAnsi="Arial;sans-serif"/>
          <w:b/>
          <w:i/>
          <w:color w:val="000000"/>
          <w:sz w:val="18"/>
        </w:rPr>
        <w:t>Option</w:t>
      </w:r>
      <w:r>
        <w:rPr>
          <w:color w:val="000000"/>
        </w:rPr>
        <w:t>”</w:t>
      </w:r>
      <w:r>
        <w:rPr>
          <w:rFonts w:ascii="Arial;sans-serif" w:hAnsi="Arial;sans-serif"/>
          <w:b w:val="false"/>
          <w:color w:val="000000"/>
          <w:sz w:val="18"/>
        </w:rPr>
        <w:t>) currently held by the Selling Stockholder.</w:t>
      </w:r>
    </w:p>
    <w:p>
      <w:pPr>
        <w:pStyle w:val="TextBody"/>
        <w:spacing w:lineRule="auto" w:line="240" w:before="240" w:after="283"/>
        <w:jc w:val="both"/>
        <w:rPr>
          <w:rFonts w:ascii="Arial;sans-serif" w:hAnsi="Arial;sans-serif"/>
          <w:b w:val="false"/>
          <w:color w:val="000000"/>
          <w:sz w:val="18"/>
        </w:rPr>
      </w:pPr>
      <w:r>
        <w:rPr>
          <w:rFonts w:ascii="Arial;sans-serif" w:hAnsi="Arial;sans-serif"/>
          <w:b w:val="false"/>
          <w:color w:val="000000"/>
          <w:sz w:val="18"/>
        </w:rPr>
        <w:t>In connection with this opinion, we have (i) examined and relied upon (a) the Registration Statement and the Prospectus, (b) the Company’s certificate of incorporation and bylaws, each as currently in effect, and (c) originals or copies certified to our satisfaction of such records, documents,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by the Company where authorization, execution and delivery are prerequisites to the effectiveness thereof. As to certain factual matters, we have relied upon a certificate of an officer of the Company and have not independently verified such matters.</w:t>
      </w:r>
    </w:p>
    <w:p>
      <w:pPr>
        <w:pStyle w:val="TextBody"/>
        <w:spacing w:lineRule="auto" w:line="240" w:before="240" w:after="283"/>
        <w:jc w:val="both"/>
        <w:rPr>
          <w:rFonts w:ascii="Arial;sans-serif" w:hAnsi="Arial;sans-serif"/>
          <w:b w:val="false"/>
          <w:color w:val="000000"/>
          <w:sz w:val="18"/>
        </w:rPr>
      </w:pPr>
      <w:r>
        <w:rPr>
          <w:rFonts w:ascii="Arial;sans-serif" w:hAnsi="Arial;sans-serif"/>
          <w:b w:val="false"/>
          <w:color w:val="000000"/>
          <w:sz w:val="18"/>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pStyle w:val="TextBody"/>
        <w:spacing w:lineRule="auto" w:line="240" w:before="240" w:after="283"/>
        <w:jc w:val="both"/>
        <w:rPr>
          <w:rFonts w:ascii="Arial;sans-serif" w:hAnsi="Arial;sans-serif"/>
          <w:b w:val="false"/>
          <w:color w:val="000000"/>
          <w:sz w:val="18"/>
        </w:rPr>
      </w:pPr>
      <w:r>
        <w:rPr>
          <w:rFonts w:ascii="Arial;sans-serif" w:hAnsi="Arial;sans-serif"/>
          <w:b w:val="false"/>
          <w:color w:val="000000"/>
          <w:sz w:val="18"/>
        </w:rPr>
        <w:t>On the basis of the foregoing, and in reliance thereon, we are of the opinion that (i) the Company Shares, when sold and issued against payment therefor as described in the Registration Statement and the Prospectus, will be validly issued, fully paid and nonassessable and (ii) the Stockholder Shares, when acquired by the Selling Stockholder against payment therefor in accordance with the terms of the Option, will be validly issued, fully paid and nonassessable.</w:t>
      </w:r>
    </w:p>
    <w:p>
      <w:pPr>
        <w:pStyle w:val="TextBody"/>
        <w:spacing w:lineRule="auto" w:line="240" w:before="240" w:after="283"/>
        <w:jc w:val="both"/>
        <w:rPr>
          <w:rFonts w:ascii="Arial;sans-serif" w:hAnsi="Arial;sans-serif"/>
          <w:b w:val="false"/>
          <w:color w:val="000000"/>
          <w:sz w:val="18"/>
        </w:rPr>
      </w:pPr>
      <w:r>
        <w:rPr>
          <w:rFonts w:ascii="Arial;sans-serif" w:hAnsi="Arial;sans-serif"/>
          <w:b w:val="false"/>
          <w:color w:val="000000"/>
          <w:sz w:val="18"/>
        </w:rPr>
        <w:t>We consent to the reference to our firm under the caption “Legal Matters” in the Prospectus and to the filing of this opinion as an exhibit to a Current Report on Form 8-K to be filed with the Commission for incorporation by reference into the Registration Statement. In giving such consent, we do not thereby admit that we are in the category of persons whose consent is required under Section 7 of the Securities Act and the rules and regulations of the Commission promulgated thereunder.</w:t>
      </w:r>
    </w:p>
    <w:p>
      <w:pPr>
        <w:pStyle w:val="TextBody"/>
        <w:spacing w:before="240" w:after="283"/>
        <w:jc w:val="both"/>
        <w:rPr/>
      </w:pPr>
      <w:r>
        <w:rPr/>
      </w:r>
    </w:p>
    <w:tbl>
      <w:tblPr>
        <w:tblW w:w="2745" w:type="dxa"/>
        <w:jc w:val="left"/>
        <w:tblInd w:w="0" w:type="dxa"/>
        <w:tblCellMar>
          <w:top w:w="28" w:type="dxa"/>
          <w:left w:w="28" w:type="dxa"/>
          <w:bottom w:w="28" w:type="dxa"/>
          <w:right w:w="28" w:type="dxa"/>
        </w:tblCellMar>
      </w:tblPr>
      <w:tblGrid>
        <w:gridCol w:w="175"/>
        <w:gridCol w:w="154"/>
        <w:gridCol w:w="154"/>
        <w:gridCol w:w="154"/>
        <w:gridCol w:w="154"/>
        <w:gridCol w:w="154"/>
        <w:gridCol w:w="526"/>
        <w:gridCol w:w="526"/>
        <w:gridCol w:w="748"/>
      </w:tblGrid>
      <w:tr>
        <w:trPr/>
        <w:tc>
          <w:tcPr>
            <w:tcW w:w="17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Very truly yours,</w:t>
            </w:r>
          </w:p>
        </w:tc>
      </w:tr>
      <w:tr>
        <w:trPr/>
        <w:tc>
          <w:tcPr>
            <w:tcW w:w="274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COOLEY LLP</w:t>
            </w:r>
          </w:p>
        </w:tc>
      </w:tr>
      <w:tr>
        <w:trPr/>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/s/ John T. McKenna</w:t>
            </w:r>
          </w:p>
        </w:tc>
      </w:tr>
      <w:tr>
        <w:trPr/>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John T. McKenna</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48285"/>
                <wp:effectExtent l="0" t="0" r="0" b="0"/>
                <wp:wrapNone/>
                <wp:docPr id="42" name="Frame41"/>
                <a:graphic xmlns:a="http://schemas.openxmlformats.org/drawingml/2006/main">
                  <a:graphicData uri="http://schemas.microsoft.com/office/word/2010/wordprocessingShape">
                    <wps:wsp>
                      <wps:cNvSpPr txBox="1"/>
                      <wps:spPr>
                        <a:xfrm>
                          <a:off x="0" y="0"/>
                          <a:ext cx="6480175" cy="248285"/>
                        </a:xfrm>
                        <a:prstGeom prst="rect"/>
                      </wps:spPr>
                      <wps:txbx>
                        <w:txbxContent>
                          <w:p>
                            <w:pPr>
                              <w:pStyle w:val="TextBody"/>
                              <w:spacing w:lineRule="auto" w:line="343" w:before="0" w:after="0"/>
                              <w:jc w:val="center"/>
                              <w:rPr>
                                <w:rFonts w:ascii="Arial;sans-serif" w:hAnsi="Arial;sans-serif"/>
                                <w:b w:val="false"/>
                                <w:color w:val="000000"/>
                                <w:sz w:val="14"/>
                              </w:rPr>
                            </w:pPr>
                            <w:r>
                              <w:rPr>
                                <w:rFonts w:ascii="Arial;sans-serif" w:hAnsi="Arial;sans-serif"/>
                                <w:b w:val="false"/>
                                <w:color w:val="000000"/>
                                <w:sz w:val="14"/>
                              </w:rPr>
                              <w:t>Cooley LLP 3175 Hanover Street Palo Alto, CA 94304-1130</w:t>
                              <w:br/>
                              <w:t>t: (650) 843-5000 f: (650) 849-7400 cooley.com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43" w:before="0" w:after="0"/>
                        <w:jc w:val="center"/>
                        <w:rPr>
                          <w:rFonts w:ascii="Arial;sans-serif" w:hAnsi="Arial;sans-serif"/>
                          <w:b w:val="false"/>
                          <w:color w:val="000000"/>
                          <w:sz w:val="14"/>
                        </w:rPr>
                      </w:pPr>
                      <w:r>
                        <w:rPr>
                          <w:rFonts w:ascii="Arial;sans-serif" w:hAnsi="Arial;sans-serif"/>
                          <w:b w:val="false"/>
                          <w:color w:val="000000"/>
                          <w:sz w:val="14"/>
                        </w:rPr>
                        <w:t>Cooley LLP 3175 Hanover Street Palo Alto, CA 94304-1130</w:t>
                        <w:br/>
                        <w:t>t: (650) 843-5000 f: (650) 849-7400 cooley.com</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39</Pages>
  <Words>21311</Words>
  <CharactersWithSpaces>134246</CharactersWithSpaces>
  <Paragraphs>437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