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Davis Timothy E JR</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SI-BONE,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SIBN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5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w w:val="98"/>
              </w:rPr>
              <w:t>C/O SI-BONE, INC.</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20" w:type="dxa"/>
            <w:vAlign w:val="bottom"/>
            <w:gridSpan w:val="6"/>
          </w:tcPr>
          <w:p>
            <w:pPr>
              <w:ind w:left="160"/>
              <w:spacing w:after="0"/>
              <w:rPr>
                <w:sz w:val="20"/>
                <w:szCs w:val="20"/>
                <w:color w:val="auto"/>
              </w:rPr>
            </w:pPr>
            <w:r>
              <w:rPr>
                <w:rFonts w:ascii="Arial" w:cs="Arial" w:eastAsia="Arial" w:hAnsi="Arial"/>
                <w:sz w:val="17"/>
                <w:szCs w:val="17"/>
                <w:color w:val="0000FF"/>
              </w:rPr>
              <w:t>06/10/2021</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Arial" w:cs="Arial" w:eastAsia="Arial" w:hAnsi="Arial"/>
                <w:sz w:val="17"/>
                <w:szCs w:val="17"/>
                <w:color w:val="0000FF"/>
              </w:rPr>
              <w:t>471 EL CAMINO REAL, SUITE 101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840" w:type="dxa"/>
            <w:vAlign w:val="bottom"/>
            <w:vMerge w:val="restart"/>
          </w:tcPr>
          <w:p>
            <w:pPr>
              <w:ind w:left="580"/>
              <w:spacing w:after="0"/>
              <w:rPr>
                <w:sz w:val="20"/>
                <w:szCs w:val="20"/>
                <w:color w:val="auto"/>
              </w:rPr>
            </w:pPr>
            <w:r>
              <w:rPr>
                <w:rFonts w:ascii="Arial" w:cs="Arial" w:eastAsia="Arial" w:hAnsi="Arial"/>
                <w:sz w:val="17"/>
                <w:szCs w:val="17"/>
                <w:color w:val="0000FF"/>
              </w:rPr>
              <w:t>CA</w:t>
            </w: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95050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line="168" w:lineRule="exact"/>
              <w:rPr>
                <w:sz w:val="20"/>
                <w:szCs w:val="20"/>
                <w:color w:val="auto"/>
              </w:rPr>
            </w:pPr>
            <w:r>
              <w:rPr>
                <w:rFonts w:ascii="Arial" w:cs="Arial" w:eastAsia="Arial" w:hAnsi="Arial"/>
                <w:sz w:val="17"/>
                <w:szCs w:val="17"/>
                <w:color w:val="0000FF"/>
              </w:rPr>
              <w:t>CLARA</w:t>
            </w:r>
          </w:p>
        </w:tc>
        <w:tc>
          <w:tcPr>
            <w:tcW w:w="8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gridSpan w:val="2"/>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9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60" w:type="dxa"/>
            <w:vAlign w:val="bottom"/>
            <w:tcBorders>
              <w:bottom w:val="single" w:sz="8" w:color="2C2C2C"/>
            </w:tcBorders>
            <w:gridSpan w:val="3"/>
          </w:tcPr>
          <w:p>
            <w:pPr>
              <w:spacing w:after="0"/>
              <w:rPr>
                <w:sz w:val="11"/>
                <w:szCs w:val="11"/>
                <w:color w:val="auto"/>
              </w:rPr>
            </w:pPr>
          </w:p>
        </w:tc>
        <w:tc>
          <w:tcPr>
            <w:tcW w:w="248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460" w:type="dxa"/>
            <w:vAlign w:val="bottom"/>
            <w:tcBorders>
              <w:top w:val="single" w:sz="8" w:color="2C2C2C"/>
            </w:tcBorders>
            <w:gridSpan w:val="19"/>
          </w:tcPr>
          <w:p>
            <w:pPr>
              <w:ind w:left="3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Arial" w:cs="Arial" w:eastAsia="Arial" w:hAnsi="Arial"/>
                <w:sz w:val="17"/>
                <w:szCs w:val="17"/>
                <w:color w:val="0000FF"/>
              </w:rPr>
              <w:t>06/10/2021</w:t>
            </w:r>
          </w:p>
        </w:tc>
        <w:tc>
          <w:tcPr>
            <w:tcW w:w="4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3,848</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19,071</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be vesting 100% upon the earlier of (i) the next annual general meeting of the stockholders of the Company or (ii) the date one year from the Vesting Commencement Date, subject to the Reporting Person's continuous service as a member of the Company's Board of Directors until such date.</w:t>
      </w:r>
    </w:p>
    <w:p>
      <w:pPr>
        <w:spacing w:after="0" w:line="25" w:lineRule="exact"/>
        <w:rPr>
          <w:rFonts w:ascii="Arial" w:cs="Arial" w:eastAsia="Arial" w:hAnsi="Arial"/>
          <w:sz w:val="13"/>
          <w:szCs w:val="13"/>
          <w:color w:val="008000"/>
        </w:rPr>
      </w:pPr>
    </w:p>
    <w:p>
      <w:pPr>
        <w:ind w:left="40" w:right="2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3,848 shares issuable on settlement of restricted stock units granted to the Reporting Person. Each restricted stock unit represents a contingent right to receive one share of the Issuer's common stock.</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Timothy</w:t>
      </w:r>
      <w:r>
        <w:rPr>
          <w:sz w:val="20"/>
          <w:szCs w:val="20"/>
          <w:color w:val="auto"/>
        </w:rPr>
        <w:tab/>
      </w:r>
      <w:r>
        <w:rPr>
          <w:rFonts w:ascii="Arial" w:cs="Arial" w:eastAsia="Arial" w:hAnsi="Arial"/>
          <w:sz w:val="15"/>
          <w:szCs w:val="15"/>
          <w:color w:val="0000FF"/>
        </w:rPr>
        <w:t>06/14/2021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E. Davis,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34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3467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92082"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2021-06-14T16:42:05Z</dcterms:created>
  <dcterms:modified xsi:type="dcterms:W3CDTF">2021-06-14T16:42:05Z</dcterms:modified>
</cp:coreProperties>
</file>