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Valentine Keith</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Arial" w:cs="Arial" w:eastAsia="Arial" w:hAnsi="Arial"/>
                <w:sz w:val="17"/>
                <w:szCs w:val="17"/>
                <w:color w:val="0000FF"/>
                <w:w w:val="98"/>
              </w:rPr>
              <w:t>C/O SI-BONE,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06/10/2021</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gridSpan w:val="2"/>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06/10/2021</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3,848</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44,019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be vesting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3,848 shares issuable on settlement of restricted stock units granted to the Reporting Person. Each restricted stock unit represents a contingent right to receive one share of the Issuer's common stock.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Keith C.</w:t>
      </w:r>
      <w:r>
        <w:rPr>
          <w:sz w:val="20"/>
          <w:szCs w:val="20"/>
          <w:color w:val="auto"/>
        </w:rPr>
        <w:tab/>
      </w: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15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89408"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2021-06-14T16:42:37Z</dcterms:created>
  <dcterms:modified xsi:type="dcterms:W3CDTF">2021-06-14T16:42:37Z</dcterms:modified>
</cp:coreProperties>
</file>