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29,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56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Delaware</w:t>
            </w:r>
          </w:p>
        </w:tc>
        <w:tc>
          <w:tcPr>
            <w:tcW w:w="47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4"/>
              </w:rPr>
              <w:t>(State or other jurisdiction of</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4"/>
              </w:rPr>
              <w:t>(Commission</w:t>
            </w:r>
          </w:p>
        </w:tc>
        <w:tc>
          <w:tcPr>
            <w:tcW w:w="1940" w:type="dxa"/>
            <w:vAlign w:val="bottom"/>
          </w:tcPr>
          <w:p>
            <w:pPr>
              <w:jc w:val="center"/>
              <w:ind w:left="679"/>
              <w:spacing w:after="0"/>
              <w:rPr>
                <w:sz w:val="20"/>
                <w:szCs w:val="20"/>
                <w:color w:val="auto"/>
              </w:rPr>
            </w:pPr>
            <w:r>
              <w:rPr>
                <w:rFonts w:ascii="Arial" w:cs="Arial" w:eastAsia="Arial" w:hAnsi="Arial"/>
                <w:sz w:val="16"/>
                <w:szCs w:val="16"/>
                <w:color w:val="auto"/>
                <w:w w:val="93"/>
              </w:rPr>
              <w:t>(I.R.S. Employer</w:t>
            </w:r>
          </w:p>
        </w:tc>
      </w:tr>
      <w:tr>
        <w:trPr>
          <w:trHeight w:val="206"/>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3"/>
              </w:rPr>
              <w:t>incorporation or organization)</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940" w:type="dxa"/>
            <w:vAlign w:val="bottom"/>
          </w:tcPr>
          <w:p>
            <w:pPr>
              <w:jc w:val="center"/>
              <w:ind w:left="659"/>
              <w:spacing w:after="0"/>
              <w:rPr>
                <w:sz w:val="20"/>
                <w:szCs w:val="20"/>
                <w:color w:val="auto"/>
              </w:rPr>
            </w:pPr>
            <w:r>
              <w:rPr>
                <w:rFonts w:ascii="Arial" w:cs="Arial" w:eastAsia="Arial" w:hAnsi="Arial"/>
                <w:sz w:val="16"/>
                <w:szCs w:val="16"/>
                <w:color w:val="auto"/>
                <w:w w:val="96"/>
              </w:rPr>
              <w:t>Identification No.)</w:t>
            </w:r>
          </w:p>
        </w:tc>
      </w:tr>
      <w:tr>
        <w:trPr>
          <w:trHeight w:val="559"/>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940" w:type="dxa"/>
            <w:vAlign w:val="bottom"/>
          </w:tcPr>
          <w:p>
            <w:pPr>
              <w:spacing w:after="0"/>
              <w:rPr>
                <w:sz w:val="24"/>
                <w:szCs w:val="24"/>
                <w:color w:val="auto"/>
              </w:rPr>
            </w:pPr>
          </w:p>
        </w:tc>
      </w:tr>
      <w:tr>
        <w:trPr>
          <w:trHeight w:val="189"/>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94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94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color w:val="auto"/>
                <w:w w:val="93"/>
              </w:rPr>
              <w:t>(Address of principal executive offices) (Zip Code)</w:t>
            </w:r>
          </w:p>
        </w:tc>
        <w:tc>
          <w:tcPr>
            <w:tcW w:w="1940" w:type="dxa"/>
            <w:vAlign w:val="bottom"/>
          </w:tcPr>
          <w:p>
            <w:pPr>
              <w:spacing w:after="0"/>
              <w:rPr>
                <w:sz w:val="17"/>
                <w:szCs w:val="17"/>
                <w:color w:val="auto"/>
              </w:rPr>
            </w:pPr>
          </w:p>
        </w:tc>
      </w:tr>
      <w:tr>
        <w:trPr>
          <w:trHeight w:val="415"/>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94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940" w:type="dxa"/>
            <w:vAlign w:val="bottom"/>
          </w:tcPr>
          <w:p>
            <w:pPr>
              <w:spacing w:after="0"/>
              <w:rPr>
                <w:sz w:val="17"/>
                <w:szCs w:val="17"/>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left="1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71"/>
        </w:trPr>
        <w:tc>
          <w:tcPr>
            <w:tcW w:w="3420" w:type="dxa"/>
            <w:vAlign w:val="bottom"/>
            <w:gridSpan w:val="3"/>
          </w:tcPr>
          <w:p>
            <w:pPr>
              <w:jc w:val="center"/>
              <w:ind w:right="540"/>
              <w:spacing w:after="0"/>
              <w:rPr>
                <w:sz w:val="20"/>
                <w:szCs w:val="20"/>
                <w:color w:val="auto"/>
              </w:rPr>
            </w:pPr>
            <w:r>
              <w:rPr>
                <w:rFonts w:ascii="Arial" w:cs="Arial" w:eastAsia="Arial" w:hAnsi="Arial"/>
                <w:sz w:val="16"/>
                <w:szCs w:val="16"/>
                <w:color w:val="auto"/>
                <w:w w:val="90"/>
              </w:rPr>
              <w:t>Common Stock, par value $0.0001 per share</w:t>
            </w:r>
          </w:p>
        </w:tc>
        <w:tc>
          <w:tcPr>
            <w:tcW w:w="520" w:type="dxa"/>
            <w:vAlign w:val="bottom"/>
          </w:tcPr>
          <w:p>
            <w:pPr>
              <w:spacing w:after="0"/>
              <w:rPr>
                <w:sz w:val="23"/>
                <w:szCs w:val="23"/>
                <w:color w:val="auto"/>
              </w:rPr>
            </w:pPr>
          </w:p>
        </w:tc>
        <w:tc>
          <w:tcPr>
            <w:tcW w:w="2320" w:type="dxa"/>
            <w:vAlign w:val="bottom"/>
            <w:gridSpan w:val="2"/>
          </w:tcPr>
          <w:p>
            <w:pPr>
              <w:jc w:val="center"/>
              <w:ind w:right="102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37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29, 2020,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entered into a Loan and Security Agreement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with Solar Capital Ltd., a Maryland corporation (“</w:t>
      </w:r>
      <w:r>
        <w:rPr>
          <w:rFonts w:ascii="Arial" w:cs="Arial" w:eastAsia="Arial" w:hAnsi="Arial"/>
          <w:sz w:val="18"/>
          <w:szCs w:val="18"/>
          <w:b w:val="1"/>
          <w:bCs w:val="1"/>
          <w:i w:val="1"/>
          <w:iCs w:val="1"/>
          <w:color w:val="auto"/>
        </w:rPr>
        <w:t>Solar</w:t>
      </w:r>
      <w:r>
        <w:rPr>
          <w:rFonts w:ascii="Arial" w:cs="Arial" w:eastAsia="Arial" w:hAnsi="Arial"/>
          <w:sz w:val="18"/>
          <w:szCs w:val="18"/>
          <w:color w:val="auto"/>
        </w:rPr>
        <w:t>”), as collateral agent, and the lenders from time to time party thereto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entry into the Loan Agreement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the Company borrowed $40.0 million pursuant to a term loan (the “</w:t>
      </w:r>
      <w:r>
        <w:rPr>
          <w:rFonts w:ascii="Arial" w:cs="Arial" w:eastAsia="Arial" w:hAnsi="Arial"/>
          <w:sz w:val="18"/>
          <w:szCs w:val="18"/>
          <w:b w:val="1"/>
          <w:bCs w:val="1"/>
          <w:i w:val="1"/>
          <w:iCs w:val="1"/>
          <w:color w:val="auto"/>
        </w:rPr>
        <w:t>Solar Term Loan</w:t>
      </w:r>
      <w:r>
        <w:rPr>
          <w:rFonts w:ascii="Arial" w:cs="Arial" w:eastAsia="Arial" w:hAnsi="Arial"/>
          <w:sz w:val="18"/>
          <w:szCs w:val="18"/>
          <w:color w:val="auto"/>
        </w:rPr>
        <w:t>”). The Company used the proceeds of the Solar Term Loan to repay in full and terminate the Company’s existing credit facility with BioPharma Credit Investments IV Sub LP (the “</w:t>
      </w:r>
      <w:r>
        <w:rPr>
          <w:rFonts w:ascii="Arial" w:cs="Arial" w:eastAsia="Arial" w:hAnsi="Arial"/>
          <w:sz w:val="18"/>
          <w:szCs w:val="18"/>
          <w:b w:val="1"/>
          <w:bCs w:val="1"/>
          <w:i w:val="1"/>
          <w:iCs w:val="1"/>
          <w:color w:val="auto"/>
        </w:rPr>
        <w:t>Pharmakon Term Loan</w:t>
      </w:r>
      <w:r>
        <w:rPr>
          <w:rFonts w:ascii="Arial" w:cs="Arial" w:eastAsia="Arial" w:hAnsi="Arial"/>
          <w:sz w:val="18"/>
          <w:szCs w:val="18"/>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Solar Term Loan will be payable monthly at a floating annual rate of 9.40% plus the greater of (i) the London Inter-bank Offered Rate published by the Intercontinental Exchange Benchmark Administration Ltd. for a period of one month and (ii) 0.33%. The maturity date for the Solar Term Loan will be June 1,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Commencing on July 1, 2023, the Company will be required to make monthly principal amortization payments.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elect to prepay the Solar Term Loan prior to the Maturity Date subject to a prepayment fee equal to 3.00% if the prepayment occurs within one year of the Closing, 1.25% if the prepayment occurs during the second year following the Closing, and 0.50% if the prepayment occurs more than two years after the Closing and prior to the Maturity Date.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Solar Term Loan is secured by substantially all of the Company’s assets. The Loan Agreement also contains a financial covenant related to the Company’s liquidity based on the Company’s trailing twelve-month net product revenues. The Company is required to hold at least $15.0 million in cash and cash equivalents so long as trailing twelve-month net product revenues are less than $75.0 million and at least $7.5 million in cash and cash equivalents so long as trailing twelve-month net product revenues are greater than or equal to $75.0 million but less than $100.0 million (collectively “</w:t>
      </w:r>
      <w:r>
        <w:rPr>
          <w:rFonts w:ascii="Arial" w:cs="Arial" w:eastAsia="Arial" w:hAnsi="Arial"/>
          <w:sz w:val="18"/>
          <w:szCs w:val="18"/>
          <w:b w:val="1"/>
          <w:bCs w:val="1"/>
          <w:i w:val="1"/>
          <w:iCs w:val="1"/>
          <w:color w:val="auto"/>
        </w:rPr>
        <w:t>Minimum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Liquidity Requirements</w:t>
      </w:r>
      <w:r>
        <w:rPr>
          <w:rFonts w:ascii="Arial" w:cs="Arial" w:eastAsia="Arial" w:hAnsi="Arial"/>
          <w:sz w:val="18"/>
          <w:szCs w:val="18"/>
          <w:color w:val="auto"/>
        </w:rPr>
        <w:t>”). The Company is not subject to a Minimum Liquidity Requirement when trailing twelve-month net product revenues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 million.</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Loan Agreement contains customary events of default, including bankruptcy, the failure to make payments when due, the occurrence of a material impairment on the Lenders’ security interest over the collateral, a material adverse change, the occurrence of a default under certain other indebtedness of the Company and its subsidiaries, the rendering of certain types of judgments against the Company and its subsidiaries, the revocation of certain government approvals, violation of covenants, and incorrectness of representations and warranties in any material respect. Upon the occurrence of an event of default, subject to specified cure periods, all amounts owed by the Company would begin to bear interest at a rate that is 5.00% above the rate effective immediately before the event of default and may be declared immediately due and payable by the Lenders.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Agreement also contains certain restrictive covenants that limit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as well as financial reporting requirements.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Company’s entry into the Loan Agreement, on May 29, 2020, the Company prepaid in full all outstanding obligations under, and terminated, the Pharmakon Term Loan, made pursuant to the Loan Agreement, dated October 13, 2017, between SI-BONE and Biopharma Credit Investments IV Sub LP, as amended on June 15, 2018, (the “</w:t>
      </w:r>
      <w:r>
        <w:rPr>
          <w:rFonts w:ascii="Arial" w:cs="Arial" w:eastAsia="Arial" w:hAnsi="Arial"/>
          <w:sz w:val="18"/>
          <w:szCs w:val="18"/>
          <w:b w:val="1"/>
          <w:bCs w:val="1"/>
          <w:i w:val="1"/>
          <w:iCs w:val="1"/>
          <w:color w:val="auto"/>
        </w:rPr>
        <w:t>Pharmakon Agreement</w:t>
      </w:r>
      <w:r>
        <w:rPr>
          <w:rFonts w:ascii="Arial" w:cs="Arial" w:eastAsia="Arial" w:hAnsi="Arial"/>
          <w:sz w:val="18"/>
          <w:szCs w:val="18"/>
          <w:color w:val="auto"/>
        </w:rPr>
        <w:t>”). The material terms and conditions of the Pharmakon Agreement were described in the Company’s Annual Report on Form 10-K for the year ended December 31, 2019, and such description is incorporated herein by reference. In connection with this prepayment, the Company paid total consideration of approximately $41.6 million, which consisted of (i) $40.0 million of remaining principal amount outstanding, (ii) approximately $0.8 million of accrued and unpaid interest, and (iii) approximately $0.8 million in prepayment fees and transaction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by reference here.</w:t>
      </w:r>
    </w:p>
    <w:p>
      <w:pPr>
        <w:sectPr>
          <w:pgSz w:w="11900" w:h="16838" w:orient="portrait"/>
          <w:cols w:equalWidth="0" w:num="1">
            <w:col w:w="11240"/>
          </w:cols>
          <w:pgMar w:left="320" w:top="116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20"/>
        <w:spacing w:after="0"/>
        <w:tabs>
          <w:tab w:leader="none" w:pos="820" w:val="left"/>
          <w:tab w:leader="none" w:pos="4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0720"/>
      </w:cols>
      <w:pgMar w:left="320" w:top="113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2020-06-01T07:59:49Z</dcterms:created>
  <dcterms:modified xsi:type="dcterms:W3CDTF">2020-06-01T07:59:49Z</dcterms:modified>
</cp:coreProperties>
</file>