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As filed with the U.S. Securities and Exchange Commission on October 16, 2018</w:t>
      </w:r>
    </w:p>
    <w:p>
      <w:pPr>
        <w:spacing w:after="0" w:line="4"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69977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S-1</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REGISTRATION STATEMENT</w:t>
      </w:r>
    </w:p>
    <w:p>
      <w:pPr>
        <w:jc w:val="center"/>
        <w:ind w:right="20"/>
        <w:spacing w:after="0" w:line="221" w:lineRule="auto"/>
        <w:rPr>
          <w:sz w:val="20"/>
          <w:szCs w:val="20"/>
          <w:color w:val="auto"/>
        </w:rPr>
      </w:pPr>
      <w:r>
        <w:rPr>
          <w:rFonts w:ascii="Arial" w:cs="Arial" w:eastAsia="Arial" w:hAnsi="Arial"/>
          <w:sz w:val="14"/>
          <w:szCs w:val="14"/>
          <w:b w:val="1"/>
          <w:bCs w:val="1"/>
          <w:color w:val="auto"/>
        </w:rPr>
        <w:t>Under</w:t>
      </w:r>
    </w:p>
    <w:p>
      <w:pPr>
        <w:jc w:val="center"/>
        <w:ind w:right="20"/>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SI-BONE, INC.</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278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3841</w:t>
            </w:r>
          </w:p>
        </w:tc>
        <w:tc>
          <w:tcPr>
            <w:tcW w:w="2420" w:type="dxa"/>
            <w:vAlign w:val="bottom"/>
          </w:tcPr>
          <w:p>
            <w:pPr>
              <w:jc w:val="center"/>
              <w:ind w:left="1028"/>
              <w:spacing w:after="0"/>
              <w:rPr>
                <w:sz w:val="20"/>
                <w:szCs w:val="20"/>
                <w:color w:val="auto"/>
              </w:rPr>
            </w:pPr>
            <w:r>
              <w:rPr>
                <w:rFonts w:ascii="Arial" w:cs="Arial" w:eastAsia="Arial" w:hAnsi="Arial"/>
                <w:sz w:val="14"/>
                <w:szCs w:val="14"/>
                <w:b w:val="1"/>
                <w:bCs w:val="1"/>
                <w:color w:val="auto"/>
                <w:w w:val="90"/>
              </w:rPr>
              <w:t>26-2216351</w:t>
            </w:r>
          </w:p>
        </w:tc>
      </w:tr>
      <w:tr>
        <w:trPr>
          <w:trHeight w:val="149"/>
        </w:trPr>
        <w:tc>
          <w:tcPr>
            <w:tcW w:w="2780" w:type="dxa"/>
            <w:vAlign w:val="bottom"/>
          </w:tcPr>
          <w:p>
            <w:pPr>
              <w:jc w:val="center"/>
              <w:ind w:right="94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color w:val="auto"/>
                <w:w w:val="94"/>
              </w:rPr>
              <w:t>(Primary Standard Industrial</w:t>
            </w:r>
          </w:p>
        </w:tc>
        <w:tc>
          <w:tcPr>
            <w:tcW w:w="2420" w:type="dxa"/>
            <w:vAlign w:val="bottom"/>
          </w:tcPr>
          <w:p>
            <w:pPr>
              <w:jc w:val="center"/>
              <w:ind w:left="10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80" w:type="dxa"/>
            <w:vAlign w:val="bottom"/>
          </w:tcPr>
          <w:p>
            <w:pPr>
              <w:jc w:val="center"/>
              <w:ind w:right="928"/>
              <w:spacing w:after="0"/>
              <w:rPr>
                <w:sz w:val="20"/>
                <w:szCs w:val="20"/>
                <w:color w:val="auto"/>
              </w:rPr>
            </w:pPr>
            <w:r>
              <w:rPr>
                <w:rFonts w:ascii="Arial" w:cs="Arial" w:eastAsia="Arial" w:hAnsi="Arial"/>
                <w:sz w:val="14"/>
                <w:szCs w:val="14"/>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420" w:type="dxa"/>
            <w:vAlign w:val="bottom"/>
          </w:tcPr>
          <w:p>
            <w:pPr>
              <w:jc w:val="center"/>
              <w:ind w:left="102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85090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SI-BONE, Inc.</w:t>
      </w:r>
    </w:p>
    <w:p>
      <w:pPr>
        <w:jc w:val="center"/>
        <w:ind w:right="20"/>
        <w:spacing w:after="0" w:line="226" w:lineRule="auto"/>
        <w:rPr>
          <w:sz w:val="20"/>
          <w:szCs w:val="20"/>
          <w:color w:val="auto"/>
        </w:rPr>
      </w:pPr>
      <w:r>
        <w:rPr>
          <w:rFonts w:ascii="Arial" w:cs="Arial" w:eastAsia="Arial" w:hAnsi="Arial"/>
          <w:sz w:val="14"/>
          <w:szCs w:val="14"/>
          <w:b w:val="1"/>
          <w:bCs w:val="1"/>
          <w:color w:val="auto"/>
        </w:rPr>
        <w:t>471 El Camino Real, Suite 101</w:t>
      </w:r>
    </w:p>
    <w:p>
      <w:pPr>
        <w:jc w:val="center"/>
        <w:ind w:right="20"/>
        <w:spacing w:after="0" w:line="222" w:lineRule="auto"/>
        <w:rPr>
          <w:sz w:val="20"/>
          <w:szCs w:val="20"/>
          <w:color w:val="auto"/>
        </w:rPr>
      </w:pPr>
      <w:r>
        <w:rPr>
          <w:rFonts w:ascii="Arial" w:cs="Arial" w:eastAsia="Arial" w:hAnsi="Arial"/>
          <w:sz w:val="14"/>
          <w:szCs w:val="14"/>
          <w:b w:val="1"/>
          <w:bCs w:val="1"/>
          <w:color w:val="auto"/>
        </w:rPr>
        <w:t>Santa Clara, California 95050</w:t>
      </w:r>
    </w:p>
    <w:p>
      <w:pPr>
        <w:jc w:val="center"/>
        <w:ind w:right="20"/>
        <w:spacing w:after="0" w:line="221" w:lineRule="auto"/>
        <w:rPr>
          <w:sz w:val="20"/>
          <w:szCs w:val="20"/>
          <w:color w:val="auto"/>
        </w:rPr>
      </w:pPr>
      <w:r>
        <w:rPr>
          <w:rFonts w:ascii="Arial" w:cs="Arial" w:eastAsia="Arial" w:hAnsi="Arial"/>
          <w:sz w:val="14"/>
          <w:szCs w:val="14"/>
          <w:b w:val="1"/>
          <w:bCs w:val="1"/>
          <w:color w:val="auto"/>
        </w:rPr>
        <w:t>(408) 207-0700</w:t>
      </w:r>
    </w:p>
    <w:p>
      <w:pPr>
        <w:jc w:val="center"/>
        <w:ind w:right="2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Laura A. Francis</w:t>
      </w:r>
    </w:p>
    <w:p>
      <w:pPr>
        <w:jc w:val="center"/>
        <w:ind w:right="20"/>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ind w:right="20"/>
        <w:spacing w:after="0" w:line="222" w:lineRule="auto"/>
        <w:rPr>
          <w:sz w:val="20"/>
          <w:szCs w:val="20"/>
          <w:color w:val="auto"/>
        </w:rPr>
      </w:pPr>
      <w:r>
        <w:rPr>
          <w:rFonts w:ascii="Arial" w:cs="Arial" w:eastAsia="Arial" w:hAnsi="Arial"/>
          <w:sz w:val="14"/>
          <w:szCs w:val="14"/>
          <w:b w:val="1"/>
          <w:bCs w:val="1"/>
          <w:color w:val="auto"/>
        </w:rPr>
        <w:t>SI-BONE, Inc.</w:t>
      </w:r>
    </w:p>
    <w:p>
      <w:pPr>
        <w:jc w:val="center"/>
        <w:ind w:right="20"/>
        <w:spacing w:after="0" w:line="221" w:lineRule="auto"/>
        <w:rPr>
          <w:sz w:val="20"/>
          <w:szCs w:val="20"/>
          <w:color w:val="auto"/>
        </w:rPr>
      </w:pPr>
      <w:r>
        <w:rPr>
          <w:rFonts w:ascii="Arial" w:cs="Arial" w:eastAsia="Arial" w:hAnsi="Arial"/>
          <w:sz w:val="14"/>
          <w:szCs w:val="14"/>
          <w:b w:val="1"/>
          <w:bCs w:val="1"/>
          <w:color w:val="auto"/>
        </w:rPr>
        <w:t>471 El Camino Real, Suite 101</w:t>
      </w:r>
    </w:p>
    <w:p>
      <w:pPr>
        <w:jc w:val="center"/>
        <w:ind w:right="20"/>
        <w:spacing w:after="0" w:line="222" w:lineRule="auto"/>
        <w:rPr>
          <w:sz w:val="20"/>
          <w:szCs w:val="20"/>
          <w:color w:val="auto"/>
        </w:rPr>
      </w:pPr>
      <w:r>
        <w:rPr>
          <w:rFonts w:ascii="Arial" w:cs="Arial" w:eastAsia="Arial" w:hAnsi="Arial"/>
          <w:sz w:val="14"/>
          <w:szCs w:val="14"/>
          <w:b w:val="1"/>
          <w:bCs w:val="1"/>
          <w:color w:val="auto"/>
        </w:rPr>
        <w:t>Santa Clara, California 95050</w:t>
      </w:r>
    </w:p>
    <w:p>
      <w:pPr>
        <w:jc w:val="center"/>
        <w:ind w:right="20"/>
        <w:spacing w:after="0" w:line="221" w:lineRule="auto"/>
        <w:rPr>
          <w:sz w:val="20"/>
          <w:szCs w:val="20"/>
          <w:color w:val="auto"/>
        </w:rPr>
      </w:pPr>
      <w:r>
        <w:rPr>
          <w:rFonts w:ascii="Arial" w:cs="Arial" w:eastAsia="Arial" w:hAnsi="Arial"/>
          <w:sz w:val="14"/>
          <w:szCs w:val="14"/>
          <w:b w:val="1"/>
          <w:bCs w:val="1"/>
          <w:color w:val="auto"/>
        </w:rPr>
        <w:t>(408) 207-0700</w:t>
      </w:r>
    </w:p>
    <w:p>
      <w:pPr>
        <w:jc w:val="center"/>
        <w:ind w:right="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660" w:type="dxa"/>
            <w:vAlign w:val="bottom"/>
            <w:vMerge w:val="restart"/>
          </w:tcPr>
          <w:p>
            <w:pPr>
              <w:jc w:val="center"/>
              <w:ind w:right="948"/>
              <w:spacing w:after="0"/>
              <w:rPr>
                <w:sz w:val="20"/>
                <w:szCs w:val="20"/>
                <w:color w:val="auto"/>
              </w:rPr>
            </w:pPr>
            <w:r>
              <w:rPr>
                <w:rFonts w:ascii="Arial" w:cs="Arial" w:eastAsia="Arial" w:hAnsi="Arial"/>
                <w:sz w:val="14"/>
                <w:szCs w:val="14"/>
                <w:b w:val="1"/>
                <w:bCs w:val="1"/>
                <w:color w:val="auto"/>
                <w:w w:val="95"/>
              </w:rPr>
              <w:t>Matthew B. Hemington</w:t>
            </w:r>
          </w:p>
        </w:tc>
        <w:tc>
          <w:tcPr>
            <w:tcW w:w="3800" w:type="dxa"/>
            <w:vAlign w:val="bottom"/>
          </w:tcPr>
          <w:p>
            <w:pPr>
              <w:ind w:left="1560"/>
              <w:spacing w:after="0"/>
              <w:rPr>
                <w:sz w:val="20"/>
                <w:szCs w:val="20"/>
                <w:color w:val="auto"/>
              </w:rPr>
            </w:pPr>
            <w:r>
              <w:rPr>
                <w:rFonts w:ascii="Arial" w:cs="Arial" w:eastAsia="Arial" w:hAnsi="Arial"/>
                <w:sz w:val="14"/>
                <w:szCs w:val="14"/>
                <w:i w:val="1"/>
                <w:iCs w:val="1"/>
                <w:color w:val="auto"/>
              </w:rPr>
              <w:t>Copies to:</w:t>
            </w:r>
          </w:p>
        </w:tc>
        <w:tc>
          <w:tcPr>
            <w:tcW w:w="264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4"/>
              </w:rPr>
              <w:t>Michael Benjamin</w:t>
            </w: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Michael A. Pisetsky</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John T. McKenna</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264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3"/>
              </w:rPr>
              <w:t>Peter J. Sluka</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SI-BONE, Inc.</w:t>
            </w:r>
          </w:p>
        </w:tc>
        <w:tc>
          <w:tcPr>
            <w:tcW w:w="264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rPr>
              <w:t>Latham &amp; Watkins LLP</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471 El Camino Real, Suite 101</w:t>
            </w:r>
          </w:p>
        </w:tc>
        <w:tc>
          <w:tcPr>
            <w:tcW w:w="264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4"/>
              </w:rPr>
              <w:t>885 Third Avenue</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Santa Clara, California 95050</w:t>
            </w:r>
          </w:p>
        </w:tc>
        <w:tc>
          <w:tcPr>
            <w:tcW w:w="264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0" w:type="dxa"/>
            <w:vAlign w:val="bottom"/>
          </w:tcPr>
          <w:p>
            <w:pPr>
              <w:spacing w:after="0"/>
              <w:rPr>
                <w:sz w:val="1"/>
                <w:szCs w:val="1"/>
                <w:color w:val="auto"/>
              </w:rPr>
            </w:pPr>
          </w:p>
        </w:tc>
      </w:tr>
      <w:tr>
        <w:trPr>
          <w:trHeight w:val="186"/>
        </w:trPr>
        <w:tc>
          <w:tcPr>
            <w:tcW w:w="266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(650) 843-5000</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3"/>
              </w:rPr>
              <w:t>(408) 207-0700</w:t>
            </w:r>
          </w:p>
        </w:tc>
        <w:tc>
          <w:tcPr>
            <w:tcW w:w="2640" w:type="dxa"/>
            <w:vAlign w:val="bottom"/>
          </w:tcPr>
          <w:p>
            <w:pPr>
              <w:jc w:val="center"/>
              <w:ind w:left="908"/>
              <w:spacing w:after="0"/>
              <w:rPr>
                <w:sz w:val="20"/>
                <w:szCs w:val="20"/>
                <w:color w:val="auto"/>
              </w:rPr>
            </w:pPr>
            <w:r>
              <w:rPr>
                <w:rFonts w:ascii="Arial" w:cs="Arial" w:eastAsia="Arial" w:hAnsi="Arial"/>
                <w:sz w:val="14"/>
                <w:szCs w:val="14"/>
                <w:b w:val="1"/>
                <w:bCs w:val="1"/>
                <w:color w:val="auto"/>
                <w:w w:val="93"/>
              </w:rPr>
              <w:t>(212) 906-1200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41910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1"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46" w:lineRule="exact"/>
        <w:rPr>
          <w:sz w:val="24"/>
          <w:szCs w:val="24"/>
          <w:color w:val="auto"/>
        </w:rPr>
      </w:pPr>
    </w:p>
    <w:p>
      <w:pPr>
        <w:ind w:right="440" w:firstLine="33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70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Arial" w:cs="Arial" w:eastAsia="Arial" w:hAnsi="Arial"/>
          <w:sz w:val="14"/>
          <w:szCs w:val="14"/>
          <w:color w:val="auto"/>
        </w:rPr>
        <w:t xml:space="preserve"> (File No. 333-227445)</w:t>
      </w:r>
    </w:p>
    <w:p>
      <w:pPr>
        <w:spacing w:after="0" w:line="19" w:lineRule="exact"/>
        <w:rPr>
          <w:sz w:val="24"/>
          <w:szCs w:val="24"/>
          <w:color w:val="auto"/>
        </w:rPr>
      </w:pPr>
    </w:p>
    <w:p>
      <w:pPr>
        <w:ind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140" w:firstLine="331"/>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p>
      <w:pPr>
        <w:ind w:right="880"/>
        <w:spacing w:after="0" w:line="228"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46" w:lineRule="exact"/>
        <w:rPr>
          <w:sz w:val="24"/>
          <w:szCs w:val="24"/>
          <w:color w:val="auto"/>
        </w:rPr>
      </w:pPr>
    </w:p>
    <w:p>
      <w:pPr>
        <w:ind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100965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02"/>
        </w:trPr>
        <w:tc>
          <w:tcPr>
            <w:tcW w:w="20" w:type="dxa"/>
            <w:vAlign w:val="bottom"/>
          </w:tcPr>
          <w:p>
            <w:pPr>
              <w:spacing w:after="0"/>
              <w:rPr>
                <w:sz w:val="8"/>
                <w:szCs w:val="8"/>
                <w:color w:val="auto"/>
              </w:rPr>
            </w:pPr>
          </w:p>
        </w:tc>
        <w:tc>
          <w:tcPr>
            <w:tcW w:w="398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7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74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98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jc w:val="center"/>
              <w:ind w:left="14"/>
              <w:spacing w:after="0" w:line="135" w:lineRule="exact"/>
              <w:rPr>
                <w:sz w:val="20"/>
                <w:szCs w:val="20"/>
                <w:color w:val="auto"/>
              </w:rPr>
            </w:pPr>
            <w:r>
              <w:rPr>
                <w:rFonts w:ascii="Arial" w:cs="Arial" w:eastAsia="Arial" w:hAnsi="Arial"/>
                <w:sz w:val="13"/>
                <w:szCs w:val="13"/>
                <w:b w:val="1"/>
                <w:bCs w:val="1"/>
                <w:color w:val="auto"/>
                <w:w w:val="88"/>
              </w:rPr>
              <w:t>Amount to be</w:t>
            </w:r>
          </w:p>
        </w:tc>
        <w:tc>
          <w:tcPr>
            <w:tcW w:w="1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 Offering</w:t>
            </w: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r>
      <w:tr>
        <w:trPr>
          <w:trHeight w:val="162"/>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78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9"/>
              </w:rPr>
              <w:t>Registered</w:t>
            </w:r>
            <w:r>
              <w:rPr>
                <w:rFonts w:ascii="Arial" w:cs="Arial" w:eastAsia="Arial" w:hAnsi="Arial"/>
                <w:sz w:val="10"/>
                <w:szCs w:val="10"/>
                <w:b w:val="1"/>
                <w:bCs w:val="1"/>
                <w:color w:val="auto"/>
                <w:w w:val="89"/>
              </w:rPr>
              <w:t>(1)(2)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 Share</w:t>
            </w:r>
            <w:r>
              <w:rPr>
                <w:rFonts w:ascii="Arial" w:cs="Arial" w:eastAsia="Arial" w:hAnsi="Arial"/>
                <w:sz w:val="10"/>
                <w:szCs w:val="10"/>
                <w:b w:val="1"/>
                <w:bCs w:val="1"/>
                <w:color w:val="auto"/>
                <w:w w:val="90"/>
              </w:rPr>
              <w:t>(3)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0"/>
                <w:szCs w:val="10"/>
                <w:b w:val="1"/>
                <w:bCs w:val="1"/>
                <w:color w:val="auto"/>
                <w:w w:val="92"/>
              </w:rPr>
              <w:t>(1)(3)</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Registration Fee</w:t>
            </w:r>
            <w:r>
              <w:rPr>
                <w:rFonts w:ascii="Arial" w:cs="Arial" w:eastAsia="Arial" w:hAnsi="Arial"/>
                <w:sz w:val="10"/>
                <w:szCs w:val="10"/>
                <w:b w:val="1"/>
                <w:bCs w:val="1"/>
                <w:color w:val="auto"/>
                <w:w w:val="87"/>
              </w:rPr>
              <w:t>(4)</w:t>
            </w:r>
          </w:p>
        </w:tc>
      </w:tr>
      <w:tr>
        <w:trPr>
          <w:trHeight w:val="163"/>
        </w:trPr>
        <w:tc>
          <w:tcPr>
            <w:tcW w:w="4000" w:type="dxa"/>
            <w:vAlign w:val="bottom"/>
            <w:tcBorders>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Common Stock, par value $0.0001 per share</w:t>
            </w:r>
          </w:p>
        </w:tc>
        <w:tc>
          <w:tcPr>
            <w:tcW w:w="1780" w:type="dxa"/>
            <w:vAlign w:val="bottom"/>
            <w:tcBorders>
              <w:right w:val="single" w:sz="8" w:color="auto"/>
            </w:tcBorders>
          </w:tcPr>
          <w:p>
            <w:pPr>
              <w:jc w:val="center"/>
              <w:ind w:left="14"/>
              <w:spacing w:after="0" w:line="155" w:lineRule="exact"/>
              <w:rPr>
                <w:sz w:val="20"/>
                <w:szCs w:val="20"/>
                <w:color w:val="auto"/>
              </w:rPr>
            </w:pPr>
            <w:r>
              <w:rPr>
                <w:rFonts w:ascii="Arial" w:cs="Arial" w:eastAsia="Arial" w:hAnsi="Arial"/>
                <w:sz w:val="14"/>
                <w:szCs w:val="14"/>
                <w:color w:val="auto"/>
                <w:w w:val="93"/>
              </w:rPr>
              <w:t>1,380,000</w:t>
            </w:r>
          </w:p>
        </w:tc>
        <w:tc>
          <w:tcPr>
            <w:tcW w:w="17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8"/>
              </w:rPr>
              <w:t>$15.00</w:t>
            </w:r>
          </w:p>
        </w:tc>
        <w:tc>
          <w:tcPr>
            <w:tcW w:w="17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$20,700,000</w:t>
            </w:r>
          </w:p>
        </w:tc>
        <w:tc>
          <w:tcPr>
            <w:tcW w:w="1740" w:type="dxa"/>
            <w:vAlign w:val="bottom"/>
          </w:tcPr>
          <w:p>
            <w:pPr>
              <w:jc w:val="center"/>
              <w:spacing w:after="0" w:line="155" w:lineRule="exact"/>
              <w:rPr>
                <w:sz w:val="20"/>
                <w:szCs w:val="20"/>
                <w:color w:val="auto"/>
              </w:rPr>
            </w:pPr>
            <w:r>
              <w:rPr>
                <w:rFonts w:ascii="Arial" w:cs="Arial" w:eastAsia="Arial" w:hAnsi="Arial"/>
                <w:sz w:val="14"/>
                <w:szCs w:val="14"/>
                <w:color w:val="auto"/>
                <w:w w:val="93"/>
              </w:rPr>
              <w:t>$2,509</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9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4"/>
          <w:szCs w:val="24"/>
          <w:color w:val="auto"/>
        </w:rPr>
      </w:pP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180,000 shares that the underwriters have the option to purchase.</w:t>
      </w:r>
    </w:p>
    <w:p>
      <w:pPr>
        <w:ind w:left="320" w:right="500" w:hanging="316"/>
        <w:spacing w:after="0" w:line="221" w:lineRule="auto"/>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is registering 1,380,000 shares pursuant to this Registration Statement, which shares are in addition to the 6,900,000 shares registered pursuant to the Registration Statement on Form S-1 (File No. 333-227445).</w:t>
      </w:r>
    </w:p>
    <w:p>
      <w:pPr>
        <w:ind w:left="320" w:hanging="316"/>
        <w:spacing w:after="0" w:line="221" w:lineRule="auto"/>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is based upon the public offering price.</w:t>
      </w:r>
    </w:p>
    <w:p>
      <w:pPr>
        <w:spacing w:after="0" w:line="187"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b w:val="1"/>
          <w:bCs w:val="1"/>
          <w:color w:val="auto"/>
        </w:rPr>
        <w:t>This Registration Statement shall become effective upon filing in accordance with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-130175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92075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152400</wp:posOffset>
            </wp:positionV>
            <wp:extent cx="699770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1040"/>
          </w:cols>
          <w:pgMar w:left="440" w:top="225" w:right="4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AND INCORPORATION OF CERTAIN INFORMATION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Pursuant to Rule 462(b) under the Securities Act of 1933, as amended, SI-BONE, Inc.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is filing this Registration Statement on</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Form S-1 (this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This Registration Statement relates to the public offering of securities contemplated by the Registration Statement on Form S-1, as amended (File No. 333-227445) (the “</w:t>
      </w:r>
      <w:r>
        <w:rPr>
          <w:rFonts w:ascii="Arial" w:cs="Arial" w:eastAsia="Arial" w:hAnsi="Arial"/>
          <w:sz w:val="18"/>
          <w:szCs w:val="18"/>
          <w:b w:val="1"/>
          <w:bCs w:val="1"/>
          <w:i w:val="1"/>
          <w:iCs w:val="1"/>
          <w:color w:val="auto"/>
        </w:rPr>
        <w:t>Prior 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which the Registrant originally filed with the Commission on September 20, 2018, and which the Commission declared effective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16, 2018.</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Registrant is filing this Registration Statement for the sole purpose of increasing the aggregate number of shares of common stock offered by the Registrant by 1,380,000 shares, 180,000 of which may be sold by the Registrant in the event the underwriters exercise their option to purchase additional shares of the Registrant’s common stock. The additional shares that are being registered for issuance and sale are in an amount and at a price that together represent no more than 20% of the maximum aggregate offering price set forth in the Calculation of Registration Fee table contained in the Prior Registration Statement. The information set forth in the Prior Registration Statement and all exhibits to the Prior Registration Statement are hereby incorporated by reference into this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required opinion and consents are listed on the Exhibit Index below and filed herewith.</w:t>
      </w:r>
    </w:p>
    <w:p>
      <w:pPr>
        <w:sectPr>
          <w:pgSz w:w="11900" w:h="16838" w:orient="portrait"/>
          <w:cols w:equalWidth="0" w:num="1">
            <w:col w:w="11000"/>
          </w:cols>
          <w:pgMar w:left="440" w:top="27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40" w:type="dxa"/>
            <w:vAlign w:val="bottom"/>
            <w:gridSpan w:val="5"/>
          </w:tcPr>
          <w:p>
            <w:pPr>
              <w:ind w:left="10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540" w:type="dxa"/>
            <w:vAlign w:val="bottom"/>
            <w:gridSpan w:val="4"/>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20" w:type="dxa"/>
            <w:vAlign w:val="bottom"/>
          </w:tcPr>
          <w:p>
            <w:pPr>
              <w:spacing w:after="0"/>
              <w:rPr>
                <w:sz w:val="24"/>
                <w:szCs w:val="24"/>
                <w:color w:val="auto"/>
              </w:rPr>
            </w:pPr>
          </w:p>
        </w:tc>
        <w:tc>
          <w:tcPr>
            <w:tcW w:w="7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4"/>
                <w:szCs w:val="24"/>
                <w:color w:val="auto"/>
              </w:rPr>
            </w:pPr>
          </w:p>
        </w:tc>
        <w:tc>
          <w:tcPr>
            <w:tcW w:w="4340" w:type="dxa"/>
            <w:vAlign w:val="bottom"/>
            <w:gridSpan w:val="4"/>
          </w:tcPr>
          <w:p>
            <w:pPr>
              <w:spacing w:after="0"/>
              <w:rPr>
                <w:sz w:val="20"/>
                <w:szCs w:val="20"/>
                <w:color w:val="auto"/>
              </w:rPr>
            </w:pPr>
            <w:r>
              <w:rPr>
                <w:rFonts w:ascii="Arial" w:cs="Arial" w:eastAsia="Arial" w:hAnsi="Arial"/>
                <w:sz w:val="18"/>
                <w:szCs w:val="18"/>
                <w:color w:val="0000EE"/>
              </w:rPr>
              <w:t>Opinion of Cooley LLP.</w:t>
            </w:r>
          </w:p>
        </w:tc>
        <w:tc>
          <w:tcPr>
            <w:tcW w:w="700" w:type="dxa"/>
            <w:vAlign w:val="bottom"/>
            <w:tcBorders>
              <w:top w:val="single" w:sz="8" w:color="auto"/>
            </w:tcBorders>
          </w:tcPr>
          <w:p>
            <w:pPr>
              <w:spacing w:after="0"/>
              <w:rPr>
                <w:sz w:val="24"/>
                <w:szCs w:val="24"/>
                <w:color w:val="auto"/>
              </w:rPr>
            </w:pPr>
          </w:p>
        </w:tc>
        <w:tc>
          <w:tcPr>
            <w:tcW w:w="4160" w:type="dxa"/>
            <w:vAlign w:val="bottom"/>
            <w:gridSpan w:val="2"/>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23.1</w:t>
            </w:r>
          </w:p>
        </w:tc>
        <w:tc>
          <w:tcPr>
            <w:tcW w:w="940" w:type="dxa"/>
            <w:vAlign w:val="bottom"/>
          </w:tcPr>
          <w:p>
            <w:pPr>
              <w:spacing w:after="0"/>
              <w:rPr>
                <w:sz w:val="24"/>
                <w:szCs w:val="24"/>
                <w:color w:val="auto"/>
              </w:rPr>
            </w:pPr>
          </w:p>
        </w:tc>
        <w:tc>
          <w:tcPr>
            <w:tcW w:w="36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Consent of Cooley LLP (contained in Exhibit 5.1).</w:t>
            </w:r>
          </w:p>
        </w:tc>
        <w:tc>
          <w:tcPr>
            <w:tcW w:w="5540" w:type="dxa"/>
            <w:vAlign w:val="bottom"/>
            <w:gridSpan w:val="4"/>
          </w:tcPr>
          <w:p>
            <w:pPr>
              <w:spacing w:after="0"/>
              <w:rPr>
                <w:sz w:val="24"/>
                <w:szCs w:val="24"/>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23.2</w:t>
            </w:r>
          </w:p>
        </w:tc>
        <w:tc>
          <w:tcPr>
            <w:tcW w:w="94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w:t>
            </w:r>
          </w:p>
        </w:tc>
      </w:tr>
      <w:tr>
        <w:trPr>
          <w:trHeight w:val="20"/>
        </w:trPr>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24.1</w:t>
            </w:r>
          </w:p>
        </w:tc>
        <w:tc>
          <w:tcPr>
            <w:tcW w:w="940" w:type="dxa"/>
            <w:vAlign w:val="bottom"/>
          </w:tcPr>
          <w:p>
            <w:pPr>
              <w:spacing w:after="0"/>
              <w:rPr>
                <w:sz w:val="24"/>
                <w:szCs w:val="24"/>
                <w:color w:val="auto"/>
              </w:rPr>
            </w:pPr>
          </w:p>
        </w:tc>
        <w:tc>
          <w:tcPr>
            <w:tcW w:w="9200" w:type="dxa"/>
            <w:vAlign w:val="bottom"/>
            <w:tcBorders>
              <w:bottom w:val="single" w:sz="8" w:color="0000EE"/>
            </w:tcBorders>
            <w:gridSpan w:val="7"/>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Power of Attorney (incorporated by reference to Exhibit 24.1 of the Registration Statement on Form S-1 (File No. 333-227445)</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filed on September 20, 2018).</w:t>
              </w:r>
            </w:hyperlink>
          </w:p>
        </w:tc>
        <w:tc>
          <w:tcPr>
            <w:tcW w:w="7040" w:type="dxa"/>
            <w:vAlign w:val="bottom"/>
            <w:gridSpan w:val="5"/>
          </w:tcPr>
          <w:p>
            <w:pPr>
              <w:spacing w:after="0"/>
              <w:rPr>
                <w:sz w:val="17"/>
                <w:szCs w:val="17"/>
                <w:color w:val="auto"/>
              </w:rPr>
            </w:pPr>
          </w:p>
        </w:tc>
      </w:tr>
    </w:tbl>
    <w:p>
      <w:pPr>
        <w:spacing w:after="0"/>
        <w:rPr>
          <w:sz w:val="20"/>
          <w:szCs w:val="20"/>
          <w:color w:val="auto"/>
        </w:rPr>
        <w:sectPr>
          <w:pgSz w:w="11900" w:h="16838" w:orient="portrait"/>
          <w:cols w:equalWidth="0" w:num="1">
            <w:col w:w="10860"/>
          </w:cols>
          <w:pgMar w:left="440" w:top="270" w:right="5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Santa Clara, State of California, on the 16th day of October, 2018.</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/s/  Jeffrey W. Dunn</w:t>
            </w:r>
          </w:p>
        </w:tc>
      </w:tr>
      <w:tr>
        <w:trPr>
          <w:trHeight w:val="209"/>
        </w:trPr>
        <w:tc>
          <w:tcPr>
            <w:tcW w:w="380" w:type="dxa"/>
            <w:vAlign w:val="bottom"/>
          </w:tcPr>
          <w:p>
            <w:pPr>
              <w:spacing w:after="0"/>
              <w:rPr>
                <w:sz w:val="18"/>
                <w:szCs w:val="18"/>
                <w:color w:val="auto"/>
              </w:rPr>
            </w:pPr>
          </w:p>
        </w:tc>
        <w:tc>
          <w:tcPr>
            <w:tcW w:w="4040" w:type="dxa"/>
            <w:vAlign w:val="bottom"/>
          </w:tcPr>
          <w:p>
            <w:pPr>
              <w:jc w:val="right"/>
              <w:ind w:right="1350"/>
              <w:spacing w:after="0"/>
              <w:rPr>
                <w:sz w:val="20"/>
                <w:szCs w:val="20"/>
                <w:color w:val="auto"/>
              </w:rPr>
            </w:pPr>
            <w:r>
              <w:rPr>
                <w:rFonts w:ascii="Arial" w:cs="Arial" w:eastAsia="Arial" w:hAnsi="Arial"/>
                <w:sz w:val="18"/>
                <w:szCs w:val="18"/>
                <w:color w:val="auto"/>
              </w:rPr>
              <w:t>Jeffrey W. Dunn</w:t>
            </w:r>
          </w:p>
        </w:tc>
      </w:tr>
      <w:tr>
        <w:trPr>
          <w:trHeight w:val="230"/>
        </w:trPr>
        <w:tc>
          <w:tcPr>
            <w:tcW w:w="380" w:type="dxa"/>
            <w:vAlign w:val="bottom"/>
          </w:tcPr>
          <w:p>
            <w:pPr>
              <w:spacing w:after="0"/>
              <w:rPr>
                <w:sz w:val="20"/>
                <w:szCs w:val="20"/>
                <w:color w:val="auto"/>
              </w:rPr>
            </w:pPr>
          </w:p>
        </w:tc>
        <w:tc>
          <w:tcPr>
            <w:tcW w:w="4040" w:type="dxa"/>
            <w:vAlign w:val="bottom"/>
          </w:tcPr>
          <w:p>
            <w:pPr>
              <w:jc w:val="right"/>
              <w:ind w:right="57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1880" w:type="dxa"/>
            <w:vAlign w:val="bottom"/>
          </w:tcPr>
          <w:p>
            <w:pPr>
              <w:spacing w:after="0"/>
              <w:rPr>
                <w:sz w:val="14"/>
                <w:szCs w:val="14"/>
                <w:color w:val="auto"/>
              </w:rPr>
            </w:pPr>
          </w:p>
        </w:tc>
        <w:tc>
          <w:tcPr>
            <w:tcW w:w="5100" w:type="dxa"/>
            <w:vAlign w:val="bottom"/>
            <w:gridSpan w:val="3"/>
          </w:tcPr>
          <w:p>
            <w:pPr>
              <w:ind w:left="2420"/>
              <w:spacing w:after="0"/>
              <w:rPr>
                <w:sz w:val="20"/>
                <w:szCs w:val="20"/>
                <w:color w:val="auto"/>
              </w:rPr>
            </w:pPr>
            <w:r>
              <w:rPr>
                <w:rFonts w:ascii="Arial" w:cs="Arial" w:eastAsia="Arial" w:hAnsi="Arial"/>
                <w:sz w:val="14"/>
                <w:szCs w:val="14"/>
                <w:b w:val="1"/>
                <w:bCs w:val="1"/>
                <w:color w:val="auto"/>
              </w:rPr>
              <w:t>Title</w:t>
            </w:r>
          </w:p>
        </w:tc>
        <w:tc>
          <w:tcPr>
            <w:tcW w:w="16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12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83"/>
              </w:rPr>
              <w:t>/s/</w:t>
            </w:r>
          </w:p>
        </w:tc>
        <w:tc>
          <w:tcPr>
            <w:tcW w:w="284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1"/>
              </w:rPr>
              <w:t>Jeffrey W. Dunn</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w w:val="99"/>
              </w:rPr>
              <w:t>President, Chief Executive Officer (</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1260" w:type="dxa"/>
            <w:vAlign w:val="bottom"/>
          </w:tcPr>
          <w:p>
            <w:pPr>
              <w:spacing w:after="0"/>
              <w:rPr>
                <w:sz w:val="19"/>
                <w:szCs w:val="19"/>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8"/>
                <w:szCs w:val="18"/>
                <w:color w:val="auto"/>
                <w:w w:val="91"/>
              </w:rPr>
              <w:t>Jeffrey W. Dunn</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and Chairman</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83"/>
              </w:rPr>
              <w:t>/s/</w:t>
            </w:r>
          </w:p>
        </w:tc>
        <w:tc>
          <w:tcPr>
            <w:tcW w:w="284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2"/>
              </w:rPr>
              <w:t>Laura A. Francis</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 Accounting</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1260" w:type="dxa"/>
            <w:vAlign w:val="bottom"/>
          </w:tcPr>
          <w:p>
            <w:pPr>
              <w:spacing w:after="0"/>
              <w:rPr>
                <w:sz w:val="19"/>
                <w:szCs w:val="19"/>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8"/>
                <w:szCs w:val="18"/>
                <w:color w:val="auto"/>
                <w:w w:val="92"/>
              </w:rPr>
              <w:t>Laura A. Francis</w:t>
            </w:r>
          </w:p>
        </w:tc>
        <w:tc>
          <w:tcPr>
            <w:tcW w:w="5100" w:type="dxa"/>
            <w:vAlign w:val="bottom"/>
            <w:gridSpan w:val="3"/>
          </w:tcPr>
          <w:p>
            <w:pPr>
              <w:ind w:left="1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410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David P. Bonita, M.D.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1260" w:type="dxa"/>
            <w:vAlign w:val="bottom"/>
          </w:tcPr>
          <w:p>
            <w:pPr>
              <w:spacing w:after="0"/>
              <w:rPr>
                <w:sz w:val="19"/>
                <w:szCs w:val="19"/>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8"/>
                <w:szCs w:val="18"/>
                <w:color w:val="auto"/>
                <w:w w:val="92"/>
              </w:rPr>
              <w:t>Timothy E. Davis, Jr.</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4100" w:type="dxa"/>
            <w:vAlign w:val="bottom"/>
            <w:gridSpan w:val="4"/>
          </w:tcPr>
          <w:p>
            <w:pPr>
              <w:jc w:val="center"/>
              <w:ind w:right="40"/>
              <w:spacing w:after="0"/>
              <w:rPr>
                <w:sz w:val="20"/>
                <w:szCs w:val="20"/>
                <w:color w:val="auto"/>
              </w:rPr>
            </w:pPr>
            <w:r>
              <w:rPr>
                <w:rFonts w:ascii="Arial" w:cs="Arial" w:eastAsia="Arial" w:hAnsi="Arial"/>
                <w:sz w:val="18"/>
                <w:szCs w:val="18"/>
                <w:color w:val="auto"/>
                <w:w w:val="91"/>
              </w:rPr>
              <w:t>John G. Freund, M.D.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1260" w:type="dxa"/>
            <w:vAlign w:val="bottom"/>
          </w:tcPr>
          <w:p>
            <w:pPr>
              <w:spacing w:after="0"/>
              <w:rPr>
                <w:sz w:val="19"/>
                <w:szCs w:val="19"/>
                <w:color w:val="auto"/>
              </w:rPr>
            </w:pPr>
          </w:p>
        </w:tc>
        <w:tc>
          <w:tcPr>
            <w:tcW w:w="2840" w:type="dxa"/>
            <w:vAlign w:val="bottom"/>
            <w:gridSpan w:val="3"/>
          </w:tcPr>
          <w:p>
            <w:pPr>
              <w:jc w:val="center"/>
              <w:ind w:right="1280"/>
              <w:spacing w:after="0"/>
              <w:rPr>
                <w:sz w:val="20"/>
                <w:szCs w:val="20"/>
                <w:color w:val="auto"/>
              </w:rPr>
            </w:pPr>
            <w:r>
              <w:rPr>
                <w:rFonts w:ascii="Arial" w:cs="Arial" w:eastAsia="Arial" w:hAnsi="Arial"/>
                <w:sz w:val="18"/>
                <w:szCs w:val="18"/>
                <w:color w:val="auto"/>
                <w:w w:val="94"/>
              </w:rPr>
              <w:t>Gregory K. Hinckley</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1260" w:type="dxa"/>
            <w:vAlign w:val="bottom"/>
          </w:tcPr>
          <w:p>
            <w:pPr>
              <w:spacing w:after="0"/>
              <w:rPr>
                <w:sz w:val="19"/>
                <w:szCs w:val="19"/>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8"/>
                <w:szCs w:val="18"/>
                <w:color w:val="auto"/>
                <w:w w:val="95"/>
              </w:rPr>
              <w:t>Karen A. Licitra</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4100" w:type="dxa"/>
            <w:vAlign w:val="bottom"/>
            <w:gridSpan w:val="4"/>
          </w:tcPr>
          <w:p>
            <w:pPr>
              <w:jc w:val="center"/>
              <w:ind w:right="40"/>
              <w:spacing w:after="0"/>
              <w:rPr>
                <w:sz w:val="20"/>
                <w:szCs w:val="20"/>
                <w:color w:val="auto"/>
              </w:rPr>
            </w:pPr>
            <w:r>
              <w:rPr>
                <w:rFonts w:ascii="Arial" w:cs="Arial" w:eastAsia="Arial" w:hAnsi="Arial"/>
                <w:sz w:val="18"/>
                <w:szCs w:val="18"/>
                <w:color w:val="auto"/>
                <w:w w:val="95"/>
              </w:rPr>
              <w:t>Mark A. Reiley, M.D.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1260" w:type="dxa"/>
            <w:vAlign w:val="bottom"/>
          </w:tcPr>
          <w:p>
            <w:pPr>
              <w:spacing w:after="0"/>
              <w:rPr>
                <w:sz w:val="19"/>
                <w:szCs w:val="19"/>
                <w:color w:val="auto"/>
              </w:rPr>
            </w:pPr>
          </w:p>
        </w:tc>
        <w:tc>
          <w:tcPr>
            <w:tcW w:w="2840" w:type="dxa"/>
            <w:vAlign w:val="bottom"/>
            <w:gridSpan w:val="3"/>
          </w:tcPr>
          <w:p>
            <w:pPr>
              <w:jc w:val="center"/>
              <w:ind w:right="1280"/>
              <w:spacing w:after="0"/>
              <w:rPr>
                <w:sz w:val="20"/>
                <w:szCs w:val="20"/>
                <w:color w:val="auto"/>
              </w:rPr>
            </w:pPr>
            <w:r>
              <w:rPr>
                <w:rFonts w:ascii="Arial" w:cs="Arial" w:eastAsia="Arial" w:hAnsi="Arial"/>
                <w:sz w:val="18"/>
                <w:szCs w:val="18"/>
                <w:color w:val="auto"/>
                <w:w w:val="90"/>
              </w:rPr>
              <w:t>Timothy B. Petersen</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October 16, 2018</w:t>
            </w:r>
          </w:p>
        </w:tc>
      </w:tr>
      <w:tr>
        <w:trPr>
          <w:trHeight w:val="224"/>
        </w:trPr>
        <w:tc>
          <w:tcPr>
            <w:tcW w:w="1260" w:type="dxa"/>
            <w:vAlign w:val="bottom"/>
          </w:tcPr>
          <w:p>
            <w:pPr>
              <w:spacing w:after="0"/>
              <w:rPr>
                <w:sz w:val="19"/>
                <w:szCs w:val="19"/>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8"/>
                <w:szCs w:val="18"/>
                <w:color w:val="auto"/>
                <w:w w:val="92"/>
              </w:rPr>
              <w:t>Keith C. Valentine</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*By:  /s/ Jeffrey W. Dunn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-130810</wp:posOffset>
            </wp:positionV>
            <wp:extent cx="2538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Attorney-in-Fact</w:t>
      </w:r>
    </w:p>
    <w:p>
      <w:pPr>
        <w:sectPr>
          <w:pgSz w:w="11900" w:h="16838" w:orient="portrait"/>
          <w:cols w:equalWidth="0" w:num="1">
            <w:col w:w="11040"/>
          </w:cols>
          <w:pgMar w:left="440" w:top="27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166495"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1664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Matthew B. Hemington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hemingtonmb@cooley.com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You have requested our opinion,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pursuant to Rule 462(b) promulgated under the Securities Act of 1933, as amended, covering an underwritten public offering of up to 1,380,000 shares of the Company’s common stock,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including 180,000 Shares that may be sold pursuant to the exercise of an option to purchase additional shares. The Registration Statement incorporates by reference the registration statement on Form S-1 (No. 333-227445), which was declared effective on October 16, 2018 (the “</w:t>
      </w:r>
      <w:r>
        <w:rPr>
          <w:rFonts w:ascii="Arial" w:cs="Arial" w:eastAsia="Arial" w:hAnsi="Arial"/>
          <w:sz w:val="18"/>
          <w:szCs w:val="18"/>
          <w:b w:val="1"/>
          <w:bCs w:val="1"/>
          <w:i w:val="1"/>
          <w:iCs w:val="1"/>
          <w:color w:val="auto"/>
        </w:rPr>
        <w:t>Prior Registration Statement</w:t>
      </w:r>
      <w:r>
        <w:rPr>
          <w:rFonts w:ascii="Arial" w:cs="Arial" w:eastAsia="Arial" w:hAnsi="Arial"/>
          <w:sz w:val="18"/>
          <w:szCs w:val="18"/>
          <w:color w:val="auto"/>
        </w:rPr>
        <w:t>”), including the prospectus which forms a part of the Prior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this opinion, we have (i) examined and relied upon (a) the Registration Statement, the Prior Registration Statement and Prospectus,</w:t>
      </w:r>
    </w:p>
    <w:p>
      <w:pPr>
        <w:spacing w:after="0" w:line="46" w:lineRule="exact"/>
        <w:rPr>
          <w:sz w:val="20"/>
          <w:szCs w:val="20"/>
          <w:color w:val="auto"/>
        </w:rPr>
      </w:pPr>
    </w:p>
    <w:p>
      <w:pPr>
        <w:ind w:left="260" w:hanging="256"/>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Amended and Restated Certificate of Incorporation and Amended and Restated Bylaws, as currently in effect as of the date hereof,</w:t>
      </w:r>
    </w:p>
    <w:p>
      <w:pPr>
        <w:spacing w:after="0" w:line="32" w:lineRule="exact"/>
        <w:rPr>
          <w:rFonts w:ascii="Arial" w:cs="Arial" w:eastAsia="Arial" w:hAnsi="Arial"/>
          <w:sz w:val="16"/>
          <w:szCs w:val="16"/>
          <w:color w:val="auto"/>
        </w:rPr>
      </w:pPr>
    </w:p>
    <w:p>
      <w:pPr>
        <w:ind w:right="20" w:firstLine="4"/>
        <w:spacing w:after="0" w:line="270"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forms of the Company’s Amended and Restated Certificate of Incorporation and Amended and Restated Bylaws filed as Exhibits 3.2 and 3.4, to the Prior Registration Statement, respectively, each of which is to be in effect prior to the closing of the offering contemplated by the Prior Registration Statement and (d) the originals or copies certified to our satisfaction of such records, documents, certificates, memoranda and other instruments as in our judgment are necessary or appropriate to enable us to render the opinion expressed below and (ii) assumed that the Amended and Restated Certificate of Incorporation referred to in clause (i)(c) is filed with the Secretary of State of the State of Delaware before issuance of the Shares. We have undertaken no independent verification with respect to such matters.</w:t>
      </w:r>
    </w:p>
    <w:p>
      <w:pPr>
        <w:spacing w:after="0" w:line="17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have assumed the genuineness and authenticity of all documents submitted to us as originals, and the conformity to originals of all documents submitted to us as copies and the due execution and delivery of all documents where due execution and delivery are a prerequisite to the effectiveness thereof. As to certain factual matters, we have relied upon a certificate of an officer of the Company and have not sought independently to verify such matters. Our opinion is expressed only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98" w:lineRule="exact"/>
        <w:rPr>
          <w:sz w:val="20"/>
          <w:szCs w:val="20"/>
          <w:color w:val="auto"/>
        </w:rPr>
      </w:pPr>
    </w:p>
    <w:p>
      <w:pPr>
        <w:jc w:val="center"/>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spacing w:after="0"/>
        <w:tabs>
          <w:tab w:leader="none" w:pos="12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16649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Prior Registration Statement and to the filing of this opinion as an exhibit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Matthew B. Hemington</w:t>
      </w:r>
    </w:p>
    <w:p>
      <w:pPr>
        <w:spacing w:after="0" w:line="153" w:lineRule="exact"/>
        <w:rPr>
          <w:sz w:val="20"/>
          <w:szCs w:val="20"/>
          <w:color w:val="auto"/>
        </w:rPr>
      </w:pPr>
    </w:p>
    <w:p>
      <w:pPr>
        <w:jc w:val="center"/>
        <w:ind w:right="-19"/>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ind w:right="-19"/>
        <w:spacing w:after="0"/>
        <w:tabs>
          <w:tab w:leader="none" w:pos="12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00"/>
          </w:cols>
          <w:pgMar w:left="440" w:top="1084"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July 31, 2018, except for the effects of the reverse stock split discussed in Note 2 to the consolidated financial statements, as to which the date is October 5, 2018, relating to the financial statements, which appears in Amendment No. 1 to the Registration Statement on Form S-1 (No. 333-227445) of SI-BONE, Inc. We also consent to the reference to us under the heading “Experts” in Amendment No. 1 to the Registration Statement on Form S-1 (No. 333-227445) incorporated by reference in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22" Type="http://schemas.openxmlformats.org/officeDocument/2006/relationships/hyperlink" Target="http://www.sec.gov/Archives/edgar/data/1459839/000119312518278797/d452987ds1.htm#ii452987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2019-12-07T15:30:36Z</dcterms:created>
  <dcterms:modified xsi:type="dcterms:W3CDTF">2019-12-07T15:30:36Z</dcterms:modified>
</cp:coreProperties>
</file>