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5.png" ContentType="image/png"/>
  <Override PartName="/word/media/image2.png" ContentType="image/png"/>
  <Override PartName="/word/media/image3.png" ContentType="image/png"/>
  <Override PartName="/word/media/image4.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4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40"/>
        <w:jc w:val="center"/>
        <w:rPr>
          <w:rFonts w:ascii="Times New Roman;serif" w:hAnsi="Times New Roman;serif"/>
          <w:b/>
          <w:color w:val="000000"/>
          <w:sz w:val="28"/>
        </w:rPr>
      </w:pPr>
      <w:r>
        <w:rPr>
          <w:rFonts w:ascii="Times New Roman;serif" w:hAnsi="Times New Roman;serif"/>
          <w:b/>
          <w:color w:val="000000"/>
          <w:sz w:val="28"/>
        </w:rPr>
        <w:t>FORM 10-K</w:t>
      </w:r>
    </w:p>
    <w:p>
      <w:pPr>
        <w:pStyle w:val="TextBody"/>
        <w:bidi w:val="0"/>
        <w:spacing w:before="0" w:after="0"/>
        <w:jc w:val="center"/>
        <w:rPr/>
      </w:pPr>
      <w:r>
        <w:rPr/>
      </w:r>
    </w:p>
    <w:p>
      <w:pPr>
        <w:pStyle w:val="TextBody"/>
        <w:bidi w:val="0"/>
        <w:spacing w:lineRule="auto" w:line="288" w:before="80" w:after="283"/>
        <w:jc w:val="left"/>
        <w:rPr>
          <w:rFonts w:ascii="Times New Roman;serif" w:hAnsi="Times New Roman;serif"/>
          <w:b w:val="false"/>
          <w:color w:val="000000"/>
          <w:sz w:val="18"/>
        </w:rPr>
      </w:pPr>
      <w:r>
        <w:rPr>
          <w:rFonts w:ascii="Times New Roman;serif" w:hAnsi="Times New Roman;serif"/>
          <w:b w:val="false"/>
          <w:color w:val="000000"/>
          <w:sz w:val="18"/>
        </w:rPr>
        <w:t>(Mark One)</w:t>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40" w:before="0" w:after="80"/>
              <w:jc w:val="center"/>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0" w:after="80"/>
        <w:jc w:val="center"/>
        <w:rPr>
          <w:rFonts w:ascii="Times New Roman;serif" w:hAnsi="Times New Roman;serif"/>
          <w:b/>
          <w:color w:val="000000"/>
          <w:sz w:val="18"/>
        </w:rPr>
      </w:pPr>
      <w:r>
        <w:rPr>
          <w:rFonts w:ascii="Times New Roman;serif" w:hAnsi="Times New Roman;serif"/>
          <w:b/>
          <w:color w:val="000000"/>
          <w:sz w:val="18"/>
        </w:rPr>
        <w:t>For the fiscal year ended December 31, 2025</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8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80"/>
              <w:jc w:val="center"/>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 FOR THE TRANSITION PERIOD FROM                      TO</w:t>
            </w:r>
          </w:p>
        </w:tc>
      </w:tr>
    </w:tbl>
    <w:p>
      <w:pPr>
        <w:pStyle w:val="TextBody"/>
        <w:bidi w:val="0"/>
        <w:spacing w:lineRule="auto" w:line="288" w:before="0" w:after="80"/>
        <w:jc w:val="center"/>
        <w:rPr/>
      </w:pPr>
      <w:r>
        <w:rPr>
          <w:rFonts w:ascii="Times New Roman;serif" w:hAnsi="Times New Roman;serif"/>
          <w:b/>
          <w:color w:val="000000"/>
          <w:sz w:val="18"/>
        </w:rPr>
        <w:t>Commission File Number </w:t>
      </w:r>
      <w:r>
        <w:rPr>
          <w:rFonts w:ascii="Times New Roman;serif" w:hAnsi="Times New Roman;serif"/>
          <w:b/>
          <w:color w:val="000000"/>
          <w:sz w:val="20"/>
        </w:rPr>
        <w:t>001-38701</w:t>
      </w:r>
    </w:p>
    <w:p>
      <w:pPr>
        <w:pStyle w:val="TextBody"/>
        <w:bidi w:val="0"/>
        <w:spacing w:lineRule="auto" w:line="288" w:before="40" w:after="283"/>
        <w:jc w:val="center"/>
        <w:rPr>
          <w:rFonts w:ascii="Times New Roman;serif" w:hAnsi="Times New Roman;serif"/>
          <w:b/>
          <w:color w:val="000000"/>
          <w:sz w:val="40"/>
        </w:rPr>
      </w:pPr>
      <w:r>
        <w:rPr>
          <w:rFonts w:ascii="Times New Roman;serif" w:hAnsi="Times New Roman;serif"/>
          <w:b/>
          <w:color w:val="000000"/>
          <w:sz w:val="40"/>
        </w:rPr>
        <w:t>SI-BONE, Inc.</w:t>
      </w:r>
    </w:p>
    <w:p>
      <w:pPr>
        <w:pStyle w:val="TextBody"/>
        <w:bidi w:val="0"/>
        <w:spacing w:lineRule="auto" w:line="288" w:before="0" w:after="8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4048" w:type="dxa"/>
        <w:jc w:val="left"/>
        <w:tblInd w:w="0" w:type="dxa"/>
        <w:tblLayout w:type="fixed"/>
        <w:tblCellMar>
          <w:top w:w="28" w:type="dxa"/>
          <w:left w:w="28" w:type="dxa"/>
          <w:bottom w:w="28" w:type="dxa"/>
          <w:right w:w="28" w:type="dxa"/>
        </w:tblCellMar>
      </w:tblPr>
      <w:tblGrid>
        <w:gridCol w:w="927"/>
        <w:gridCol w:w="813"/>
        <w:gridCol w:w="824"/>
        <w:gridCol w:w="433"/>
        <w:gridCol w:w="433"/>
        <w:gridCol w:w="618"/>
      </w:tblGrid>
      <w:tr>
        <w:trPr/>
        <w:tc>
          <w:tcPr>
            <w:tcW w:w="92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26-2216351</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80"/>
              <w:jc w:val="center"/>
              <w:rPr>
                <w:rFonts w:ascii="Times New Roman;serif" w:hAnsi="Times New Roman;serif"/>
                <w:b/>
                <w:color w:val="000000"/>
                <w:sz w:val="16"/>
              </w:rPr>
            </w:pPr>
            <w:r>
              <w:rPr>
                <w:rFonts w:ascii="Times New Roman;serif" w:hAnsi="Times New Roman;serif"/>
                <w:b/>
                <w:color w:val="000000"/>
                <w:sz w:val="16"/>
              </w:rPr>
              <w:t xml:space="preserve">(State or other jurisdiction </w:t>
              <w:br/>
              <w:t>of 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80"/>
              <w:jc w:val="center"/>
              <w:rPr>
                <w:rFonts w:ascii="Times New Roman;serif" w:hAnsi="Times New Roman;serif"/>
                <w:b/>
                <w:color w:val="000000"/>
                <w:sz w:val="16"/>
              </w:rPr>
            </w:pPr>
            <w:r>
              <w:rPr>
                <w:rFonts w:ascii="Times New Roman;serif" w:hAnsi="Times New Roman;serif"/>
                <w:b/>
                <w:color w:val="000000"/>
                <w:sz w:val="16"/>
              </w:rPr>
              <w:t xml:space="preserve">(I.R.S. Employer </w:t>
              <w:br/>
              <w:t>Identification No.)</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471 El Camino Real, Suite 101, Santa Clara, California 95050</w:t>
      </w:r>
    </w:p>
    <w:p>
      <w:pPr>
        <w:pStyle w:val="TextBody"/>
        <w:bidi w:val="0"/>
        <w:spacing w:lineRule="auto" w:line="288" w:before="0" w:after="80"/>
        <w:jc w:val="center"/>
        <w:rPr>
          <w:rFonts w:ascii="Times New Roman;serif" w:hAnsi="Times New Roman;serif"/>
          <w:b/>
          <w:color w:val="000000"/>
          <w:sz w:val="18"/>
        </w:rPr>
      </w:pPr>
      <w:r>
        <w:rPr>
          <w:rFonts w:ascii="Times New Roman;serif" w:hAnsi="Times New Roman;serif"/>
          <w:b/>
          <w:color w:val="000000"/>
          <w:sz w:val="18"/>
        </w:rPr>
        <w:t>(Address of principal executive offices including zip code)</w:t>
      </w:r>
    </w:p>
    <w:p>
      <w:pPr>
        <w:pStyle w:val="TextBody"/>
        <w:bidi w:val="0"/>
        <w:spacing w:lineRule="auto" w:line="288" w:before="0" w:after="8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 (408) 207-0700</w:t>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Securities registered pursuant to Section 12(b) of the Act: </w:t>
      </w:r>
    </w:p>
    <w:tbl>
      <w:tblPr>
        <w:tblW w:w="8098" w:type="dxa"/>
        <w:jc w:val="center"/>
        <w:tblInd w:w="0" w:type="dxa"/>
        <w:tblLayout w:type="fixed"/>
        <w:tblCellMar>
          <w:top w:w="28" w:type="dxa"/>
          <w:left w:w="28" w:type="dxa"/>
          <w:bottom w:w="28" w:type="dxa"/>
          <w:right w:w="28" w:type="dxa"/>
        </w:tblCellMar>
      </w:tblPr>
      <w:tblGrid>
        <w:gridCol w:w="1171"/>
        <w:gridCol w:w="1027"/>
        <w:gridCol w:w="1042"/>
        <w:gridCol w:w="499"/>
        <w:gridCol w:w="499"/>
        <w:gridCol w:w="501"/>
        <w:gridCol w:w="983"/>
        <w:gridCol w:w="983"/>
        <w:gridCol w:w="1393"/>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 xml:space="preserve">Title of each class </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 xml:space="preserve">Trading Symbol(s) </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 xml:space="preserve">Name of each exchange on which registered </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$0.0001 per share</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SIBN</w:t>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Market</w:t>
            </w:r>
          </w:p>
        </w:tc>
      </w:tr>
    </w:tbl>
    <w:p>
      <w:pPr>
        <w:pStyle w:val="TextBody"/>
        <w:bidi w:val="0"/>
        <w:spacing w:lineRule="auto" w:line="288" w:before="0" w:after="80"/>
        <w:jc w:val="center"/>
        <w:rPr/>
      </w:pPr>
      <w:r>
        <w:rPr>
          <w:rFonts w:ascii="Times New Roman;serif" w:hAnsi="Times New Roman;serif"/>
          <w:b w:val="false"/>
          <w:color w:val="000000"/>
          <w:sz w:val="16"/>
        </w:rPr>
        <w:t>Securities registered pursuant to Section 12(g) of the Act:</w:t>
      </w:r>
      <w:r>
        <w:rPr>
          <w:color w:val="000000"/>
        </w:rPr>
        <w:t xml:space="preserve"> </w:t>
      </w:r>
      <w:r>
        <w:rPr>
          <w:rFonts w:ascii="Times New Roman;serif" w:hAnsi="Times New Roman;serif"/>
          <w:b/>
          <w:color w:val="000000"/>
          <w:sz w:val="16"/>
        </w:rPr>
        <w:t>None</w:t>
      </w:r>
    </w:p>
    <w:p>
      <w:pPr>
        <w:pStyle w:val="TextBody"/>
        <w:bidi w:val="0"/>
        <w:spacing w:lineRule="auto" w:line="288" w:before="0" w:after="80"/>
        <w:jc w:val="center"/>
        <w:rPr/>
      </w:pPr>
      <w:r>
        <w:rPr>
          <w:rFonts w:ascii="Times New Roman;serif" w:hAnsi="Times New Roman;serif"/>
          <w:b w:val="false"/>
          <w:color w:val="000000"/>
          <w:sz w:val="16"/>
        </w:rPr>
        <w:t>Indicate by check mark if the Registrant is a well-known seasoned issuer, as defined in Rule 405 of the Securities Act.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80"/>
        <w:jc w:val="center"/>
        <w:rPr/>
      </w:pPr>
      <w:r>
        <w:rPr>
          <w:rFonts w:ascii="Times New Roman;serif" w:hAnsi="Times New Roman;serif"/>
          <w:b w:val="false"/>
          <w:color w:val="000000"/>
          <w:sz w:val="16"/>
        </w:rPr>
        <w:t>Indicate by check mark if the Registrant is not required to file reports pursuant to Section 13 or 15(d) of the Act.  Yes  </w:t>
      </w:r>
      <w:r>
        <w:rPr>
          <w:color w:val="000000"/>
        </w:rPr>
        <w:t>☐    </w:t>
      </w:r>
      <w:r>
        <w:rPr>
          <w:rFonts w:ascii="Times New Roman;serif" w:hAnsi="Times New Roman;serif"/>
          <w:b w:val="false"/>
          <w:color w:val="000000"/>
          <w:sz w:val="16"/>
        </w:rPr>
        <w:t>No  </w:t>
      </w:r>
      <w:r>
        <w:rPr>
          <w:rFonts w:ascii="Wingdings;sans-serif" w:hAnsi="Wingdings;sans-serif"/>
          <w:b w:val="false"/>
          <w:color w:val="000000"/>
          <w:sz w:val="16"/>
        </w:rPr>
        <w:t>x</w:t>
      </w:r>
    </w:p>
    <w:p>
      <w:pPr>
        <w:pStyle w:val="TextBody"/>
        <w:bidi w:val="0"/>
        <w:spacing w:lineRule="auto" w:line="288" w:before="0" w:after="80"/>
        <w:jc w:val="center"/>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120" w:after="80"/>
        <w:jc w:val="center"/>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erif" w:hAnsi="Times New Roman;serif"/>
          <w:b w:val="false"/>
          <w:color w:val="000000"/>
          <w:sz w:val="16"/>
        </w:rPr>
        <w:t>No  </w:t>
      </w:r>
      <w:r>
        <w:rPr>
          <w:color w:val="000000"/>
        </w:rPr>
        <w:t>☐</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636" w:type="dxa"/>
        <w:jc w:val="center"/>
        <w:tblInd w:w="0" w:type="dxa"/>
        <w:tblLayout w:type="fixed"/>
        <w:tblCellMar>
          <w:top w:w="28" w:type="dxa"/>
          <w:left w:w="28" w:type="dxa"/>
          <w:bottom w:w="28" w:type="dxa"/>
          <w:right w:w="28" w:type="dxa"/>
        </w:tblCellMar>
      </w:tblPr>
      <w:tblGrid>
        <w:gridCol w:w="734"/>
        <w:gridCol w:w="644"/>
        <w:gridCol w:w="648"/>
        <w:gridCol w:w="109"/>
        <w:gridCol w:w="109"/>
        <w:gridCol w:w="109"/>
        <w:gridCol w:w="674"/>
        <w:gridCol w:w="674"/>
        <w:gridCol w:w="677"/>
        <w:gridCol w:w="109"/>
        <w:gridCol w:w="109"/>
        <w:gridCol w:w="109"/>
        <w:gridCol w:w="519"/>
        <w:gridCol w:w="519"/>
        <w:gridCol w:w="521"/>
        <w:gridCol w:w="109"/>
        <w:gridCol w:w="109"/>
        <w:gridCol w:w="154"/>
      </w:tblGrid>
      <w:tr>
        <w:trPr/>
        <w:tc>
          <w:tcPr>
            <w:tcW w:w="73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jc w:val="center"/>
        <w:rPr>
          <w:rFonts w:ascii="Times New Roman;serif" w:hAnsi="Times New Roman;serif"/>
          <w:b w:val="false"/>
          <w:color w:val="000000"/>
          <w:sz w:val="16"/>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uto" w:line="288" w:before="120" w:after="120"/>
        <w:jc w:val="center"/>
        <w:rPr/>
      </w:pPr>
      <w:r>
        <w:rPr>
          <w:rFonts w:ascii="Times New Roman;serif" w:hAnsi="Times New Roman;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color w:val="000000"/>
        </w:rPr>
        <w:t>☒</w:t>
      </w:r>
    </w:p>
    <w:p>
      <w:pPr>
        <w:pStyle w:val="TextBody"/>
        <w:bidi w:val="0"/>
        <w:spacing w:lineRule="auto" w:line="268" w:before="0" w:after="0"/>
        <w:jc w:val="center"/>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serif" w:hAnsi="Times New Roman;serif"/>
          <w:b w:val="false"/>
          <w:color w:val="000000"/>
          <w:sz w:val="24"/>
        </w:rPr>
        <w:t xml:space="preserve">. </w:t>
      </w:r>
      <w:r>
        <w:rPr>
          <w:color w:val="000000"/>
        </w:rPr>
        <w:t>☐</w:t>
      </w:r>
    </w:p>
    <w:p>
      <w:pPr>
        <w:pStyle w:val="TextBody"/>
        <w:bidi w:val="0"/>
        <w:spacing w:before="0" w:after="0"/>
        <w:jc w:val="center"/>
        <w:rPr/>
      </w:pPr>
      <w:r>
        <w:rPr/>
      </w:r>
    </w:p>
    <w:p>
      <w:pPr>
        <w:pStyle w:val="TextBody"/>
        <w:bidi w:val="0"/>
        <w:spacing w:lineRule="auto" w:line="268" w:before="0" w:after="0"/>
        <w:jc w:val="center"/>
        <w:rPr/>
      </w:pPr>
      <w:r>
        <w:rPr>
          <w:rFonts w:ascii="Times New Roman;serif" w:hAnsi="Times New Roman;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w:t>
      </w:r>
      <w:r>
        <w:rPr>
          <w:color w:val="000000"/>
        </w:rPr>
        <w:t xml:space="preserve"> ☐</w:t>
      </w:r>
    </w:p>
    <w:p>
      <w:pPr>
        <w:pStyle w:val="TextBody"/>
        <w:bidi w:val="0"/>
        <w:spacing w:lineRule="auto" w:line="288" w:before="80" w:after="80"/>
        <w:jc w:val="center"/>
        <w:rPr/>
      </w:pPr>
      <w:r>
        <w:rPr>
          <w:rFonts w:ascii="Times New Roman;serif" w:hAnsi="Times New Roman;serif"/>
          <w:b w:val="false"/>
          <w:color w:val="000000"/>
          <w:sz w:val="16"/>
        </w:rPr>
        <w:t>Indicate by check mark whether the Registrant is a shell company (as defined in Rule 12b</w:t>
        <w:noBreakHyphen/>
        <w:t>2 of the Exchange Act).   Yes  </w:t>
      </w:r>
      <w:r>
        <w:rPr>
          <w:color w:val="000000"/>
        </w:rPr>
        <w:t>☐    </w:t>
      </w:r>
      <w:r>
        <w:rPr>
          <w:rFonts w:ascii="Times New Roman;serif" w:hAnsi="Times New Roman;serif"/>
          <w:b w:val="false"/>
          <w:color w:val="000000"/>
          <w:sz w:val="16"/>
        </w:rPr>
        <w:t>No  </w:t>
      </w:r>
      <w:r>
        <w:rPr>
          <w:rFonts w:ascii="Wingdings;sans-serif" w:hAnsi="Wingdings;sans-serif"/>
          <w:b w:val="false"/>
          <w:color w:val="000000"/>
          <w:sz w:val="16"/>
        </w:rPr>
        <w:t>x</w:t>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The aggregate market value of the shares of common stock held by non-affiliates of the registrant as of June 30, 2025, the last business day of the registrant’s most recently completed second fiscal quarter, was approximately $0.8 billion, calculated based on the closing price of the registrant’s common stock as reported by the Nasdaq Global Market. Shares of common stock held by each officer and director, and each entity affiliated with a director, have been excluded in that such persons may be deemed to be affiliates. This determination of affiliate status is not a conclusive determination for other purposes.</w:t>
      </w:r>
    </w:p>
    <w:p>
      <w:pPr>
        <w:pStyle w:val="TextBody"/>
        <w:bidi w:val="0"/>
        <w:spacing w:lineRule="auto" w:line="288" w:before="120" w:after="283"/>
        <w:jc w:val="center"/>
        <w:rPr/>
      </w:pPr>
      <w:r>
        <w:rPr>
          <w:rFonts w:ascii="Times New Roman;serif" w:hAnsi="Times New Roman;serif"/>
          <w:b w:val="false"/>
          <w:color w:val="000000"/>
          <w:sz w:val="16"/>
        </w:rPr>
        <w:t xml:space="preserve">The number of shares of Registrant’s Common Stock outstanding </w:t>
      </w:r>
      <w:r>
        <w:rPr>
          <w:rFonts w:ascii="Times New Roman;serif" w:hAnsi="Times New Roman;serif"/>
          <w:b w:val="false"/>
          <w:color w:val="000000"/>
          <w:sz w:val="16"/>
          <w:shd w:fill="FFFFFF" w:val="clear"/>
        </w:rPr>
        <w:t>as of February 18, 2026 w</w:t>
      </w:r>
      <w:r>
        <w:rPr>
          <w:rFonts w:ascii="Times New Roman;serif" w:hAnsi="Times New Roman;serif"/>
          <w:b w:val="false"/>
          <w:color w:val="000000"/>
          <w:sz w:val="16"/>
        </w:rPr>
        <w:t>as 44,165,287</w:t>
      </w:r>
      <w:r>
        <w:rPr>
          <w:color w:val="000000"/>
          <w:shd w:fill="FFFFFF" w:val="clear"/>
        </w:rPr>
        <w:t xml:space="preserve"> </w:t>
      </w:r>
      <w:r>
        <w:rPr>
          <w:rFonts w:ascii="Times New Roman;serif" w:hAnsi="Times New Roman;serif"/>
          <w:b w:val="false"/>
          <w:color w:val="000000"/>
          <w:sz w:val="16"/>
          <w:shd w:fill="FFFFFF" w:val="clear"/>
        </w:rPr>
        <w:t>shares.</w:t>
      </w:r>
    </w:p>
    <w:p>
      <w:pPr>
        <w:pStyle w:val="TextBody"/>
        <w:bidi w:val="0"/>
        <w:spacing w:before="60" w:after="283"/>
        <w:jc w:val="left"/>
        <w:rPr/>
      </w:pPr>
      <w:r>
        <w:rPr/>
      </w:r>
    </w:p>
    <w:p>
      <w:pPr>
        <w:pStyle w:val="TextBody"/>
        <w:bidi w:val="0"/>
        <w:spacing w:lineRule="auto" w:line="288" w:before="0" w:after="80"/>
        <w:jc w:val="center"/>
        <w:rPr>
          <w:rFonts w:ascii="Times New Roman;serif" w:hAnsi="Times New Roman;serif"/>
          <w:b w:val="false"/>
          <w:color w:val="000000"/>
          <w:sz w:val="16"/>
        </w:rPr>
      </w:pPr>
      <w:r>
        <w:rPr>
          <w:rFonts w:ascii="Times New Roman;serif" w:hAnsi="Times New Roman;serif"/>
          <w:b w:val="false"/>
          <w:color w:val="000000"/>
          <w:sz w:val="16"/>
        </w:rPr>
        <w:t>DOCUMENTS INCORPORATED BY REFERENCE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jc w:val="center"/>
        <w:rPr/>
      </w:pPr>
      <w:r>
        <w:rPr>
          <w:rFonts w:ascii="Times New Roman;serif" w:hAnsi="Times New Roman;serif"/>
          <w:b w:val="false"/>
          <w:color w:val="000000"/>
          <w:sz w:val="16"/>
        </w:rPr>
        <w:t>Portions of the Registrant’s Definitive Proxy Statement relating to the Annual Meeting of Shareholders, which will be filed with the Securities and Exchange Commission within 120 days after the end of the Registrant’s fiscal year ended December 31, 2025, are incorporated by reference into Part III of this Report</w:t>
      </w:r>
      <w:r>
        <w:rPr>
          <w:rFonts w:ascii="Times New Roman;serif" w:hAnsi="Times New Roman;serif"/>
          <w:b w:val="false"/>
          <w:color w:val="000000"/>
          <w:sz w:val="18"/>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68"/>
        <w:gridCol w:w="235"/>
        <w:gridCol w:w="237"/>
        <w:gridCol w:w="109"/>
        <w:gridCol w:w="109"/>
        <w:gridCol w:w="109"/>
        <w:gridCol w:w="2845"/>
        <w:gridCol w:w="2822"/>
        <w:gridCol w:w="2855"/>
        <w:gridCol w:w="178"/>
        <w:gridCol w:w="178"/>
        <w:gridCol w:w="260"/>
      </w:tblGrid>
      <w:tr>
        <w:trPr/>
        <w:tc>
          <w:tcPr>
            <w:tcW w:w="26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Page </w:t>
            </w:r>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w:t>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16">
              <w:r>
                <w:rPr>
                  <w:rStyle w:val="InternetLink"/>
                  <w:rFonts w:ascii="Times New Roman;serif" w:hAnsi="Times New Roman;serif"/>
                  <w:b w:val="false"/>
                  <w:color w:val="0000FF"/>
                  <w:sz w:val="20"/>
                  <w:u w:val="single"/>
                </w:rPr>
                <w:t>Item 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16">
              <w:r>
                <w:rPr>
                  <w:rStyle w:val="InternetLink"/>
                  <w:rFonts w:ascii="Times New Roman;serif" w:hAnsi="Times New Roman;serif"/>
                  <w:b w:val="false"/>
                  <w:color w:val="0000FF"/>
                  <w:sz w:val="20"/>
                  <w:u w:val="single"/>
                </w:rPr>
                <w:t>Business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6cdde27c84ae5b4e55dcea4a9be6c_16">
              <w:r>
                <w:rPr>
                  <w:rStyle w:val="InternetLink"/>
                  <w:rFonts w:ascii="Times New Roman;serif" w:hAnsi="Times New Roman;serif"/>
                  <w:b w:val="false"/>
                  <w:color w:val="0000FF"/>
                  <w:sz w:val="20"/>
                  <w:u w:val="single"/>
                </w:rPr>
                <w:t>5</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64">
              <w:r>
                <w:rPr>
                  <w:rStyle w:val="InternetLink"/>
                  <w:rFonts w:ascii="Times New Roman;serif" w:hAnsi="Times New Roman;serif"/>
                  <w:b w:val="false"/>
                  <w:color w:val="0000FF"/>
                  <w:sz w:val="20"/>
                  <w:u w:val="single"/>
                </w:rPr>
                <w:t>Item 1A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64">
              <w:r>
                <w:rPr>
                  <w:rStyle w:val="InternetLink"/>
                  <w:rFonts w:ascii="Times New Roman;serif" w:hAnsi="Times New Roman;serif"/>
                  <w:b w:val="false"/>
                  <w:color w:val="0000FF"/>
                  <w:sz w:val="20"/>
                  <w:u w:val="single"/>
                </w:rPr>
                <w:t>Risk Factors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6cdde27c84ae5b4e55dcea4a9be6c_64">
              <w:r>
                <w:rPr>
                  <w:rStyle w:val="InternetLink"/>
                  <w:rFonts w:ascii="Times New Roman;serif" w:hAnsi="Times New Roman;serif"/>
                  <w:b w:val="false"/>
                  <w:color w:val="0000FF"/>
                  <w:sz w:val="20"/>
                  <w:u w:val="single"/>
                </w:rPr>
                <w:t>23</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67">
              <w:r>
                <w:rPr>
                  <w:rStyle w:val="InternetLink"/>
                  <w:rFonts w:ascii="Times New Roman;serif" w:hAnsi="Times New Roman;serif"/>
                  <w:b w:val="false"/>
                  <w:color w:val="0000FF"/>
                  <w:sz w:val="20"/>
                  <w:u w:val="single"/>
                </w:rPr>
                <w:t>Item 1B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67">
              <w:r>
                <w:rPr>
                  <w:rStyle w:val="InternetLink"/>
                  <w:rFonts w:ascii="Times New Roman;serif" w:hAnsi="Times New Roman;serif"/>
                  <w:b w:val="false"/>
                  <w:color w:val="0000FF"/>
                  <w:sz w:val="20"/>
                  <w:u w:val="single"/>
                </w:rPr>
                <w:t>Unresolved Staff Comments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6cdde27c84ae5b4e55dcea4a9be6c_67">
              <w:r>
                <w:rPr>
                  <w:rStyle w:val="InternetLink"/>
                  <w:rFonts w:ascii="Times New Roman;serif" w:hAnsi="Times New Roman;serif"/>
                  <w:b w:val="false"/>
                  <w:color w:val="0000FF"/>
                  <w:sz w:val="20"/>
                  <w:u w:val="single"/>
                </w:rPr>
                <w:t>59</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70">
              <w:r>
                <w:rPr>
                  <w:rStyle w:val="InternetLink"/>
                  <w:rFonts w:ascii="Times New Roman;serif" w:hAnsi="Times New Roman;serif"/>
                  <w:b w:val="false"/>
                  <w:color w:val="0000FF"/>
                  <w:sz w:val="20"/>
                  <w:u w:val="single"/>
                </w:rPr>
                <w:t>Item 1C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70">
              <w:r>
                <w:rPr>
                  <w:rStyle w:val="InternetLink"/>
                  <w:rFonts w:ascii="Times New Roman;serif" w:hAnsi="Times New Roman;serif"/>
                  <w:b w:val="false"/>
                  <w:color w:val="0000FF"/>
                  <w:sz w:val="20"/>
                  <w:u w:val="single"/>
                </w:rPr>
                <w:t>Cybersecurity</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6cdde27c84ae5b4e55dcea4a9be6c_70">
              <w:r>
                <w:rPr>
                  <w:rStyle w:val="InternetLink"/>
                  <w:rFonts w:ascii="Times New Roman;serif" w:hAnsi="Times New Roman;serif"/>
                  <w:b w:val="false"/>
                  <w:color w:val="0000FF"/>
                  <w:sz w:val="20"/>
                  <w:u w:val="single"/>
                </w:rPr>
                <w:t>63</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73">
              <w:r>
                <w:rPr>
                  <w:rStyle w:val="InternetLink"/>
                  <w:rFonts w:ascii="Times New Roman;serif" w:hAnsi="Times New Roman;serif"/>
                  <w:b w:val="false"/>
                  <w:color w:val="0000FF"/>
                  <w:sz w:val="20"/>
                  <w:u w:val="single"/>
                </w:rPr>
                <w:t>Item 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73">
              <w:r>
                <w:rPr>
                  <w:rStyle w:val="InternetLink"/>
                  <w:rFonts w:ascii="Times New Roman;serif" w:hAnsi="Times New Roman;serif"/>
                  <w:b w:val="false"/>
                  <w:color w:val="0000FF"/>
                  <w:sz w:val="20"/>
                  <w:u w:val="single"/>
                </w:rPr>
                <w:t>Properties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6cdde27c84ae5b4e55dcea4a9be6c_73">
              <w:r>
                <w:rPr>
                  <w:rStyle w:val="InternetLink"/>
                  <w:rFonts w:ascii="Times New Roman;serif" w:hAnsi="Times New Roman;serif"/>
                  <w:b w:val="false"/>
                  <w:color w:val="0000FF"/>
                  <w:sz w:val="20"/>
                  <w:u w:val="single"/>
                </w:rPr>
                <w:t>60</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76">
              <w:r>
                <w:rPr>
                  <w:rStyle w:val="InternetLink"/>
                  <w:rFonts w:ascii="Times New Roman;serif" w:hAnsi="Times New Roman;serif"/>
                  <w:b w:val="false"/>
                  <w:color w:val="0000FF"/>
                  <w:sz w:val="20"/>
                  <w:u w:val="single"/>
                </w:rPr>
                <w:t>Item 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76">
              <w:r>
                <w:rPr>
                  <w:rStyle w:val="InternetLink"/>
                  <w:rFonts w:ascii="Times New Roman;serif" w:hAnsi="Times New Roman;serif"/>
                  <w:b w:val="false"/>
                  <w:color w:val="0000FF"/>
                  <w:sz w:val="20"/>
                  <w:u w:val="single"/>
                </w:rPr>
                <w:t>Legal Proceedings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6cdde27c84ae5b4e55dcea4a9be6c_76">
              <w:r>
                <w:rPr>
                  <w:rStyle w:val="InternetLink"/>
                  <w:rFonts w:ascii="Times New Roman;serif" w:hAnsi="Times New Roman;serif"/>
                  <w:b w:val="false"/>
                  <w:color w:val="0000FF"/>
                  <w:sz w:val="20"/>
                  <w:u w:val="single"/>
                </w:rPr>
                <w:t>61</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79">
              <w:r>
                <w:rPr>
                  <w:rStyle w:val="InternetLink"/>
                  <w:rFonts w:ascii="Times New Roman;serif" w:hAnsi="Times New Roman;serif"/>
                  <w:b w:val="false"/>
                  <w:color w:val="0000FF"/>
                  <w:sz w:val="20"/>
                  <w:u w:val="single"/>
                </w:rPr>
                <w:t>Item 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79">
              <w:r>
                <w:rPr>
                  <w:rStyle w:val="InternetLink"/>
                  <w:rFonts w:ascii="Times New Roman;serif" w:hAnsi="Times New Roman;serif"/>
                  <w:b w:val="false"/>
                  <w:color w:val="0000FF"/>
                  <w:sz w:val="20"/>
                  <w:u w:val="single"/>
                </w:rPr>
                <w:t>Mine Safety Disclosures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6cdde27c84ae5b4e55dcea4a9be6c_79">
              <w:r>
                <w:rPr>
                  <w:rStyle w:val="InternetLink"/>
                  <w:rFonts w:ascii="Times New Roman;serif" w:hAnsi="Times New Roman;serif"/>
                  <w:b w:val="false"/>
                  <w:color w:val="0000FF"/>
                  <w:sz w:val="20"/>
                  <w:u w:val="single"/>
                </w:rPr>
                <w:t>61</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85">
              <w:r>
                <w:rPr>
                  <w:rStyle w:val="InternetLink"/>
                  <w:rFonts w:ascii="Times New Roman;serif" w:hAnsi="Times New Roman;serif"/>
                  <w:b w:val="false"/>
                  <w:color w:val="0000FF"/>
                  <w:sz w:val="20"/>
                  <w:u w:val="single"/>
                </w:rPr>
                <w:t>Item 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85">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6cdde27c84ae5b4e55dcea4a9be6c_85">
              <w:r>
                <w:rPr>
                  <w:rStyle w:val="InternetLink"/>
                  <w:rFonts w:ascii="Times New Roman;serif" w:hAnsi="Times New Roman;serif"/>
                  <w:b w:val="false"/>
                  <w:color w:val="0000FF"/>
                  <w:sz w:val="20"/>
                  <w:u w:val="single"/>
                </w:rPr>
                <w:t>62</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88">
              <w:r>
                <w:rPr>
                  <w:rStyle w:val="InternetLink"/>
                  <w:rFonts w:ascii="Times New Roman;serif" w:hAnsi="Times New Roman;serif"/>
                  <w:b w:val="false"/>
                  <w:color w:val="0000FF"/>
                  <w:sz w:val="20"/>
                  <w:u w:val="single"/>
                </w:rPr>
                <w:t>Item 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[Reserved]</w:t>
            </w:r>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6cdde27c84ae5b4e55dcea4a9be6c_88">
              <w:r>
                <w:rPr>
                  <w:rStyle w:val="InternetLink"/>
                  <w:rFonts w:ascii="Times New Roman;serif" w:hAnsi="Times New Roman;serif"/>
                  <w:b w:val="false"/>
                  <w:color w:val="0000FF"/>
                  <w:sz w:val="20"/>
                  <w:u w:val="single"/>
                </w:rPr>
                <w:t>63</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91">
              <w:r>
                <w:rPr>
                  <w:rStyle w:val="InternetLink"/>
                  <w:rFonts w:ascii="Times New Roman;serif" w:hAnsi="Times New Roman;serif"/>
                  <w:b w:val="false"/>
                  <w:color w:val="0000FF"/>
                  <w:sz w:val="20"/>
                  <w:u w:val="single"/>
                </w:rPr>
                <w:t>Item 7</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91">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6cdde27c84ae5b4e55dcea4a9be6c_91">
              <w:r>
                <w:rPr>
                  <w:rStyle w:val="InternetLink"/>
                  <w:rFonts w:ascii="Times New Roman;serif" w:hAnsi="Times New Roman;serif"/>
                  <w:b w:val="false"/>
                  <w:color w:val="0000FF"/>
                  <w:sz w:val="20"/>
                  <w:u w:val="single"/>
                </w:rPr>
                <w:t>64</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136">
              <w:r>
                <w:rPr>
                  <w:rStyle w:val="InternetLink"/>
                  <w:rFonts w:ascii="Times New Roman;serif" w:hAnsi="Times New Roman;serif"/>
                  <w:b w:val="false"/>
                  <w:color w:val="0000FF"/>
                  <w:sz w:val="20"/>
                  <w:u w:val="single"/>
                </w:rPr>
                <w:t>Item 7A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136">
              <w:r>
                <w:rPr>
                  <w:rStyle w:val="InternetLink"/>
                  <w:rFonts w:ascii="Times New Roman;serif" w:hAnsi="Times New Roman;serif"/>
                  <w:b w:val="false"/>
                  <w:color w:val="0000FF"/>
                  <w:sz w:val="20"/>
                  <w:u w:val="single"/>
                </w:rPr>
                <w:t>Quantitative and Qualitative Disclosures about Market Risk</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6cdde27c84ae5b4e55dcea4a9be6c_136">
              <w:r>
                <w:rPr>
                  <w:rStyle w:val="InternetLink"/>
                  <w:rFonts w:ascii="Times New Roman;serif" w:hAnsi="Times New Roman;serif"/>
                  <w:b w:val="false"/>
                  <w:color w:val="0000FF"/>
                  <w:sz w:val="20"/>
                  <w:u w:val="single"/>
                </w:rPr>
                <w:t>74</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139">
              <w:r>
                <w:rPr>
                  <w:rStyle w:val="InternetLink"/>
                  <w:rFonts w:ascii="Times New Roman;serif" w:hAnsi="Times New Roman;serif"/>
                  <w:b w:val="false"/>
                  <w:color w:val="0000FF"/>
                  <w:sz w:val="20"/>
                  <w:u w:val="single"/>
                </w:rPr>
                <w:t>Item 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139">
              <w:r>
                <w:rPr>
                  <w:rStyle w:val="InternetLink"/>
                  <w:rFonts w:ascii="Times New Roman;serif" w:hAnsi="Times New Roman;serif"/>
                  <w:b w:val="false"/>
                  <w:color w:val="0000FF"/>
                  <w:sz w:val="20"/>
                  <w:u w:val="single"/>
                </w:rPr>
                <w:t>Financial Statements and Supplementary Data</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6cdde27c84ae5b4e55dcea4a9be6c_139">
              <w:r>
                <w:rPr>
                  <w:rStyle w:val="InternetLink"/>
                  <w:rFonts w:ascii="Times New Roman;serif" w:hAnsi="Times New Roman;serif"/>
                  <w:b w:val="false"/>
                  <w:color w:val="0000FF"/>
                  <w:sz w:val="20"/>
                  <w:u w:val="single"/>
                </w:rPr>
                <w:t>75</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217">
              <w:r>
                <w:rPr>
                  <w:rStyle w:val="InternetLink"/>
                  <w:rFonts w:ascii="Times New Roman;serif" w:hAnsi="Times New Roman;serif"/>
                  <w:b w:val="false"/>
                  <w:color w:val="0000FF"/>
                  <w:sz w:val="20"/>
                  <w:u w:val="single"/>
                </w:rPr>
                <w:t>Item 9</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217">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6cdde27c84ae5b4e55dcea4a9be6c_217">
              <w:r>
                <w:rPr>
                  <w:rStyle w:val="InternetLink"/>
                  <w:rFonts w:ascii="Times New Roman;serif" w:hAnsi="Times New Roman;serif"/>
                  <w:b w:val="false"/>
                  <w:color w:val="0000FF"/>
                  <w:sz w:val="20"/>
                  <w:u w:val="single"/>
                </w:rPr>
                <w:t>104</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220">
              <w:r>
                <w:rPr>
                  <w:rStyle w:val="InternetLink"/>
                  <w:rFonts w:ascii="Times New Roman;serif" w:hAnsi="Times New Roman;serif"/>
                  <w:b w:val="false"/>
                  <w:color w:val="0000FF"/>
                  <w:sz w:val="20"/>
                  <w:u w:val="single"/>
                </w:rPr>
                <w:t>Item 9A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220">
              <w:r>
                <w:rPr>
                  <w:rStyle w:val="InternetLink"/>
                  <w:rFonts w:ascii="Times New Roman;serif" w:hAnsi="Times New Roman;serif"/>
                  <w:b w:val="false"/>
                  <w:color w:val="0000FF"/>
                  <w:sz w:val="20"/>
                  <w:u w:val="single"/>
                </w:rPr>
                <w:t>Controls and Procedures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6cdde27c84ae5b4e55dcea4a9be6c_220">
              <w:r>
                <w:rPr>
                  <w:rStyle w:val="InternetLink"/>
                  <w:rFonts w:ascii="Times New Roman;serif" w:hAnsi="Times New Roman;serif"/>
                  <w:b w:val="false"/>
                  <w:color w:val="0000FF"/>
                  <w:sz w:val="20"/>
                  <w:u w:val="single"/>
                </w:rPr>
                <w:t>104</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223">
              <w:r>
                <w:rPr>
                  <w:rStyle w:val="InternetLink"/>
                  <w:rFonts w:ascii="Times New Roman;serif" w:hAnsi="Times New Roman;serif"/>
                  <w:b w:val="false"/>
                  <w:color w:val="0000FF"/>
                  <w:sz w:val="20"/>
                  <w:u w:val="single"/>
                </w:rPr>
                <w:t>Item 9B</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223">
              <w:r>
                <w:rPr>
                  <w:rStyle w:val="InternetLink"/>
                  <w:rFonts w:ascii="Times New Roman;serif" w:hAnsi="Times New Roman;serif"/>
                  <w:b w:val="false"/>
                  <w:color w:val="0000FF"/>
                  <w:sz w:val="20"/>
                  <w:u w:val="single"/>
                </w:rPr>
                <w:t>Other Information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6cdde27c84ae5b4e55dcea4a9be6c_223">
              <w:r>
                <w:rPr>
                  <w:rStyle w:val="InternetLink"/>
                  <w:rFonts w:ascii="Times New Roman;serif" w:hAnsi="Times New Roman;serif"/>
                  <w:b w:val="false"/>
                  <w:color w:val="0000FF"/>
                  <w:sz w:val="20"/>
                  <w:u w:val="single"/>
                </w:rPr>
                <w:t>105</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223">
              <w:r>
                <w:rPr>
                  <w:rStyle w:val="InternetLink"/>
                  <w:rFonts w:ascii="Times New Roman;serif" w:hAnsi="Times New Roman;serif"/>
                  <w:b w:val="false"/>
                  <w:color w:val="0000FF"/>
                  <w:sz w:val="20"/>
                  <w:u w:val="single"/>
                </w:rPr>
                <w:t>Item 9C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229">
              <w:r>
                <w:rPr>
                  <w:rStyle w:val="InternetLink"/>
                  <w:rFonts w:ascii="Times New Roman;serif" w:hAnsi="Times New Roman;serif"/>
                  <w:b w:val="false"/>
                  <w:color w:val="0000FF"/>
                  <w:sz w:val="20"/>
                  <w:u w:val="single"/>
                </w:rPr>
                <w:t>Disclosure Regarding Foreign Jurisdictions that Prevent Inspections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6cdde27c84ae5b4e55dcea4a9be6c_229">
              <w:r>
                <w:rPr>
                  <w:rStyle w:val="InternetLink"/>
                  <w:rFonts w:ascii="Times New Roman;serif" w:hAnsi="Times New Roman;serif"/>
                  <w:b w:val="false"/>
                  <w:color w:val="0000FF"/>
                  <w:sz w:val="20"/>
                  <w:u w:val="single"/>
                </w:rPr>
                <w:t>105</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III</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235">
              <w:r>
                <w:rPr>
                  <w:rStyle w:val="InternetLink"/>
                  <w:rFonts w:ascii="Times New Roman;serif" w:hAnsi="Times New Roman;serif"/>
                  <w:b w:val="false"/>
                  <w:color w:val="0000FF"/>
                  <w:sz w:val="20"/>
                  <w:u w:val="single"/>
                </w:rPr>
                <w:t>Item 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235">
              <w:r>
                <w:rPr>
                  <w:rStyle w:val="InternetLink"/>
                  <w:rFonts w:ascii="Times New Roman;serif" w:hAnsi="Times New Roman;serif"/>
                  <w:b w:val="false"/>
                  <w:color w:val="0000FF"/>
                  <w:sz w:val="20"/>
                  <w:u w:val="single"/>
                </w:rPr>
                <w:t>Directors, Executive Officers and Corporate Governance</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6cdde27c84ae5b4e55dcea4a9be6c_235">
              <w:r>
                <w:rPr>
                  <w:rStyle w:val="InternetLink"/>
                  <w:rFonts w:ascii="Times New Roman;serif" w:hAnsi="Times New Roman;serif"/>
                  <w:b w:val="false"/>
                  <w:color w:val="0000FF"/>
                  <w:sz w:val="20"/>
                  <w:u w:val="single"/>
                </w:rPr>
                <w:t>105</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238">
              <w:r>
                <w:rPr>
                  <w:rStyle w:val="InternetLink"/>
                  <w:rFonts w:ascii="Times New Roman;serif" w:hAnsi="Times New Roman;serif"/>
                  <w:b w:val="false"/>
                  <w:color w:val="0000FF"/>
                  <w:sz w:val="20"/>
                  <w:u w:val="single"/>
                </w:rPr>
                <w:t>Item 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238">
              <w:r>
                <w:rPr>
                  <w:rStyle w:val="InternetLink"/>
                  <w:rFonts w:ascii="Times New Roman;serif" w:hAnsi="Times New Roman;serif"/>
                  <w:b w:val="false"/>
                  <w:color w:val="0000FF"/>
                  <w:sz w:val="20"/>
                  <w:u w:val="single"/>
                </w:rPr>
                <w:t>Executive Compensation</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6cdde27c84ae5b4e55dcea4a9be6c_238">
              <w:r>
                <w:rPr>
                  <w:rStyle w:val="InternetLink"/>
                  <w:rFonts w:ascii="Times New Roman;serif" w:hAnsi="Times New Roman;serif"/>
                  <w:b w:val="false"/>
                  <w:color w:val="0000FF"/>
                  <w:sz w:val="20"/>
                  <w:u w:val="single"/>
                </w:rPr>
                <w:t>106</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241">
              <w:r>
                <w:rPr>
                  <w:rStyle w:val="InternetLink"/>
                  <w:rFonts w:ascii="Times New Roman;serif" w:hAnsi="Times New Roman;serif"/>
                  <w:b w:val="false"/>
                  <w:color w:val="0000FF"/>
                  <w:sz w:val="20"/>
                  <w:u w:val="single"/>
                </w:rPr>
                <w:t>Item 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241">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6cdde27c84ae5b4e55dcea4a9be6c_241">
              <w:r>
                <w:rPr>
                  <w:rStyle w:val="InternetLink"/>
                  <w:rFonts w:ascii="Times New Roman;serif" w:hAnsi="Times New Roman;serif"/>
                  <w:b w:val="false"/>
                  <w:color w:val="0000FF"/>
                  <w:sz w:val="20"/>
                  <w:u w:val="single"/>
                </w:rPr>
                <w:t>106</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244">
              <w:r>
                <w:rPr>
                  <w:rStyle w:val="InternetLink"/>
                  <w:rFonts w:ascii="Times New Roman;serif" w:hAnsi="Times New Roman;serif"/>
                  <w:b w:val="false"/>
                  <w:color w:val="0000FF"/>
                  <w:sz w:val="20"/>
                  <w:u w:val="single"/>
                </w:rPr>
                <w:t>Item 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244">
              <w:r>
                <w:rPr>
                  <w:rStyle w:val="InternetLink"/>
                  <w:rFonts w:ascii="Times New Roman;serif" w:hAnsi="Times New Roman;serif"/>
                  <w:b w:val="false"/>
                  <w:color w:val="0000FF"/>
                  <w:sz w:val="20"/>
                  <w:u w:val="single"/>
                </w:rPr>
                <w:t>Certain Relationships and Related Transactions and Director Independence</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6cdde27c84ae5b4e55dcea4a9be6c_244">
              <w:r>
                <w:rPr>
                  <w:rStyle w:val="InternetLink"/>
                  <w:rFonts w:ascii="Times New Roman;serif" w:hAnsi="Times New Roman;serif"/>
                  <w:b w:val="false"/>
                  <w:color w:val="0000FF"/>
                  <w:sz w:val="20"/>
                  <w:u w:val="single"/>
                </w:rPr>
                <w:t>106</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247">
              <w:r>
                <w:rPr>
                  <w:rStyle w:val="InternetLink"/>
                  <w:rFonts w:ascii="Times New Roman;serif" w:hAnsi="Times New Roman;serif"/>
                  <w:b w:val="false"/>
                  <w:color w:val="0000FF"/>
                  <w:sz w:val="20"/>
                  <w:u w:val="single"/>
                </w:rPr>
                <w:t>Item 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247">
              <w:r>
                <w:rPr>
                  <w:rStyle w:val="InternetLink"/>
                  <w:rFonts w:ascii="Times New Roman;serif" w:hAnsi="Times New Roman;serif"/>
                  <w:b w:val="false"/>
                  <w:color w:val="0000FF"/>
                  <w:sz w:val="20"/>
                  <w:u w:val="single"/>
                </w:rPr>
                <w:t>Principal Accountant Fees and Services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6cdde27c84ae5b4e55dcea4a9be6c_247">
              <w:r>
                <w:rPr>
                  <w:rStyle w:val="InternetLink"/>
                  <w:rFonts w:ascii="Times New Roman;serif" w:hAnsi="Times New Roman;serif"/>
                  <w:b w:val="false"/>
                  <w:color w:val="0000FF"/>
                  <w:sz w:val="20"/>
                  <w:u w:val="single"/>
                </w:rPr>
                <w:t>106</w:t>
              </w:r>
            </w:hyperlink>
          </w:p>
        </w:tc>
      </w:tr>
      <w:tr>
        <w:trPr/>
        <w:tc>
          <w:tcPr>
            <w:tcW w:w="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IV</w:t>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253">
              <w:r>
                <w:rPr>
                  <w:rStyle w:val="InternetLink"/>
                  <w:rFonts w:ascii="Times New Roman;serif" w:hAnsi="Times New Roman;serif"/>
                  <w:b w:val="false"/>
                  <w:color w:val="0000FF"/>
                  <w:sz w:val="20"/>
                  <w:u w:val="single"/>
                </w:rPr>
                <w:t>Item 15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253">
              <w:r>
                <w:rPr>
                  <w:rStyle w:val="InternetLink"/>
                  <w:rFonts w:ascii="Times New Roman;serif" w:hAnsi="Times New Roman;serif"/>
                  <w:b w:val="false"/>
                  <w:color w:val="0000FF"/>
                  <w:sz w:val="20"/>
                  <w:u w:val="single"/>
                </w:rPr>
                <w:t>Exhibits and Financial Statement Schedules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6cdde27c84ae5b4e55dcea4a9be6c_253">
              <w:r>
                <w:rPr>
                  <w:rStyle w:val="InternetLink"/>
                  <w:rFonts w:ascii="Times New Roman;serif" w:hAnsi="Times New Roman;serif"/>
                  <w:b w:val="false"/>
                  <w:color w:val="0000FF"/>
                  <w:sz w:val="20"/>
                  <w:u w:val="single"/>
                </w:rPr>
                <w:t>107</w:t>
              </w:r>
            </w:hyperlink>
          </w:p>
        </w:tc>
      </w:tr>
      <w:tr>
        <w:trPr/>
        <w:tc>
          <w:tcPr>
            <w:tcW w:w="7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256">
              <w:r>
                <w:rPr>
                  <w:rStyle w:val="InternetLink"/>
                  <w:rFonts w:ascii="Times New Roman;serif" w:hAnsi="Times New Roman;serif"/>
                  <w:b w:val="false"/>
                  <w:color w:val="0000FF"/>
                  <w:sz w:val="20"/>
                  <w:u w:val="single"/>
                </w:rPr>
                <w:t>Item 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256">
              <w:r>
                <w:rPr>
                  <w:rStyle w:val="InternetLink"/>
                  <w:rFonts w:ascii="Times New Roman;serif" w:hAnsi="Times New Roman;serif"/>
                  <w:b w:val="false"/>
                  <w:color w:val="0000FF"/>
                  <w:sz w:val="20"/>
                  <w:u w:val="single"/>
                </w:rPr>
                <w:t>Form 10-K Summary</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6cdde27c84ae5b4e55dcea4a9be6c_256">
              <w:r>
                <w:rPr>
                  <w:rStyle w:val="InternetLink"/>
                  <w:rFonts w:ascii="Times New Roman;serif" w:hAnsi="Times New Roman;serif"/>
                  <w:b w:val="false"/>
                  <w:color w:val="0000FF"/>
                  <w:sz w:val="20"/>
                  <w:u w:val="single"/>
                </w:rPr>
                <w:t>109</w:t>
              </w:r>
            </w:hyperlink>
          </w:p>
        </w:tc>
      </w:tr>
      <w:tr>
        <w:trPr/>
        <w:tc>
          <w:tcPr>
            <w:tcW w:w="95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89"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259">
              <w:r>
                <w:rPr>
                  <w:rStyle w:val="InternetLink"/>
                  <w:rFonts w:ascii="Times New Roman;serif" w:hAnsi="Times New Roman;serif"/>
                  <w:b w:val="false"/>
                  <w:color w:val="0000FF"/>
                  <w:sz w:val="20"/>
                  <w:u w:val="single"/>
                </w:rPr>
                <w:t>SIGNATURES</w:t>
              </w:r>
            </w:hyperlink>
          </w:p>
        </w:tc>
        <w:tc>
          <w:tcPr>
            <w:tcW w:w="61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a26cdde27c84ae5b4e55dcea4a9be6c_259">
              <w:r>
                <w:rPr>
                  <w:rStyle w:val="InternetLink"/>
                  <w:rFonts w:ascii="Times New Roman;serif" w:hAnsi="Times New Roman;serif"/>
                  <w:b w:val="false"/>
                  <w:color w:val="0000FF"/>
                  <w:sz w:val="20"/>
                  <w:u w:val="single"/>
                </w:rPr>
                <w:t>110</w:t>
              </w:r>
            </w:hyperlink>
          </w:p>
        </w:tc>
      </w:tr>
    </w:tbl>
    <w:p>
      <w:pPr>
        <w:pStyle w:val="TextBody"/>
        <w:bidi w:val="0"/>
        <w:spacing w:before="0" w:after="0"/>
        <w:jc w:val="both"/>
        <w:rPr/>
      </w:pPr>
      <w:r>
        <w:rPr/>
      </w:r>
    </w:p>
    <w:p>
      <w:pPr>
        <w:pStyle w:val="TextBody"/>
        <w:bidi w:val="0"/>
        <w:spacing w:before="360" w:after="283"/>
        <w:jc w:val="left"/>
        <w:rPr/>
      </w:pPr>
      <w:r>
        <w:rPr/>
      </w:r>
    </w:p>
    <w:p>
      <w:pPr>
        <w:pStyle w:val="TextBody"/>
        <w:bidi w:val="0"/>
        <w:spacing w:before="360" w:after="283"/>
        <w:jc w:val="left"/>
        <w:rPr/>
      </w:pPr>
      <w:r>
        <w:rPr/>
      </w:r>
    </w:p>
    <w:p>
      <w:pPr>
        <w:pStyle w:val="TextBody"/>
        <w:bidi w:val="0"/>
        <w:spacing w:before="240" w:after="283"/>
        <w:ind w:left="0" w:right="0" w:firstLine="495"/>
        <w:jc w:val="both"/>
        <w:rPr/>
      </w:pPr>
      <w:r>
        <w:rPr/>
      </w:r>
    </w:p>
    <w:p>
      <w:pPr>
        <w:pStyle w:val="TextBody"/>
        <w:bidi w:val="0"/>
        <w:spacing w:before="3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3" name="Frame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 this Annual Report on Form 10-K, “we,” “our,” “us,” “SI-BONE,” and “the Company” refer to SI-BONE, Inc. and its consolidated subsidiaries. The SI-BONE logo and other trade names, trademarks or service marks of SI-BONE are the property of SI-BONE,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pStyle w:val="TextBody"/>
        <w:bidi w:val="0"/>
        <w:spacing w:before="0" w:after="0"/>
        <w:jc w:val="both"/>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before="0" w:after="0"/>
        <w:ind w:left="0" w:right="0" w:firstLine="720"/>
        <w:jc w:val="center"/>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Investing in our securities involves a high degree of risk. 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under the heading “Item 1A. Risk Factors” below.</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We operate in a very competitive business environment and if we are unable to compete successfully against our existing or potential competitors, our sales and operating results may be adversely affected;</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We have incurred significant operating losses since inception, we may continue to incur operating losses in the future, and we may not be able to achieve or sustain future profitability;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If hospitals, physicians, and other healthcare providers are unable to obtain and maintain adequate or any coverage and reimbursement from third-party payors for procedures performed using our products, further adoption of our products may be delayed, and it is unlikely that they will gain further acceptance, and the prices paid for our implants may decline;</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Uncertainty in the coverage and reimbursement environment may decrease demand for our products and adversely affect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Healthcare reforms may have a material adverse effect on our operations;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Pricing pressure from our competitors, healthcare provider consolidation, the presence of physician-owned distributorships, and payor consolidation may impact our ability to sell our product at prices necessary to support our current business strategies;</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Practice trends, market dynamics, and other factors, have caused, and may continue to cause, procedures to shift from the hospital environment to ambulatory surgical centers ("ASCs") or office-based labs ("OBLs") where pressure on the prices of our products is generally more acute;</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We have historically been highly dependent on revenue from the sales of similar products focused on procedures, the goal of which is to stabilize and fuse the sacroiliac joint. Continued reliance on sales of similar products could negatively affect our results of operations and financial condition.;</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shd w:fill="FFFFFF" w:val="clear"/>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Prolonged inflation and supply chain disruptions could result in delayed product launches, lost revenue, higher costs and decreased profit margins;</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Disruptions in the supply of the materials and components used in manufacturing our products or the sterilization of our products by third-party suppliers could adversely affect our business, financial condition and results of operations;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Physicians and payors may not find the clinical evidence supporting our more recent products to be compelling, which could limit our sales and revenue, and on-going and future research may prove our products to be less safe and effective than currently thought;</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We may not be able to demonstrate to physicians that our products are attractive alternatives to our competitors’ products and that our procedures are attractive alternatives to existing surgical and non-surgical treatments for their respective indications;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If clinical experience with our implants or instruments does not result in positive outcomes for patients, or if clinical studies involving our implant systems fail to show meaningful patient benefit, sales of our products could be adversely impacted;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4" name="Frame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If we are unable to maintain our network of direct sales representatives, third-party sales agents, and resellers, we may not be able to generate anticipated sales;</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Our business could suffer if we lose the services of key members of our senior management, key advisors or personnel;</w:t>
      </w:r>
    </w:p>
    <w:p>
      <w:pPr>
        <w:pStyle w:val="TextBody"/>
        <w:bidi w:val="0"/>
        <w:spacing w:lineRule="auto" w:line="288" w:before="240" w:after="283"/>
        <w:ind w:left="0" w:right="0" w:hanging="360"/>
        <w:jc w:val="both"/>
        <w:rPr/>
      </w:pPr>
      <w:r>
        <w:rPr>
          <w:color w:val="000000"/>
          <w:shd w:fill="FFFFFF" w:val="clear"/>
        </w:rPr>
        <w:t>•</w:t>
      </w:r>
      <w:r>
        <w:rPr>
          <w:rFonts w:ascii="Times New Roman;serif" w:hAnsi="Times New Roman;serif"/>
          <w:b w:val="false"/>
          <w:color w:val="000000"/>
          <w:sz w:val="20"/>
        </w:rPr>
        <w:t>If use of our products results in adverse events, this may require them to be taken off the market, require them to include safety warnings or otherwise limit their sales;</w:t>
      </w:r>
    </w:p>
    <w:p>
      <w:pPr>
        <w:pStyle w:val="TextBody"/>
        <w:bidi w:val="0"/>
        <w:spacing w:lineRule="auto" w:line="288" w:before="240" w:after="283"/>
        <w:ind w:left="0" w:right="0" w:hanging="360"/>
        <w:jc w:val="both"/>
        <w:rPr/>
      </w:pPr>
      <w:r>
        <w:rPr>
          <w:color w:val="000000"/>
          <w:shd w:fill="FFFFFF" w:val="clear"/>
        </w:rPr>
        <w:t>•</w:t>
      </w:r>
      <w:r>
        <w:rPr>
          <w:rFonts w:ascii="Times New Roman;serif" w:hAnsi="Times New Roman;serif"/>
          <w:b w:val="false"/>
          <w:color w:val="000000"/>
          <w:sz w:val="20"/>
          <w:shd w:fill="FFFFFF" w:val="clear"/>
        </w:rPr>
        <w:t>Various factors outside our direct control may adversely affect manufacturing, sterilization, and distribution of our products;</w:t>
      </w:r>
    </w:p>
    <w:p>
      <w:pPr>
        <w:pStyle w:val="TextBody"/>
        <w:bidi w:val="0"/>
        <w:spacing w:lineRule="auto" w:line="288" w:before="240" w:after="240"/>
        <w:ind w:left="0" w:right="0" w:hanging="360"/>
        <w:jc w:val="both"/>
        <w:rPr/>
      </w:pPr>
      <w:r>
        <w:rPr>
          <w:color w:val="000000"/>
          <w:shd w:fill="FFFFFF" w:val="clear"/>
        </w:rPr>
        <w:t>•</w:t>
      </w:r>
      <w:r>
        <w:rPr>
          <w:rFonts w:ascii="Times New Roman;serif" w:hAnsi="Times New Roman;serif"/>
          <w:b w:val="false"/>
          <w:color w:val="000000"/>
          <w:sz w:val="20"/>
          <w:shd w:fill="FFFFFF" w:val="clear"/>
        </w:rPr>
        <w:t>We, our suppliers, and our third-party manufacturers are subject to extensive governmental regulation both in the United States. and abroad, and failure to comply with applicable requirements could cause our business to suffer;</w:t>
      </w:r>
    </w:p>
    <w:p>
      <w:pPr>
        <w:pStyle w:val="TextBody"/>
        <w:bidi w:val="0"/>
        <w:spacing w:lineRule="auto" w:line="288" w:before="240" w:after="240"/>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 </w:t>
      </w:r>
    </w:p>
    <w:p>
      <w:pPr>
        <w:pStyle w:val="TextBody"/>
        <w:bidi w:val="0"/>
        <w:spacing w:lineRule="auto" w:line="288" w:before="240" w:after="240"/>
        <w:ind w:left="0" w:right="0" w:hanging="360"/>
        <w:jc w:val="both"/>
        <w:rPr/>
      </w:pPr>
      <w:r>
        <w:rPr>
          <w:color w:val="000000"/>
          <w:shd w:fill="FFFFFF" w:val="clear"/>
        </w:rPr>
        <w:t>•</w:t>
      </w:r>
      <w:r>
        <w:rPr>
          <w:rFonts w:ascii="Times New Roman;serif" w:hAnsi="Times New Roman;serif"/>
          <w:b w:val="false"/>
          <w:color w:val="000000"/>
          <w:sz w:val="20"/>
        </w:rPr>
        <w:t>We and the third parties with whom we work are subject to stringent and evolving U.S. and foreign laws, regulations, and rules, contractual obligations, industry standards, policies and other obligations related to data privacy and security. Our (and the third parties with whom we work) actual or perceived failure to comply with such obligations, or the inadvertent compromise of sensitive personal information held by us,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 and</w:t>
      </w:r>
    </w:p>
    <w:p>
      <w:pPr>
        <w:pStyle w:val="TextBody"/>
        <w:bidi w:val="0"/>
        <w:spacing w:lineRule="auto" w:line="288" w:before="240" w:after="240"/>
        <w:ind w:left="0" w:right="0" w:hanging="360"/>
        <w:jc w:val="both"/>
        <w:rPr/>
      </w:pPr>
      <w:r>
        <w:rPr>
          <w:color w:val="000000"/>
        </w:rPr>
        <w:t>•</w:t>
      </w:r>
      <w:r>
        <w:rPr>
          <w:rFonts w:ascii="Times New Roman;serif" w:hAnsi="Times New Roman;serif"/>
          <w:b w:val="false"/>
          <w:color w:val="000000"/>
          <w:sz w:val="20"/>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jc w:val="center"/>
        <w:rPr/>
      </w:pPr>
      <w:r>
        <w:rPr/>
      </w:r>
    </w:p>
    <w:p>
      <w:pPr>
        <w:pStyle w:val="TextBody"/>
        <w:bidi w:val="0"/>
        <w:spacing w:lineRule="auto" w:line="312"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w:t>
        <w:noBreakHyphen/>
        <w:t>K contains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These forward-looking statements speak only as of the date of this Annual Report on Form 10-K and are subject to a number of risks, uncertainties and assumptions, including those described under the sections in this Annual Report on Form 10-K entitled “Risk Factors” and “Management’s Discussion and Analysis of Financial Condition and Results of Operations.” These forward-looking statements include, but are not limited to, statements about the following:</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expectation that a significant portion of our revenues will be derived from sales of similar products addressing the sacropelvic anatomy;</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develop and commercialize additional revenue opportunities, including new indications for use and new products;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retain and grow our sales team, including our third-party sales agents, based on the demand for our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identify, train, and retain physicians to perform procedures using our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obtain and maintain favorable coverage and reimbursement determinations from third-party payors;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estimates of our market opportunity;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expectations regarding the scope of protection from intellectual property rights covering our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developments or disputes concerning our intellectual property or other proprietary rights;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timing of and results from our clinical trials and other studies;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5" name="Frame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marketing clearances and authorization from the FDA and regulators in other jurisdictions and CE Certificates of Conformity from Notified Bodies;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timing of regulatory filings and feedback;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competition in the markets we serve;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expectations of the reliability and performance of our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expectations of the benefits of our products to patients, providers, and payors;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impact of enacted or proposed tariffs on our business, including the impact on gross margins related to our international product sales and the impact of resulting economic uncertainty on demand for our products;</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factors impacting the supply chains we rely on, including tariffs and the availability of raw materials and skilled labor serving our suppliers, and the cost of these factors of production which may in turn impact the prices we pay for our devices;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reliance on a limited number of suppliers, including sole source suppliers, which may impact the availability of instruments and materials;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sustain or increase demand for our products;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estimates regarding our costs and risks associated with our international operations and expansion;</w:t>
      </w:r>
    </w:p>
    <w:p>
      <w:pPr>
        <w:pStyle w:val="TextBody"/>
        <w:bidi w:val="0"/>
        <w:spacing w:lineRule="auto" w:line="288" w:before="240" w:after="283"/>
        <w:ind w:left="0" w:right="0" w:hanging="360"/>
        <w:jc w:val="both"/>
        <w:rPr/>
      </w:pPr>
      <w:r>
        <w:rPr>
          <w:color w:val="000000"/>
        </w:rPr>
        <w:t>•</w:t>
      </w:r>
      <w:r>
        <w:rPr>
          <w:rFonts w:ascii="Times New Roman;serif" w:hAnsi="Times New Roman;serif"/>
          <w:b w:val="false"/>
          <w:color w:val="000000"/>
          <w:sz w:val="20"/>
        </w:rPr>
        <w:t>our ability to attract and retain key personnel and other employees, including those with specialized skills and experience;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expectations regarding acquisitions and strategic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access capital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ability to fund our working capital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compliance with, and the cost of, federal, state, and foreign regulatory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factors that may impact our financial results;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anticipated trends and challenges in our business and the markets in which we operate.</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As a result, any or all of our forward-looking statements in this report may turn out to be inaccurate. Furthermore, if the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Factors that may cause actual results to differ materially from current expectations include, among other things, those listed under “Risk Factors” and elsewhere in this report. These statements, like all statements in this report, speak only as of their date. We caution investors that our business and financial performance are subject to substantial risks and uncertainties. Except as required by law, we assume no obligation to update or revise these forward-looking statements for any reason, even if new information becomes available in the future, except as may be required by law.</w:t>
      </w:r>
    </w:p>
    <w:p>
      <w:pPr>
        <w:pStyle w:val="TextBody"/>
        <w:bidi w:val="0"/>
        <w:spacing w:before="0" w:after="0"/>
        <w:ind w:left="0" w:right="0" w:firstLine="540"/>
        <w:jc w:val="both"/>
        <w:rPr/>
      </w:pPr>
      <w:r>
        <w:rPr/>
      </w:r>
    </w:p>
    <w:p>
      <w:pPr>
        <w:pStyle w:val="TextBody"/>
        <w:bidi w:val="0"/>
        <w:spacing w:before="0" w:after="0"/>
        <w:ind w:left="0" w:right="0" w:firstLine="54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6" name="Frame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 leader in developing innovative procedural solutions for compromised bone, grounded in expertise in biomechanical design and anatomy-specific innovation. As pioneers of minimally invasive treatment for sacroiliac joint dysfunction and degeneration, we have developed a deep competency in addressing the challenges of low-density bone in the sacrum. With our additive manufacturing, or 3D-printing, experience developed in sacroiliac fusion, we have established a technology platform that now extends to meet critical unmet needs in thoracolumbar fixation and fusion and pelvic trauma.</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market our products primarily with a direct sales force as well as a number of third-party sales agents in the United States, and with a combination of a direct sales force, sales agents and resellers in other countries. As of December 31, 2025, over 140,000 procedures have been performed using our products since we introduced iFuse in 2009.</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Product and Applications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products include a series of patented titanium implants and the instruments used to implant them, as well as implantable bone products. Since launching our first generation iFuse in 2009, we have launched multiple implant product lines, including iFuse 3D in 2017, iFuse TORQ in 2021, iFuse Bedrock Granite in 2022, and iFuse INTRA and iFuse TORQ TNT in 2024. In the United States, iFuse, iFuse 3D, iFuse TORQ and iFuse Bedrock Granite have clearances for applications in sacroiliac joint dysfunction, adult spinal deformity and pelvic trauma. iFuse TORQ TNT has clearances for applications in pelvic trauma and sacroiliac joint dysfunction. In the European Economic Areas, iFuse, iFuse 3D and iFuse TORQ have been CE marked for applications in sacroiliac joint dysfunction, adult spinal deformity and pelvic fracture fixation.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7" name="Frame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2"/>
        <w:gridCol w:w="324"/>
        <w:gridCol w:w="326"/>
        <w:gridCol w:w="2083"/>
        <w:gridCol w:w="1096"/>
        <w:gridCol w:w="1099"/>
        <w:gridCol w:w="528"/>
        <w:gridCol w:w="528"/>
        <w:gridCol w:w="529"/>
        <w:gridCol w:w="517"/>
        <w:gridCol w:w="517"/>
        <w:gridCol w:w="518"/>
        <w:gridCol w:w="512"/>
        <w:gridCol w:w="512"/>
        <w:gridCol w:w="734"/>
      </w:tblGrid>
      <w:tr>
        <w:trPr/>
        <w:tc>
          <w:tcPr>
            <w:tcW w:w="38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08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103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Product</w:t>
            </w:r>
          </w:p>
        </w:tc>
        <w:tc>
          <w:tcPr>
            <w:tcW w:w="4278"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Description</w:t>
            </w:r>
          </w:p>
        </w:tc>
        <w:tc>
          <w:tcPr>
            <w:tcW w:w="158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Market Regulatory Authorization</w:t>
            </w:r>
          </w:p>
        </w:tc>
        <w:tc>
          <w:tcPr>
            <w:tcW w:w="155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Regulatory Authorization Date</w:t>
            </w:r>
          </w:p>
        </w:tc>
        <w:tc>
          <w:tcPr>
            <w:tcW w:w="1758"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Breakthrough Device Designation ("BDD")</w:t>
            </w:r>
          </w:p>
        </w:tc>
      </w:tr>
      <w:tr>
        <w:trPr/>
        <w:tc>
          <w:tcPr>
            <w:tcW w:w="1032" w:type="dxa"/>
            <w:gridSpan w:val="3"/>
            <w:vMerge w:val="restart"/>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iFuse</w:t>
            </w:r>
          </w:p>
        </w:tc>
        <w:tc>
          <w:tcPr>
            <w:tcW w:w="4278" w:type="dxa"/>
            <w:gridSpan w:val="3"/>
            <w:vMerge w:val="restart"/>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Machined triangular titanium implant with a triangular cross section and porous surface that stabilizes the joint and facilitates biologic fixation of the bone onto the implant to drive fusion.</w:t>
            </w:r>
          </w:p>
        </w:tc>
        <w:tc>
          <w:tcPr>
            <w:tcW w:w="15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States (FDA)</w:t>
            </w:r>
          </w:p>
        </w:tc>
        <w:tc>
          <w:tcPr>
            <w:tcW w:w="15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2008</w:t>
            </w:r>
          </w:p>
        </w:tc>
        <w:tc>
          <w:tcPr>
            <w:tcW w:w="17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032" w:type="dxa"/>
            <w:gridSpan w:val="3"/>
            <w:vMerge w:val="continue"/>
            <w:tcBorders>
              <w:left w:val="single" w:sz="8" w:space="0" w:color="000000"/>
              <w:right w:val="single" w:sz="8" w:space="0" w:color="000000"/>
            </w:tcBorders>
            <w:tcMar>
              <w:top w:w="0" w:type="dxa"/>
              <w:bottom w:w="0" w:type="dxa"/>
            </w:tcMar>
            <w:vAlign w:val="center"/>
          </w:tcPr>
          <w:p>
            <w:pPr>
              <w:pStyle w:val="Normal"/>
              <w:bidi w:val="0"/>
              <w:jc w:val="left"/>
              <w:rPr/>
            </w:pPr>
            <w:r>
              <w:rPr/>
            </w:r>
          </w:p>
        </w:tc>
        <w:tc>
          <w:tcPr>
            <w:tcW w:w="4278" w:type="dxa"/>
            <w:gridSpan w:val="3"/>
            <w:vMerge w:val="continue"/>
            <w:tcBorders>
              <w:left w:val="single" w:sz="8" w:space="0" w:color="000000"/>
            </w:tcBorders>
            <w:tcMar>
              <w:top w:w="0" w:type="dxa"/>
              <w:bottom w:w="0" w:type="dxa"/>
              <w:right w:w="0" w:type="dxa"/>
            </w:tcMar>
            <w:vAlign w:val="center"/>
          </w:tcPr>
          <w:p>
            <w:pPr>
              <w:pStyle w:val="Normal"/>
              <w:bidi w:val="0"/>
              <w:jc w:val="left"/>
              <w:rPr/>
            </w:pPr>
            <w:r>
              <w:rPr/>
            </w:r>
          </w:p>
        </w:tc>
        <w:tc>
          <w:tcPr>
            <w:tcW w:w="15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European Union (CE-Marked)</w:t>
            </w:r>
          </w:p>
        </w:tc>
        <w:tc>
          <w:tcPr>
            <w:tcW w:w="15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2010</w:t>
            </w:r>
          </w:p>
        </w:tc>
        <w:tc>
          <w:tcPr>
            <w:tcW w:w="17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032" w:type="dxa"/>
            <w:gridSpan w:val="3"/>
            <w:vMerge w:val="restart"/>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iFuse 3D</w:t>
            </w:r>
          </w:p>
        </w:tc>
        <w:tc>
          <w:tcPr>
            <w:tcW w:w="4278" w:type="dxa"/>
            <w:gridSpan w:val="3"/>
            <w:vMerge w:val="restart"/>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Second generation, additively-manufactured triangular titanium implant with a porous surface and fenestrated design to self-harvest bone.</w:t>
            </w:r>
          </w:p>
        </w:tc>
        <w:tc>
          <w:tcPr>
            <w:tcW w:w="158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States (FDA)</w:t>
            </w:r>
          </w:p>
        </w:tc>
        <w:tc>
          <w:tcPr>
            <w:tcW w:w="155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2017</w:t>
            </w:r>
          </w:p>
        </w:tc>
        <w:tc>
          <w:tcPr>
            <w:tcW w:w="1758"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032" w:type="dxa"/>
            <w:gridSpan w:val="3"/>
            <w:vMerge w:val="continue"/>
            <w:tcBorders>
              <w:top w:val="single" w:sz="8" w:space="0" w:color="000000"/>
              <w:left w:val="single" w:sz="8" w:space="0" w:color="000000"/>
              <w:right w:val="single" w:sz="8" w:space="0" w:color="000000"/>
            </w:tcBorders>
            <w:shd w:fill="CCEEFF" w:val="clear"/>
            <w:tcMar>
              <w:top w:w="30" w:type="dxa"/>
              <w:bottom w:w="0" w:type="dxa"/>
            </w:tcMar>
            <w:vAlign w:val="center"/>
          </w:tcPr>
          <w:p>
            <w:pPr>
              <w:pStyle w:val="Normal"/>
              <w:bidi w:val="0"/>
              <w:jc w:val="left"/>
              <w:rPr/>
            </w:pPr>
            <w:r>
              <w:rPr/>
            </w:r>
          </w:p>
        </w:tc>
        <w:tc>
          <w:tcPr>
            <w:tcW w:w="4278" w:type="dxa"/>
            <w:gridSpan w:val="3"/>
            <w:vMerge w:val="continue"/>
            <w:tcBorders>
              <w:top w:val="single" w:sz="8"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158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European Union (CE-Marked)</w:t>
            </w:r>
          </w:p>
        </w:tc>
        <w:tc>
          <w:tcPr>
            <w:tcW w:w="155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2017</w:t>
            </w:r>
          </w:p>
        </w:tc>
        <w:tc>
          <w:tcPr>
            <w:tcW w:w="1758"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03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iFuse Bone </w:t>
            </w:r>
            <w:r>
              <w:rPr>
                <w:rFonts w:ascii="Times New Roman;serif" w:hAnsi="Times New Roman;serif"/>
                <w:b w:val="false"/>
                <w:color w:val="000000"/>
                <w:sz w:val="13"/>
              </w:rPr>
              <w:t>(1)</w:t>
            </w:r>
          </w:p>
        </w:tc>
        <w:tc>
          <w:tcPr>
            <w:tcW w:w="427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Implant manufactured from sterilized recovered cadaveric bone tissue to support and augment the patient's own bone tissue in orthopedic procedures.</w:t>
            </w:r>
          </w:p>
        </w:tc>
        <w:tc>
          <w:tcPr>
            <w:tcW w:w="15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7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032" w:type="dxa"/>
            <w:gridSpan w:val="3"/>
            <w:vMerge w:val="restart"/>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iFuse TORQ</w:t>
            </w:r>
          </w:p>
        </w:tc>
        <w:tc>
          <w:tcPr>
            <w:tcW w:w="4278" w:type="dxa"/>
            <w:gridSpan w:val="3"/>
            <w:vMerge w:val="restart"/>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Additively-manufactured threaded implants designed to allow for osteointegration, or incorporation of the bone in the implant's porous surface and structure.</w:t>
            </w:r>
          </w:p>
        </w:tc>
        <w:tc>
          <w:tcPr>
            <w:tcW w:w="158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States (FDA)</w:t>
            </w:r>
          </w:p>
        </w:tc>
        <w:tc>
          <w:tcPr>
            <w:tcW w:w="155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2021</w:t>
            </w:r>
          </w:p>
        </w:tc>
        <w:tc>
          <w:tcPr>
            <w:tcW w:w="1758"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032" w:type="dxa"/>
            <w:gridSpan w:val="3"/>
            <w:vMerge w:val="continue"/>
            <w:tcBorders>
              <w:left w:val="single" w:sz="8" w:space="0" w:color="000000"/>
              <w:right w:val="single" w:sz="8" w:space="0" w:color="000000"/>
            </w:tcBorders>
            <w:shd w:fill="CCEEFF" w:val="clear"/>
            <w:tcMar>
              <w:top w:w="0" w:type="dxa"/>
              <w:bottom w:w="0" w:type="dxa"/>
            </w:tcMar>
            <w:vAlign w:val="center"/>
          </w:tcPr>
          <w:p>
            <w:pPr>
              <w:pStyle w:val="Normal"/>
              <w:bidi w:val="0"/>
              <w:jc w:val="left"/>
              <w:rPr/>
            </w:pPr>
            <w:r>
              <w:rPr/>
            </w:r>
          </w:p>
        </w:tc>
        <w:tc>
          <w:tcPr>
            <w:tcW w:w="4278" w:type="dxa"/>
            <w:gridSpan w:val="3"/>
            <w:vMerge w:val="continue"/>
            <w:tcBorders>
              <w:top w:val="single" w:sz="8" w:space="0" w:color="000000"/>
              <w:left w:val="single" w:sz="8" w:space="0" w:color="000000"/>
            </w:tcBorders>
            <w:shd w:fill="CCEEFF" w:val="clear"/>
            <w:tcMar>
              <w:top w:w="30" w:type="dxa"/>
              <w:bottom w:w="0" w:type="dxa"/>
              <w:right w:w="0" w:type="dxa"/>
            </w:tcMar>
            <w:vAlign w:val="center"/>
          </w:tcPr>
          <w:p>
            <w:pPr>
              <w:pStyle w:val="Normal"/>
              <w:bidi w:val="0"/>
              <w:jc w:val="left"/>
              <w:rPr/>
            </w:pPr>
            <w:r>
              <w:rPr/>
            </w:r>
          </w:p>
        </w:tc>
        <w:tc>
          <w:tcPr>
            <w:tcW w:w="158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European Union (CE-Marked)</w:t>
            </w:r>
          </w:p>
        </w:tc>
        <w:tc>
          <w:tcPr>
            <w:tcW w:w="155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2025</w:t>
            </w:r>
          </w:p>
        </w:tc>
        <w:tc>
          <w:tcPr>
            <w:tcW w:w="1758"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103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iFuse Bedrock Granite </w:t>
            </w:r>
            <w:r>
              <w:rPr>
                <w:rFonts w:ascii="Times New Roman;serif" w:hAnsi="Times New Roman;serif"/>
                <w:b w:val="false"/>
                <w:color w:val="000000"/>
                <w:sz w:val="13"/>
              </w:rPr>
              <w:t>(2)</w:t>
            </w:r>
          </w:p>
        </w:tc>
        <w:tc>
          <w:tcPr>
            <w:tcW w:w="427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Additively-manufactured implant with a machined titanium core and a tulip that attaches to the rod and provides fusion and fixation to the sacroiliac joint as foundational element for segmental spinal fusion.</w:t>
            </w:r>
          </w:p>
        </w:tc>
        <w:tc>
          <w:tcPr>
            <w:tcW w:w="15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States (FDA)</w:t>
            </w:r>
          </w:p>
        </w:tc>
        <w:tc>
          <w:tcPr>
            <w:tcW w:w="15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2022</w:t>
            </w:r>
          </w:p>
        </w:tc>
        <w:tc>
          <w:tcPr>
            <w:tcW w:w="1758"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1032"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iFuse TORQ TNT</w:t>
            </w:r>
            <w:r>
              <w:rPr>
                <w:rFonts w:ascii="Times New Roman;serif" w:hAnsi="Times New Roman;serif"/>
                <w:b w:val="false"/>
                <w:color w:val="000000"/>
                <w:sz w:val="13"/>
              </w:rPr>
              <w:t>(3)</w:t>
            </w:r>
          </w:p>
        </w:tc>
        <w:tc>
          <w:tcPr>
            <w:tcW w:w="4278"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porous threaded design with lengths capable of spanning the posterior pelvis, passing through the ipsilateral ilium, sacrum, and through the contralateral ilium.</w:t>
            </w:r>
          </w:p>
        </w:tc>
        <w:tc>
          <w:tcPr>
            <w:tcW w:w="1585"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States (FDA)</w:t>
            </w:r>
          </w:p>
        </w:tc>
        <w:tc>
          <w:tcPr>
            <w:tcW w:w="1552"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2024</w:t>
            </w:r>
          </w:p>
        </w:tc>
        <w:tc>
          <w:tcPr>
            <w:tcW w:w="1758"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Yes</w:t>
            </w:r>
          </w:p>
        </w:tc>
      </w:tr>
      <w:tr>
        <w:trPr/>
        <w:tc>
          <w:tcPr>
            <w:tcW w:w="102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(1) In February 2024 we expanded the platform with the launch of iFuse INTRA / INTRA X, which we believe is the only percutaneous intra-articular implant available for physicians seeking solutions for stabilization and/or fusion.</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6"/>
              </w:rPr>
            </w:pPr>
            <w:r>
              <w:rPr>
                <w:rFonts w:ascii="Times New Roman;serif" w:hAnsi="Times New Roman;serif"/>
                <w:b w:val="false"/>
                <w:color w:val="000000"/>
                <w:sz w:val="16"/>
              </w:rPr>
              <w:t>(2) Based on the implant's ability to drive fusion and fixation, iFuse Bedrock Granite is designated by the FDA as a breakthrough device. The BDD was based on the FDA's recognition of iFuse Bedrock Granite as a new technology that can provide substantial clinical improvement over already available therapies. In January 2024, we received FDA clearance for a smaller diameter (9.5mm) iFuse Bedrock Granite implant with both an expanded indication that covers pediatric patients and an expanded application that includes use in the S1 trajectory. This smaller diameter iFuse Bedrock Granite is also designated by the FDA as a breakthrough device.</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6"/>
              </w:rPr>
            </w:pPr>
            <w:r>
              <w:rPr>
                <w:rFonts w:ascii="Times New Roman;serif" w:hAnsi="Times New Roman;serif"/>
                <w:b w:val="false"/>
                <w:color w:val="000000"/>
                <w:sz w:val="16"/>
              </w:rPr>
              <w:t xml:space="preserve">(3) iFuse TORQ TNT was designated a breakthrough device by the FDA based on its potential to provide more effective treatment of pelvic fragility fractures than traditional machined cannulated screws, which are the current standard of care. </w:t>
            </w:r>
          </w:p>
        </w:tc>
      </w:tr>
    </w:tbl>
    <w:p>
      <w:pPr>
        <w:pStyle w:val="TextBody"/>
        <w:bidi w:val="0"/>
        <w:spacing w:before="18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8" name="Frame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Market Opportunity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existing technology platform has current applications across sacroiliac joint dysfunction and degeneration, thoracolumbar fixation and fusion, and pelvic trauma. We estimate that our total addressable market in the United States exceeds $3.5 billion.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Sacroiliac Joint Dysfunction and Degeneration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Over 30 million American adults are estimated to have chronic lower back pain. Studies indicate that 15% to 30% of patients with chronic low back pain may have symptoms originating with the sacroiliac joint. Sacroiliac joint patients may have experienced one or more events that have contributed to disruption and/or degeneration of the sacroiliac joint, such as pregnancy, falls, previous lumbar surgery, automobile accidents, and aging, which may cause degeneration of the cushioning in the joint much like other joints. Patients with sacroiliac joint dysfunction frequently experience significant pain simply from sitting, standing, or rolling over in bed. The pain can be exacerbated with activity - when a patient walks or runs. Our experience in both clinical trials and commercial settings indicates that at least 30% of these patients may be candidates for surgical treatment with our implants. Based on our market experience and internal estimates, and the assumption that the average person suffering from sacroiliac joint dysfunction has been in pain for five years, we estimate that the potential annual market opportunity for sacroiliac joint fusion in the United States could be approximately 279,000 patients for a potential market in the United States of approximately $2.4 billion per year.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Thoracolumbar Fixation and Fusion</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 strengthen the base of spinal constructs, spine surgeons have been using longer and larger diameter pedicle screws in iliac and sacro-alar iliac (“SAI”) trajectories, in which these screws are placed into the pelvis and connect to the spinal fusion construct. Third party data has shown that the use of pedicle screws to anchor to the pelvis has delivered sub-optimal patient outcomes resulting in revision surgeries. Acute set screw failure of sacro-alar iliac screws has been reported in approximately 5% of cases. Screw loosening within the sacrum/ilium is another common failure, occurring in 4-27% of cases and screw fracture has been reported in up to 20% of cases. We believe there are over 30,000 surgeries involving fixation of five or more spinal segments that involve fixation to the pelvis and an additional 100,000 surgeries involving two to four level spinal segment fixations to the sacrum, which we estimate to be an approximately $1.0 billion aggregate annual market opportunity.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explore this market opportunity, we expanded our existing products for those indications and developed new products specific for those indications. In November 2018, we introduced our iFuse Bedrock technique, in which spine surgeons place iFuse triangular implants across the sacroiliac joint adjacent to pelvic fixation screws used during a multilevel spine fusion. Use of iFuse 3D in the SAI trajectory was proposed to protect the pelvic fixation screw from breakage and reduce the rate of SI joint dysfunction, which is fairly common after multilevel lumbar spine fusion surgery. The FDA cleared this technique in November 2018 and allowed an expanded indication statement for iFuse 3D for this use in April 2019. Results from our SILVIA study show that placement of iFuse 3D in this configuration prevents postoperative SI joint pain and improves the stability of the pelvic construct in spine fusion surgery. In June 2022, we obtained FDA clearance for use of iFuse TORQ in the SAI trajectory during multilevel spine fusions. In May 2022 we obtained approval for iFuse Bedrock Granite, an implant that is placed similarly into the pelvis (typically via an SAI trajectory) and attaches to posterior rods of spine fixation systems used during lumbar fusion procedures. Results from post market surveillance, published in 2025, showed a low rate of technical issues and no spontaneous breakages in more than 6,900 cases.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Pelvic Trauma</w:t>
      </w:r>
    </w:p>
    <w:p>
      <w:pPr>
        <w:pStyle w:val="TextBody"/>
        <w:bidi w:val="0"/>
        <w:spacing w:lineRule="auto" w:line="288" w:before="0" w:after="240"/>
        <w:ind w:left="0" w:right="0" w:firstLine="540"/>
        <w:jc w:val="both"/>
        <w:rPr/>
      </w:pPr>
      <w:r>
        <w:rPr>
          <w:rFonts w:ascii="Times New Roman;serif" w:hAnsi="Times New Roman;serif"/>
          <w:b w:val="false"/>
          <w:color w:val="000000"/>
          <w:sz w:val="20"/>
        </w:rPr>
        <w:t>Current treatment options for pelvic fragility fractures are sub-optimal. Sacroplasty, in which bone cement is extruded into the sacrum to help fix the fracture, is associated with high rates of cement leakage and therefore lacks consistent coverage by payors. Traditional trauma screws do not integrate with the surrounding bone and therefore loosen in more than 20% of the cases in which they are used.</w:t>
      </w:r>
      <w:r>
        <w:rPr>
          <w:color w:val="000000"/>
        </w:rPr>
        <w:t xml:space="preserve"> </w:t>
      </w:r>
      <w:r>
        <w:rPr>
          <w:rFonts w:ascii="Times New Roman;serif" w:hAnsi="Times New Roman;serif"/>
          <w:b w:val="false"/>
          <w:color w:val="000000"/>
          <w:sz w:val="20"/>
        </w:rPr>
        <w:t xml:space="preserve">As a result, most patients are prescribed bed-rest, involving significant capacity and financial burdens on the health care system, and a one-year mortality rate range of 14%-27%. We estimate the pelvic trauma market to be an approximately $350 million market opportunity.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Clinical Evidence</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triangular iFuse implants are the only minimally invasive products for sacroiliac joint fusion commercially available in the United States that, to our knowledge, are supported by substantial high-quality published evidence of safety, clinical effectiveness, durability, and economic utility. More than 180 publications discuss safety, effectiveness, cost effectiveness, or other uses of our implants. Our sponsored clinical studies include four prospective randomized controlled trials and several prospective multicenter studies. Independently reported data include 6-year follow-up.</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Summary of SI-BONE sponsored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9" name="Frame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 xml:space="preserve">Table 1. Completed Studies </w:t>
      </w:r>
    </w:p>
    <w:tbl>
      <w:tblPr>
        <w:tblW w:w="10205" w:type="dxa"/>
        <w:jc w:val="left"/>
        <w:tblInd w:w="0" w:type="dxa"/>
        <w:tblLayout w:type="fixed"/>
        <w:tblCellMar>
          <w:top w:w="28" w:type="dxa"/>
          <w:left w:w="28" w:type="dxa"/>
          <w:bottom w:w="28" w:type="dxa"/>
          <w:right w:w="28" w:type="dxa"/>
        </w:tblCellMar>
      </w:tblPr>
      <w:tblGrid>
        <w:gridCol w:w="526"/>
        <w:gridCol w:w="262"/>
        <w:gridCol w:w="257"/>
        <w:gridCol w:w="320"/>
        <w:gridCol w:w="320"/>
        <w:gridCol w:w="321"/>
        <w:gridCol w:w="383"/>
        <w:gridCol w:w="383"/>
        <w:gridCol w:w="385"/>
        <w:gridCol w:w="286"/>
        <w:gridCol w:w="286"/>
        <w:gridCol w:w="288"/>
        <w:gridCol w:w="426"/>
        <w:gridCol w:w="426"/>
        <w:gridCol w:w="431"/>
        <w:gridCol w:w="1492"/>
        <w:gridCol w:w="1407"/>
        <w:gridCol w:w="2006"/>
      </w:tblGrid>
      <w:tr>
        <w:trPr/>
        <w:tc>
          <w:tcPr>
            <w:tcW w:w="52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r>
      <w:tr>
        <w:trPr/>
        <w:tc>
          <w:tcPr>
            <w:tcW w:w="104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sans-serif" w:hAnsi="sans-serif"/>
                <w:b/>
                <w:color w:val="000000"/>
                <w:sz w:val="20"/>
              </w:rPr>
            </w:pPr>
            <w:r>
              <w:rPr>
                <w:rFonts w:ascii="sans-serif" w:hAnsi="sans-serif"/>
                <w:b/>
                <w:color w:val="000000"/>
                <w:sz w:val="20"/>
              </w:rPr>
              <w:t>Study Name</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sans-serif" w:hAnsi="sans-serif"/>
                <w:b/>
                <w:color w:val="000000"/>
                <w:sz w:val="20"/>
              </w:rPr>
            </w:pPr>
            <w:r>
              <w:rPr>
                <w:rFonts w:ascii="sans-serif" w:hAnsi="sans-serif"/>
                <w:b/>
                <w:color w:val="000000"/>
                <w:sz w:val="20"/>
              </w:rPr>
              <w:t>Implant</w:t>
            </w:r>
          </w:p>
        </w:tc>
        <w:tc>
          <w:tcPr>
            <w:tcW w:w="115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sans-serif" w:hAnsi="sans-serif"/>
                <w:b/>
                <w:color w:val="000000"/>
                <w:sz w:val="20"/>
              </w:rPr>
            </w:pPr>
            <w:r>
              <w:rPr>
                <w:rFonts w:ascii="sans-serif" w:hAnsi="sans-serif"/>
                <w:b/>
                <w:color w:val="000000"/>
                <w:sz w:val="20"/>
              </w:rPr>
              <w:t>Condition**</w:t>
            </w:r>
          </w:p>
        </w:tc>
        <w:tc>
          <w:tcPr>
            <w:tcW w:w="8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sans-serif" w:hAnsi="sans-serif"/>
                <w:b/>
                <w:color w:val="000000"/>
                <w:sz w:val="20"/>
              </w:rPr>
            </w:pPr>
            <w:r>
              <w:rPr>
                <w:rFonts w:ascii="sans-serif" w:hAnsi="sans-serif"/>
                <w:b/>
                <w:color w:val="000000"/>
                <w:sz w:val="20"/>
              </w:rPr>
              <w:t>Design*</w:t>
            </w:r>
          </w:p>
        </w:tc>
        <w:tc>
          <w:tcPr>
            <w:tcW w:w="128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0"/>
              <w:jc w:val="center"/>
              <w:rPr>
                <w:rFonts w:ascii="sans-serif" w:hAnsi="sans-serif"/>
                <w:b/>
                <w:color w:val="000000"/>
                <w:sz w:val="20"/>
              </w:rPr>
            </w:pPr>
            <w:r>
              <w:rPr>
                <w:rFonts w:ascii="sans-serif" w:hAnsi="sans-serif"/>
                <w:b/>
                <w:color w:val="000000"/>
                <w:sz w:val="20"/>
              </w:rPr>
              <w:t>Status</w:t>
            </w:r>
          </w:p>
        </w:tc>
        <w:tc>
          <w:tcPr>
            <w:tcW w:w="49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Key finding</w:t>
            </w:r>
          </w:p>
        </w:tc>
      </w:tr>
      <w:tr>
        <w:trPr/>
        <w:tc>
          <w:tcPr>
            <w:tcW w:w="104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center"/>
              <w:rPr>
                <w:rFonts w:ascii="sans-serif" w:hAnsi="sans-serif"/>
                <w:b w:val="false"/>
                <w:color w:val="000000"/>
                <w:sz w:val="20"/>
              </w:rPr>
            </w:pPr>
            <w:r>
              <w:rPr>
                <w:rFonts w:ascii="sans-serif" w:hAnsi="sans-serif"/>
                <w:b w:val="false"/>
                <w:color w:val="000000"/>
                <w:sz w:val="20"/>
              </w:rPr>
              <w:t xml:space="preserve">iMIA </w:t>
            </w:r>
          </w:p>
        </w:tc>
        <w:tc>
          <w:tcPr>
            <w:tcW w:w="96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iFuse</w:t>
            </w:r>
          </w:p>
        </w:tc>
        <w:tc>
          <w:tcPr>
            <w:tcW w:w="115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SIJD</w:t>
            </w:r>
          </w:p>
        </w:tc>
        <w:tc>
          <w:tcPr>
            <w:tcW w:w="86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MRCT</w:t>
            </w:r>
          </w:p>
        </w:tc>
        <w:tc>
          <w:tcPr>
            <w:tcW w:w="128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Complete</w:t>
            </w:r>
          </w:p>
        </w:tc>
        <w:tc>
          <w:tcPr>
            <w:tcW w:w="490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Large differences were observed between subjects undergoing sacroiliac joint fusion versus those undergoing non-surgical management. Improvements in pain, disability and quality of life after sacroiliac joint fusion were sustained at two years. Two-year results were published in March 2019.</w:t>
            </w:r>
          </w:p>
        </w:tc>
      </w:tr>
      <w:tr>
        <w:trPr/>
        <w:tc>
          <w:tcPr>
            <w:tcW w:w="10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sans-serif" w:hAnsi="sans-serif"/>
                <w:b w:val="false"/>
                <w:color w:val="000000"/>
                <w:sz w:val="20"/>
              </w:rPr>
            </w:pPr>
            <w:r>
              <w:rPr>
                <w:rFonts w:ascii="sans-serif" w:hAnsi="sans-serif"/>
                <w:b w:val="false"/>
                <w:color w:val="000000"/>
                <w:sz w:val="20"/>
              </w:rPr>
              <w:t>INSITE</w:t>
            </w:r>
          </w:p>
        </w:tc>
        <w:tc>
          <w:tcPr>
            <w:tcW w:w="9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iFuse</w:t>
            </w:r>
          </w:p>
        </w:tc>
        <w:tc>
          <w:tcPr>
            <w:tcW w:w="11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SIJD</w:t>
            </w:r>
          </w:p>
        </w:tc>
        <w:tc>
          <w:tcPr>
            <w:tcW w:w="86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MRCT</w:t>
            </w:r>
          </w:p>
        </w:tc>
        <w:tc>
          <w:tcPr>
            <w:tcW w:w="128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Complete</w:t>
            </w:r>
          </w:p>
        </w:tc>
        <w:tc>
          <w:tcPr>
            <w:tcW w:w="490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Subjects assigned to sacroiliac joint fusion reported large improvements in pain, disability related to pain and quality of life. In contrast, in subjects assigned to non-surgical management, only small, clinically unimportant improvements in these parameters were observed.</w:t>
            </w:r>
          </w:p>
        </w:tc>
      </w:tr>
      <w:tr>
        <w:trPr/>
        <w:tc>
          <w:tcPr>
            <w:tcW w:w="104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center"/>
              <w:rPr>
                <w:rFonts w:ascii="sans-serif" w:hAnsi="sans-serif"/>
                <w:b w:val="false"/>
                <w:color w:val="000000"/>
                <w:sz w:val="20"/>
              </w:rPr>
            </w:pPr>
            <w:r>
              <w:rPr>
                <w:rFonts w:ascii="sans-serif" w:hAnsi="sans-serif"/>
                <w:b w:val="false"/>
                <w:color w:val="000000"/>
                <w:sz w:val="20"/>
              </w:rPr>
              <w:t>SIFI</w:t>
            </w:r>
          </w:p>
        </w:tc>
        <w:tc>
          <w:tcPr>
            <w:tcW w:w="96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iFuse</w:t>
            </w:r>
          </w:p>
        </w:tc>
        <w:tc>
          <w:tcPr>
            <w:tcW w:w="115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SIJD</w:t>
            </w:r>
          </w:p>
        </w:tc>
        <w:tc>
          <w:tcPr>
            <w:tcW w:w="86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PMSA</w:t>
            </w:r>
          </w:p>
        </w:tc>
        <w:tc>
          <w:tcPr>
            <w:tcW w:w="128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Complete</w:t>
            </w:r>
          </w:p>
        </w:tc>
        <w:tc>
          <w:tcPr>
            <w:tcW w:w="490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Subjects undergoing sacroiliac joint fusion showed marked, immediate and sustained improvements in pain, disability and quality of life. Changes were very similar to randomized trials described above.</w:t>
            </w:r>
          </w:p>
        </w:tc>
      </w:tr>
      <w:tr>
        <w:trPr/>
        <w:tc>
          <w:tcPr>
            <w:tcW w:w="10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sans-serif" w:hAnsi="sans-serif"/>
                <w:b w:val="false"/>
                <w:color w:val="000000"/>
                <w:sz w:val="20"/>
              </w:rPr>
            </w:pPr>
            <w:r>
              <w:rPr>
                <w:rFonts w:ascii="sans-serif" w:hAnsi="sans-serif"/>
                <w:b w:val="false"/>
                <w:color w:val="000000"/>
                <w:sz w:val="20"/>
              </w:rPr>
              <w:t>LOIS</w:t>
            </w:r>
          </w:p>
        </w:tc>
        <w:tc>
          <w:tcPr>
            <w:tcW w:w="9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iFuse</w:t>
            </w:r>
          </w:p>
        </w:tc>
        <w:tc>
          <w:tcPr>
            <w:tcW w:w="11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SIJD</w:t>
            </w:r>
          </w:p>
        </w:tc>
        <w:tc>
          <w:tcPr>
            <w:tcW w:w="86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PMSA</w:t>
            </w:r>
          </w:p>
        </w:tc>
        <w:tc>
          <w:tcPr>
            <w:tcW w:w="128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Complete</w:t>
            </w:r>
          </w:p>
        </w:tc>
        <w:tc>
          <w:tcPr>
            <w:tcW w:w="490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Participants from INSITE and SIFI agreed to undergo long-term follow-up. Five-year results, published in April 2018, showed sustained improvements in pain, disability and quality of life as well as a high satisfaction rate at five years. Moreover, independent radiographic analysis showed a high rate of bony apposition to implants on both the sacral and iliac sides (98%) as well as a high rate of sacroiliac joint fusion (88% bridging bone) at five years. There were no reported adverse events related to the study device or procedure at five years.</w:t>
            </w:r>
          </w:p>
        </w:tc>
      </w:tr>
      <w:tr>
        <w:trPr/>
        <w:tc>
          <w:tcPr>
            <w:tcW w:w="104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center"/>
              <w:rPr>
                <w:rFonts w:ascii="sans-serif" w:hAnsi="sans-serif"/>
                <w:b w:val="false"/>
                <w:color w:val="000000"/>
                <w:sz w:val="20"/>
              </w:rPr>
            </w:pPr>
            <w:r>
              <w:rPr>
                <w:rFonts w:ascii="sans-serif" w:hAnsi="sans-serif"/>
                <w:b w:val="false"/>
                <w:color w:val="000000"/>
                <w:sz w:val="20"/>
              </w:rPr>
              <w:t>SALLY</w:t>
            </w:r>
          </w:p>
        </w:tc>
        <w:tc>
          <w:tcPr>
            <w:tcW w:w="96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iFuse 3D</w:t>
            </w:r>
          </w:p>
        </w:tc>
        <w:tc>
          <w:tcPr>
            <w:tcW w:w="115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SIJD</w:t>
            </w:r>
          </w:p>
        </w:tc>
        <w:tc>
          <w:tcPr>
            <w:tcW w:w="86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PMSA</w:t>
            </w:r>
          </w:p>
        </w:tc>
        <w:tc>
          <w:tcPr>
            <w:tcW w:w="128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Complete</w:t>
            </w:r>
          </w:p>
        </w:tc>
        <w:tc>
          <w:tcPr>
            <w:tcW w:w="490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68"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Two-year results, published in June 2021, and five-year results, published in September 2024, showed similar improvements in pain, disability and quality of life after SI joint fusion with iFuse 3D compared to prior studies of iFuse as well as CT evidence of earlier fusion of the sacroiliac joint. The study also showed marked reduction in opioid use and improvement in objective functional tests. </w:t>
            </w:r>
          </w:p>
        </w:tc>
      </w:tr>
      <w:tr>
        <w:trPr/>
        <w:tc>
          <w:tcPr>
            <w:tcW w:w="104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sans-serif" w:hAnsi="sans-serif"/>
                <w:b w:val="false"/>
                <w:color w:val="000000"/>
                <w:sz w:val="20"/>
              </w:rPr>
            </w:pPr>
            <w:r>
              <w:rPr>
                <w:rFonts w:ascii="sans-serif" w:hAnsi="sans-serif"/>
                <w:b w:val="false"/>
                <w:color w:val="000000"/>
                <w:sz w:val="20"/>
              </w:rPr>
              <w:t>SILVIA</w:t>
            </w:r>
          </w:p>
        </w:tc>
        <w:tc>
          <w:tcPr>
            <w:tcW w:w="96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iFuse 3D</w:t>
            </w:r>
          </w:p>
        </w:tc>
        <w:tc>
          <w:tcPr>
            <w:tcW w:w="115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ASD</w:t>
            </w:r>
          </w:p>
        </w:tc>
        <w:tc>
          <w:tcPr>
            <w:tcW w:w="86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MRCT</w:t>
            </w:r>
          </w:p>
        </w:tc>
        <w:tc>
          <w:tcPr>
            <w:tcW w:w="128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Complete; Primary endpoint manuscript under review.</w:t>
            </w:r>
          </w:p>
        </w:tc>
        <w:tc>
          <w:tcPr>
            <w:tcW w:w="4905"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primary endpoints of the study are is the incidence of sacroiliac joint pain and/or distal junctional failures. The study aims to show that placement of iFuse 3D in the Bedrock configuration reduces the rate of these outcomes. Early study results, which focused on device placement feasibility and 90-day safety events, demonstrate the feasibility and safety of pelvic fixation utilizing a sacral-alar-iliac screw combined with iFuse 3D in the bedrock configuration.</w:t>
            </w:r>
          </w:p>
        </w:tc>
      </w:tr>
      <w:tr>
        <w:trPr/>
        <w:tc>
          <w:tcPr>
            <w:tcW w:w="104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center"/>
              <w:rPr>
                <w:rFonts w:ascii="sans-serif" w:hAnsi="sans-serif"/>
                <w:b w:val="false"/>
                <w:color w:val="000000"/>
                <w:sz w:val="20"/>
              </w:rPr>
            </w:pPr>
            <w:r>
              <w:rPr>
                <w:rFonts w:ascii="sans-serif" w:hAnsi="sans-serif"/>
                <w:b w:val="false"/>
                <w:color w:val="000000"/>
                <w:sz w:val="20"/>
              </w:rPr>
              <w:t>SAFFRON</w:t>
            </w:r>
          </w:p>
        </w:tc>
        <w:tc>
          <w:tcPr>
            <w:tcW w:w="96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iFuse TORQ</w:t>
            </w:r>
          </w:p>
        </w:tc>
        <w:tc>
          <w:tcPr>
            <w:tcW w:w="115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FFP</w:t>
            </w:r>
          </w:p>
        </w:tc>
        <w:tc>
          <w:tcPr>
            <w:tcW w:w="86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MRCT</w:t>
            </w:r>
          </w:p>
        </w:tc>
        <w:tc>
          <w:tcPr>
            <w:tcW w:w="1283"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Complete</w:t>
            </w:r>
          </w:p>
        </w:tc>
        <w:tc>
          <w:tcPr>
            <w:tcW w:w="4905"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Results from SAFFRON were published in May 2025 and showed a higher rate of recovery of mobility after surgical treatment using iFuse TORQ compared to non-surgical treatment.</w:t>
            </w:r>
          </w:p>
        </w:tc>
      </w:tr>
      <w:tr>
        <w:trPr/>
        <w:tc>
          <w:tcPr>
            <w:tcW w:w="1045"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68" w:before="0" w:after="0"/>
              <w:jc w:val="center"/>
              <w:rPr>
                <w:rFonts w:ascii="sans-serif" w:hAnsi="sans-serif"/>
                <w:b w:val="false"/>
                <w:color w:val="000000"/>
                <w:sz w:val="20"/>
              </w:rPr>
            </w:pPr>
            <w:r>
              <w:rPr>
                <w:rFonts w:ascii="sans-serif" w:hAnsi="sans-serif"/>
                <w:b w:val="false"/>
                <w:color w:val="000000"/>
                <w:sz w:val="20"/>
              </w:rPr>
              <w:t>STACI</w:t>
            </w:r>
          </w:p>
        </w:tc>
        <w:tc>
          <w:tcPr>
            <w:tcW w:w="96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iFuse TORQ</w:t>
            </w:r>
          </w:p>
        </w:tc>
        <w:tc>
          <w:tcPr>
            <w:tcW w:w="1151"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SIJD</w:t>
            </w:r>
          </w:p>
        </w:tc>
        <w:tc>
          <w:tcPr>
            <w:tcW w:w="860"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68" w:before="0" w:after="0"/>
              <w:jc w:val="left"/>
              <w:rPr>
                <w:rFonts w:ascii="sans-serif" w:hAnsi="sans-serif"/>
                <w:b w:val="false"/>
                <w:color w:val="000000"/>
                <w:sz w:val="20"/>
              </w:rPr>
            </w:pPr>
            <w:r>
              <w:rPr>
                <w:rFonts w:ascii="sans-serif" w:hAnsi="sans-serif"/>
                <w:b w:val="false"/>
                <w:color w:val="000000"/>
                <w:sz w:val="20"/>
              </w:rPr>
              <w:t>PMSA</w:t>
            </w:r>
          </w:p>
        </w:tc>
        <w:tc>
          <w:tcPr>
            <w:tcW w:w="1283" w:type="dxa"/>
            <w:gridSpan w:val="3"/>
            <w:tcBorders>
              <w:top w:val="single" w:sz="8" w:space="0" w:color="000000"/>
              <w:left w:val="single" w:sz="8" w:space="0" w:color="000000"/>
              <w:bottom w:val="single" w:sz="8" w:space="0" w:color="000000"/>
            </w:tcBorders>
            <w:shd w:fill="FFFFFF" w:val="clear"/>
            <w:tcMar>
              <w:top w:w="3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Enrollment completed; Primary endpoint manuscript in press.</w:t>
            </w:r>
          </w:p>
        </w:tc>
        <w:tc>
          <w:tcPr>
            <w:tcW w:w="4905" w:type="dxa"/>
            <w:gridSpan w:val="3"/>
            <w:tcBorders>
              <w:top w:val="single" w:sz="8" w:space="0" w:color="000000"/>
              <w:left w:val="single" w:sz="8" w:space="0" w:color="000000"/>
              <w:bottom w:val="single" w:sz="8" w:space="0" w:color="000000"/>
              <w:right w:val="single" w:sz="8" w:space="0" w:color="000000"/>
            </w:tcBorders>
            <w:shd w:fill="FFFFFF" w:val="clear"/>
            <w:tcMar>
              <w:top w:w="30" w:type="dxa"/>
              <w:bottom w:w="3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Patient with sacroiliac joint pain underwent SI joint fusion using iFuse TORQ. The procedures were performed by physicians trained in interventional pain procedures (not surgery). Early results from STACI were published in June 2025 and showed that placement of iFuse TORQ by interventional pain management physician was associated with a low adverse event rate and early improvement in pain and function. At 6 months, the improvement in the study’s primary endpoint, the reduction in sacroiliac joint pain scores at six months, was statistically non-inferior to prior studies. positive, meeting the study’s non-inferiority hypothesis. Improvement was seen in both pain scores and Oswestry Disability Index. Change scores were very similar to prior studies. </w:t>
            </w:r>
          </w:p>
        </w:tc>
      </w:tr>
      <w:tr>
        <w:trPr/>
        <w:tc>
          <w:tcPr>
            <w:tcW w:w="10205" w:type="dxa"/>
            <w:gridSpan w:val="18"/>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Table 2. Ongoing Study </w:t>
            </w:r>
          </w:p>
        </w:tc>
      </w:tr>
      <w:tr>
        <w:trPr/>
        <w:tc>
          <w:tcPr>
            <w:tcW w:w="104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sans-serif" w:hAnsi="sans-serif"/>
                <w:b/>
                <w:color w:val="000000"/>
                <w:sz w:val="20"/>
              </w:rPr>
            </w:pPr>
            <w:r>
              <w:rPr>
                <w:rFonts w:ascii="sans-serif" w:hAnsi="sans-serif"/>
                <w:b/>
                <w:color w:val="000000"/>
                <w:sz w:val="20"/>
              </w:rPr>
              <w:t>Study Name</w:t>
            </w:r>
          </w:p>
        </w:tc>
        <w:tc>
          <w:tcPr>
            <w:tcW w:w="9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sans-serif" w:hAnsi="sans-serif"/>
                <w:b/>
                <w:color w:val="000000"/>
                <w:sz w:val="20"/>
              </w:rPr>
            </w:pPr>
            <w:r>
              <w:rPr>
                <w:rFonts w:ascii="sans-serif" w:hAnsi="sans-serif"/>
                <w:b/>
                <w:color w:val="000000"/>
                <w:sz w:val="20"/>
              </w:rPr>
              <w:t>Implant</w:t>
            </w:r>
          </w:p>
        </w:tc>
        <w:tc>
          <w:tcPr>
            <w:tcW w:w="115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sans-serif" w:hAnsi="sans-serif"/>
                <w:b/>
                <w:color w:val="000000"/>
                <w:sz w:val="20"/>
              </w:rPr>
            </w:pPr>
            <w:r>
              <w:rPr>
                <w:rFonts w:ascii="sans-serif" w:hAnsi="sans-serif"/>
                <w:b/>
                <w:color w:val="000000"/>
                <w:sz w:val="20"/>
              </w:rPr>
              <w:t>Condition**</w:t>
            </w:r>
          </w:p>
        </w:tc>
        <w:tc>
          <w:tcPr>
            <w:tcW w:w="8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sans-serif" w:hAnsi="sans-serif"/>
                <w:b/>
                <w:color w:val="000000"/>
                <w:sz w:val="20"/>
              </w:rPr>
            </w:pPr>
            <w:r>
              <w:rPr>
                <w:rFonts w:ascii="sans-serif" w:hAnsi="sans-serif"/>
                <w:b/>
                <w:color w:val="000000"/>
                <w:sz w:val="20"/>
              </w:rPr>
              <w:t>Design*</w:t>
            </w:r>
          </w:p>
        </w:tc>
        <w:tc>
          <w:tcPr>
            <w:tcW w:w="128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0"/>
              <w:jc w:val="center"/>
              <w:rPr>
                <w:rFonts w:ascii="sans-serif" w:hAnsi="sans-serif"/>
                <w:b/>
                <w:color w:val="000000"/>
                <w:sz w:val="20"/>
              </w:rPr>
            </w:pPr>
            <w:r>
              <w:rPr>
                <w:rFonts w:ascii="sans-serif" w:hAnsi="sans-serif"/>
                <w:b/>
                <w:color w:val="000000"/>
                <w:sz w:val="20"/>
              </w:rPr>
              <w:t>Status</w:t>
            </w:r>
          </w:p>
        </w:tc>
        <w:tc>
          <w:tcPr>
            <w:tcW w:w="49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Description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10"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2"/>
        <w:gridCol w:w="239"/>
        <w:gridCol w:w="240"/>
        <w:gridCol w:w="305"/>
        <w:gridCol w:w="305"/>
        <w:gridCol w:w="306"/>
        <w:gridCol w:w="160"/>
        <w:gridCol w:w="160"/>
        <w:gridCol w:w="161"/>
        <w:gridCol w:w="210"/>
        <w:gridCol w:w="210"/>
        <w:gridCol w:w="211"/>
        <w:gridCol w:w="461"/>
        <w:gridCol w:w="461"/>
        <w:gridCol w:w="462"/>
        <w:gridCol w:w="1766"/>
        <w:gridCol w:w="1766"/>
        <w:gridCol w:w="2510"/>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PAULA</w:t>
            </w:r>
          </w:p>
        </w:tc>
        <w:tc>
          <w:tcPr>
            <w:tcW w:w="916"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iFuse Bedrock Granite</w:t>
            </w:r>
          </w:p>
        </w:tc>
        <w:tc>
          <w:tcPr>
            <w:tcW w:w="481"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ASD</w:t>
            </w:r>
          </w:p>
        </w:tc>
        <w:tc>
          <w:tcPr>
            <w:tcW w:w="631"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PMSA</w:t>
            </w:r>
          </w:p>
        </w:tc>
        <w:tc>
          <w:tcPr>
            <w:tcW w:w="138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Complete; Primary endpoint manuscript under review.</w:t>
            </w:r>
          </w:p>
        </w:tc>
        <w:tc>
          <w:tcPr>
            <w:tcW w:w="6042"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An ongoing multi-center, single-arm study of iFuse Bedrock Granite in patients undergoing spinopelvic fixation for adult spinal deformity or degenerative spine conditions. The study evaluates the performance of the iFuse Bedrock Granite implant in various configurations. This study has a prospective and retrospective arms. Enrollment was stopped at 162 patients. A manuscript describing 12-month outcomes when iFuse Bedrock Granite was used for multilevel spine fusion of four or more lumbar levels is currently under review at a journal.</w:t>
            </w:r>
          </w:p>
        </w:tc>
      </w:tr>
      <w:tr>
        <w:trPr/>
        <w:tc>
          <w:tcPr>
            <w:tcW w:w="10205"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*MRCT = multi-center randomized controlled trial; PMSA = prospective, multi-center single-arm</w:t>
            </w:r>
          </w:p>
        </w:tc>
      </w:tr>
      <w:tr>
        <w:trPr/>
        <w:tc>
          <w:tcPr>
            <w:tcW w:w="10205" w:type="dxa"/>
            <w:gridSpan w:val="18"/>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**SIJD = sacroiliac joint dysfunction; ASD = adult spine deformity; FFP = fragility fracture of the pelvis</w:t>
            </w:r>
          </w:p>
        </w:tc>
      </w:tr>
    </w:tbl>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Other Published Clinical Studies</w:t>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date, several independent clinical studies have provided evidence to support the long-term safety and effectiveness of iFuse for sacroiliac joint fusion. These studies demonstrated pain reduction and/or ODI improvement that is statistically significant and clinically important and a safety file that was similar to that observed in prospective studies. One study showed marked reduction in opioid use after sacroiliac joint fusion compared to similar subjects who underwent non-surgical treatment, and in whom opioid use increased. An analysis of post-market surveillance data on the performance of iFuse Bedrock Granite was recently accepted for publication in the International Journal of Spine Surgery. Results show a low failure rate compared with conventional screws for pelvic fixation.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11"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Coverage and Reimbursement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Coverage and reimbursement for procedures using our products vary by site of care, payer type, and geographic region. Outside the United States, reimbursement levels differ significantly by country and, in some cases, by region within a country.</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Third-party payers in the U.S. regularly update coverage policies, reimbursement rates, and payment methodologies, including periodic adjustments to payments made to physicians, hospitals, and ambulatory surgical centers (“ASCs”). Government payers including the Centers for Medicare and Medicaid Services (“CMS”) establish Medicare Severity Diagnosis-Related Groups (“MS-DRGs”) to reimbursement hospitals for inpatient-based procedures, based on historical facility-level cost reports. While we believe hospitals supporting procedures involving the iFuse Bedrock Granite are paid adequately, we have requested that CMS reassign the MS-DRG of certain high-cost cases using Granite, which is currently under review for implementation in the FY 2027 rule making cycle.</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CMS has also established programs intended to promote innovation and facilitate patient access to new technologies we develop, which may provide incremental reimbursement or coverage for qualifying procedures performed in specified sites of care, for specific patient types. These programs are generally time-limited and used for future rate-setting, and are subject to periodic review, public notification, and renewal processes. On October 1, 2025, CMS awarded the iFuse TORQ TNT implant a New Technology Add-on Payment (“NTAP”). NTAP provides incremental reimbursement to hospitals supporting eligible, inpatient procedures using iFuse TORQ TNT technology, up to $4,136 in addition to the typical reimbursement they receive based on the relevant MS-DRGs. NTAP will likely expire on September 30, 2028. Effective January 1, 2025, hospital outpatient departments and ASCs are also eligible to receive Transitional Pass-Through (“TPT”) payment for iFuse Bedrock Granite in outpatient settings, which allows the total facility-reported costs of iFuse Bedrock Granite to be “passed through” to the Medicare program, when performed as part of a separately reimbursed lumbar fusion procedure.</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United States, a majority of payers provide coverage for minimally invasive or open sacropelvic procedures, when performed using established techniques to fixate the pelvis or to promote fusion of the sacroiliac joint, for common patient indications and diagnoses. Certain payers have also issued favorable coverage policies for specific implant designs supported by clinical evidence, such as the iFuse Titanium Triangular Implants. We believe reimbursement for these procedures is generally adequate relative to the time, skill, and complexity involved.</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Procedures using our products are reported using established Current Procedural Terminology (“CPT”) codes, Healthcare Common Procedure Coding System (“HCPCS”) codes, and International Classification of Diseases, 10th Revision (“ICD-10”) procedure and diagnosis codes. We expect coding guidance will continue to evolve to describe new techniques and approaches as they are introduced. Updates to procedural codes and descriptors may affect how sacropelvic procedures we support are reported and reimbursed over time.</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12"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Healthcare Professional Training and Education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Since our inception, we have made considerable investments in teaching healthcare professionals to accurately diagnose sacroiliac joint disorders. Our physician training programs are for orthopedic spine surgeons, neurosurgeons, general orthopedic surgeons, interventional spine specialists and orthopedic trauma surgeons. Our medical affairs team works with leading physician and spine surgeons to educate other orthopedic and neurosurgeons on the differential diagnosis of sacroiliac joint disorders and the use of our implants. Our non-surgeon physician training programs focus on interventionalists, who are generally trained as anesthesiologists, interventional radiologists, or physical medicine and rehabilitation specialists. We also work closely with medical specialty societies to raise the awareness of and teach the appropriate diagnosis of sacroiliac joint dysfunction and the associated treatment options.</w:t>
      </w:r>
    </w:p>
    <w:p>
      <w:pPr>
        <w:pStyle w:val="TextBody"/>
        <w:bidi w:val="0"/>
        <w:spacing w:lineRule="auto" w:line="288" w:before="0" w:after="240"/>
        <w:ind w:left="0" w:right="0" w:firstLine="540"/>
        <w:jc w:val="both"/>
        <w:rPr/>
      </w:pPr>
      <w:r>
        <w:rPr>
          <w:rFonts w:ascii="Times New Roman;serif" w:hAnsi="Times New Roman;serif"/>
          <w:b w:val="false"/>
          <w:color w:val="000000"/>
          <w:sz w:val="20"/>
        </w:rPr>
        <w:t xml:space="preserve">We conduct many educational programs for the broader medical community including primary care physicians, pain management physicians and other healthcare practitioners that may manage a sacroiliac joint patient non-surgically, such as physical therapists and chiropractors. Our educational programs focus on </w:t>
      </w:r>
      <w:r>
        <w:rPr>
          <w:rFonts w:ascii="Times New Roman;serif" w:hAnsi="Times New Roman;serif"/>
          <w:b w:val="false"/>
          <w:color w:val="000000"/>
          <w:sz w:val="20"/>
          <w:shd w:fill="FFFFFF" w:val="clear"/>
        </w:rPr>
        <w:t>helping healthcare professionals learn about the sacroiliac joint as a component of lower back pain, proper diagnosis of sacroiliac joint dysfunction, non-surgical treatment options and surgical treatment with our implants.</w:t>
      </w:r>
      <w:r>
        <w:rPr>
          <w:color w:val="000000"/>
        </w:rPr>
        <w:t xml:space="preserve"> </w:t>
      </w:r>
      <w:r>
        <w:rPr>
          <w:rFonts w:ascii="Times New Roman;serif" w:hAnsi="Times New Roman;serif"/>
          <w:b w:val="false"/>
          <w:color w:val="000000"/>
          <w:sz w:val="20"/>
        </w:rPr>
        <w:t xml:space="preserve">In addition to these general educational programs, we provide continuing education programs focused on sacroiliac joint diagnosis and treatment. We can provide these programs worldwide including in all 50 states and the District of Columbia.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July 2020, we began using the SI-BONE SImulator; an innovative, fully portable surgery training simulator. The computer-based surgery training simulator provides quality haptics, or the realistic feel during the physician’s use of the implants and instruments, and the training is performed without need for an operating room or a fluoroscope. The simulator is used to train physicians to perform sacroiliac joint injections, sacroiliac joint fusions from multiple trajectories, as well as the iFuse Bedrock procedure using our platform technologies. We utilize simulators and our existing programs to provide training and increase the knowledge and proficiency of physicians in connection with our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13"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Sales and Marketing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market and sell our implants primarily through a direct sales force and third-party sales agents. As of December 31, 2025, our target customer base includes over 12,000 U.S. physicians, including nearly 7,500 orthopedic and neurological surgeons and approximately 4,500 interventional spine physicians, who perform advanced spinal procedures.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direct sales organization in the United States covered 16 sales regions as of December 31, 2025. In each region, a number of territory sales managers act as the primary customer contact. Our territory sales managers have extensive training and experience selling medical devices for spinal surgery and pain management procedures, generally focusing on emerging technologies and markets. For large and/or high volume territories, we also employ territory representatives who cover cases and support revenue growth activities. As of December 31, 2025, our U.S. sales force consisted of 89 territory sales managers and 83 clinical specialists directly employed by us, and 320 third-party sales agents. As of December 31, 2025, our international sales force consisted of 11 sales representatives directly employed by us and 28 third-party sales agents, which together had sales in 38 countries through December 31, 2025. We intend to continue to grow our specialized sales force to foster physician engagement and support revenue growth.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it is essential to raise awareness among lower back pain sufferers that their symptoms may be the result of sacroiliac joint disorders and that minimally invasive surgical treatments are available. To raise patient awareness, we have implemented targeted marketing, education and direct outreach programs. We continually update our social media initiatives and post content to educate and engage patients who may be candidates for our procedures.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Research and Development </w:t>
      </w:r>
    </w:p>
    <w:p>
      <w:pPr>
        <w:pStyle w:val="TextBody"/>
        <w:bidi w:val="0"/>
        <w:spacing w:lineRule="auto" w:line="288" w:before="0" w:after="240"/>
        <w:ind w:left="0" w:right="0" w:firstLine="540"/>
        <w:jc w:val="both"/>
        <w:rPr/>
      </w:pPr>
      <w:r>
        <w:rPr>
          <w:rFonts w:ascii="Times New Roman;serif" w:hAnsi="Times New Roman;serif"/>
          <w:b w:val="false"/>
          <w:color w:val="000000"/>
          <w:sz w:val="20"/>
        </w:rPr>
        <w:t>We believe we are the industry leader in pioneering anatomy-specific solutions that are grounded in our biomechanical design expertise and backed by strong clinical evidence. Our focus on innovation has resulted in three of our platform technologies being designated as breakthrough devices by the FDA. We remain focused on the development of products and techniques to help physicians improve the treatment of their patients with compromised bone.</w:t>
      </w:r>
      <w:r>
        <w:rPr>
          <w:color w:val="000000"/>
        </w:rPr>
        <w:t xml:space="preserve"> </w:t>
      </w:r>
      <w:r>
        <w:rPr>
          <w:rFonts w:ascii="Times New Roman;serif" w:hAnsi="Times New Roman;serif"/>
          <w:b w:val="false"/>
          <w:color w:val="000000"/>
          <w:sz w:val="20"/>
        </w:rPr>
        <w:t>Our development team, in consultation with physicians, has a pipeline of products in various stages to provide solutions that respond to the needs of our physician customers and their patients. We plan to seek regulatory clearances for additional indications as required. We anticipate that research and development expenses will continue to increase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Competition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Over the past several years, other companies have recognized the multi-billion dollar addressable market opportunity. We believe that some of our primary competitors include Alphatec Holding Inc., Aurora Spine Corporation, Globus Medical, Inc., Medtronic plc., and Tenon Medical, Inc. amongst others. Some of our competitors are large, publicly traded companies that have wide product offerings for spine and orthopedic surgery, which allow them to bundle products to win large hospital group contracts. This can create a barrier to entry for us. Another advantage large companies have is integrated surgical navigation and robotics platforms. This allows them to create an ecosystem with their implant systems that can be difficult to penetrate. On the other hand, given the 510(k) pathway and available predicate devices for sacroiliac fusion, several smaller companies have been able to enter the market with less differentiated screw systems for sacroiliac fixation. These competitors have entered the market with more limited solutions for sacroiliac dysfunction, including allograft bone implants marketed as human tissue products and intended for sacroiliac stabilization and/or fusion. Many of these competitors are smaller private companies. With respect to sacroiliac fusion and sacropelvic fixation, our competitors generally sell products which we believe lack the features, evidence and advantages of our implants.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Based on our commercial experience and market research, we believe our implants are currently used in the majority of minimally invasive surgical fusions and/or fixation of the sacroiliac joint in the United States. We believe we have the most comprehensive set of solutions which are supported by clinical evidence including randomized controlled studies that demonstrate the safety, clinical effectiveness, durability, and economic utility. We have received exclusive reimbursement coverage in the United States by certain payors based upon our differentiated product and quality of our evidence as well as NTAP and TPT given the breakthrough designation of certain devices. We believe that we have the largest dedicated direct salesforce focused on sacropelvic solutions competing in our segment. We believe these factors provide competitive advantages to us in the market. The following are the primary competitive factors on which companies compete in our industry: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clinical data;</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product and clinical procedure effectiveness;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ease of surgical technique and use of associated instruments;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safety;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9085"/>
                <wp:effectExtent l="0" t="0" r="0" b="0"/>
                <wp:wrapNone/>
                <wp:docPr id="14"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published clinical outcomes and evidence;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sales force effectiveness;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product support and service, and customer service;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comprehensive training, including disease, anatomy, diagnosis and treatment;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product innovation and the speed of innovation;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intellectual property;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accountability and responsiveness to customers’ demands;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scientific (biomechanics) data; and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pricing and reimbursement.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Intellectual Property </w:t>
      </w:r>
    </w:p>
    <w:p>
      <w:pPr>
        <w:pStyle w:val="TextBody"/>
        <w:bidi w:val="0"/>
        <w:spacing w:lineRule="auto" w:line="288" w:before="0" w:after="24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protect our intellectual property through our pending patent applications and issued patents. As of December 31, 2025, we owned 49 issued U.S. patents and had 24 pending U.S. patent applications, and we owned 23 issued foreign patents and had 23 pending foreign patent applications. We have focused the majority of our foreign patent efforts in Australia, Europe, and Japan. Our U.S. patents on iFuse, including the triangular shape, are expected to expire by August 2028. Our current U.S. patents on iFuse 3D, including the fenestrated design, are expected to expire in September 2035. Our current U.S. patents on the triangular cutting tool used to place our implants are expected to expire in February 2034. Our current U.S. patents on iFuse Bedrock Granite are expected to expire in February 2039. Our current U.S. patents on iFuse TORQ are expected to expire in February 2041. Our current foreign patents are expected to expire by September 2035. </w:t>
      </w:r>
    </w:p>
    <w:p>
      <w:pPr>
        <w:pStyle w:val="TextBody"/>
        <w:bidi w:val="0"/>
        <w:spacing w:lineRule="auto" w:line="288" w:before="0" w:after="240"/>
        <w:ind w:left="0" w:right="0" w:firstLine="540"/>
        <w:jc w:val="both"/>
        <w:rPr/>
      </w:pPr>
      <w:r>
        <w:rPr>
          <w:rFonts w:ascii="Times New Roman;serif" w:hAnsi="Times New Roman;serif"/>
          <w:b w:val="false"/>
          <w:color w:val="000000"/>
          <w:sz w:val="20"/>
        </w:rPr>
        <w:t xml:space="preserve">We </w:t>
      </w:r>
      <w:r>
        <w:rPr>
          <w:rFonts w:ascii="Times New Roman;serif" w:hAnsi="Times New Roman;serif"/>
          <w:b w:val="false"/>
          <w:color w:val="000000"/>
          <w:sz w:val="20"/>
          <w:shd w:fill="FFFFFF" w:val="clear"/>
        </w:rPr>
        <w:t>protect our intellectual property through</w:t>
      </w:r>
      <w:r>
        <w:rPr>
          <w:color w:val="000000"/>
        </w:rPr>
        <w:t xml:space="preserve"> </w:t>
      </w:r>
      <w:r>
        <w:rPr>
          <w:rFonts w:ascii="Times New Roman;serif" w:hAnsi="Times New Roman;serif"/>
          <w:b w:val="false"/>
          <w:color w:val="000000"/>
          <w:sz w:val="20"/>
        </w:rPr>
        <w:t>our trademarks. As of December 31, 2025, we have 24 registered trademarks in the United States and have three pending trademark applications in the United States. We have registrations for 24 of these trademarks in 58 countries including the 27 European Union member countries.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also rely upon trade secrets, know-how and continuing technological innovation, and may rely upon licensing opportunities in the future, to develop and maintain our competitive position. We may seek to protect our proprietary rights through a variety of methods, including confidentiality agreements and proprietary information agreements with suppliers, employees, consultants and others who may have access to proprietary information, under which they are bound to assign to us inventions made during the term of their agreements.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There can be no assurance that patents will be issued from any of our pending applications or that, if patents are issued, they will be of sufficient scope or strength to provide meaningful protection for our technology. Notwithstanding the scope of the patent protection available to us, a competitor could develop treatment methods or devices that are not covered by our patents but that compete with our proprietary technology and products. Furthermore, numerous U.S. and foreign issued patents and patent applications owned by third parties exist in the fields in which we are developing products. Because patent applications can take many years to issue, there may be applications currently unknown to us, which may later result in issued patents that our existing or future products or proprietary technologies may be alleged and/or found to infringe.</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There has been substantial litigation regarding patent and other intellectual property rights in the medical device industry. In the future, we may need to engage in litigation to enforce patents issued or licensed to us, to protect our trade secrets or know-how and brands, to defend against claims of infringement of the rights of others or to determine the scope and validity of the proprietary rights of others. Litigation could be costly and could divert our attention from other functions and responsibilities. Adverse determinations in litigation could reduce the barriers to entry that we have established for our products, or subject us to significant liabilities to third parties, require us to seek licenses from third parties or prevent us from manufacturing, selling or using our products, any of which could severely harm our 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9085"/>
                <wp:effectExtent l="0" t="0" r="0" b="0"/>
                <wp:wrapNone/>
                <wp:docPr id="15"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Regulation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Domestic Regulation of Our Products and Business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research, development and clinical programs, as well as our manufacturing and marketing operations, are subject to extensive regulation in the United States and other countries. Most notably, all of our products sold in the United States are subject to the Federal Food, Drug, and Cosmetic Act (“FDCA”) as implemented and enforced by the FDA.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There are numerous FDA regulatory requirements governing the clearance or approval and marketing of our products. These include: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product listing and establishment registration, which helps facilitate FDA inspections and other regulatory action;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investigational device exemptions to conduct premarket clinical trials, which include extensive monitoring, recordkeeping, and reporting requirements in compliance with good clinical practices (“GCP”) and with institutional review board (“IRB”) oversight;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Quality Management System Regulation ("QMSR"), which requires manufacturers, including third-party manufacturers, to follow stringent design, testing, control, documentation and other quality assurance procedures during all aspects of the manufacturing process;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labeling regulations and FDA prohibitions against the promotion of products for uncleared, unapproved or off-label use or indication;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clearance of product modifications that could significantly affect safety or effectiveness or that would constitute a major change in intended use of one of our cleared devices;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approval of product modifications that affect the safety or effectiveness of one of our approved devices;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post-approval restrictions or conditions, including post-approval study commitments;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post-market surveillance regulations, which apply when necessary to protect the public health or to provide additional safety and effectiveness data for the device;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FDA’s recall authority, whereby it can ask, or under certain conditions order, device manufacturers to recall from the market a product that is in violation of governing laws and regulations;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regulations pertaining to voluntary recalls;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notices of corrections or removals.</w:t>
      </w:r>
    </w:p>
    <w:p>
      <w:pPr>
        <w:pStyle w:val="TextBody"/>
        <w:bidi w:val="0"/>
        <w:spacing w:lineRule="auto" w:line="288" w:before="120" w:after="240"/>
        <w:jc w:val="both"/>
        <w:rPr>
          <w:rFonts w:ascii="Times New Roman;serif" w:hAnsi="Times New Roman;serif"/>
          <w:b/>
          <w:i/>
          <w:color w:val="000000"/>
          <w:sz w:val="20"/>
        </w:rPr>
      </w:pPr>
      <w:r>
        <w:rPr>
          <w:rFonts w:ascii="Times New Roman;serif" w:hAnsi="Times New Roman;serif"/>
          <w:b/>
          <w:i/>
          <w:color w:val="000000"/>
          <w:sz w:val="20"/>
        </w:rPr>
        <w:t xml:space="preserve">FDA Premarket Clearance and Approval Requirements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Unless an exemption applies, each medical device we wish to commercially distribute in the United States will require either a 510(k) clearance (i.e., a premarket notification and clearance) or a pre-market approval (“PMA”) from the FDA. The FDA classifies medical devices into one of three classes. Devices deemed to pose lower risks are placed in either Class I or II, which typically requires the manufacturer to submit to the FDA a premarket notification requesting permission to commercially distribute the device. This process is generally known as 510(k) clearance. Some low risk devices are exempted from this requirement. Devices deemed by the FDA to pose the greatest risks, such as life-sustaining, life-supporting or implantable devices, or devices deemed not substantially equivalent to a previously cleared 510(k) device, are placed in Class III, requiring a PMA.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Class I devices are those for which safety and effectiveness can be assured by adherence to FDA’s “general controls” for medical devices, which include compliance with the applicable portions of the FDA’s QMSR, facility registration and product listing, reporting of adverse medical events, and appropriate, truthful and non-misleading labeling, advertising, and promotional materials. Some Class I devices also require premarket review and clearance by the FDA through the 510(k) premarket notification process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9085"/>
                <wp:effectExtent l="0" t="0" r="0" b="0"/>
                <wp:wrapNone/>
                <wp:docPr id="16"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Class II devices are subject to FDA’s general controls, and any other “special controls” deemed necessary by FDA to ensure the safety and effectiveness of the device, such as performance standards, product-specific guidance documents, special labeling requirements, patient registries or post-market surveillance. Premarket review and clearance by the FDA for Class II devices is accomplished through the 510(k) premarket notification process, though certain Class II devices are exempt from this process. When a 510(k) clearance is required, the manufacturer must submit to the FDA a premarket notification demonstrating that the device is “substantially equivalent” to a legally marketed device, which in some cases may require submission of clinical data. Unless a specific exemption applies, 510(k) premarket notification submissions are subject to user fees. If the FDA determines that the device, or its intended use, is not substantially equivalent to a legally marketed device, the FDA may place the device, or the particular use of the device, into Class III, and the device sponsor must then fulfill much more rigorous premarketing requirements.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Class III devices, consisting of devices deemed by the FDA to pose the greatest risk, such as life-sustaining, life-supporting or implantable devices, or devices deemed not substantially equivalent to a predicate device. The safety and effectiveness of Class III devices cannot be assured solely by general or special controls. Submission and FDA approval of a PMA application is required before marketing of a Class III device can proceed.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510(k) Clearance</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 obtain 510(k) clearance for a medical device, an applicant must submit to the FDA a premarket notification submission demonstrating that the proposed device is “substantially equivalent” to a legally marketed device, known as a “predicate device.” A legally marketed predicate device may include a device that was legally marketed prior to May 28, 1976 for which a PMA is not required (known as a “pre-amendments device” based on the date of enactment of the Medical Device Amendments of 1976), a device that has been reclassified from Class III to Class II or Class I, or a device that was found substantially equivalent through the 510(k) process. A device is substantially equivalent if, with respect to the predicate device, it has the same intended use and has either (i) the same technological characteristics, or (ii) different technological characteristics, but the information provided in the 510(k) submission demonstrates that the device does not raise new questions of safety and effectiveness and is at least as safe and effective as the predicate device. A showing of substantial equivalence sometimes, but not always, requires clinical data.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After a device receives 510(k) marketing clearance, any modification that could significantly affect its safety or effectiveness, or that would constitute a major change or modification in its intended use, will require a new 510(k) marketing clearance or, if the modification changes the classification of the product to Class III, PMA approval. The determination as to whether a modification could significantly affect the device’s safety or effectiveness is initially left to the manufacturer using available FDA guidance. Many minor modifications today are accomplished by a “letter to file” in which the manufacturer documents the rationale for the change and why a new 510(k) is not required. However, the FDA may review such letters to file to evaluate the regulatory status of the modified product at any time and may require the manufacturer to cease marketing and recall the modified device until 510(k) clearance is obtained. The manufacturer may also be subject to significant regulatory fines or penalties.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Regulation of Human Cell and Tissue Based Products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iFuse INTRA/INTRA X products are derived from human tissue (demineralized bone tissue). The FDA has specific regulations governing human cells, tissues, and cellular and tissue-based products ("HCT/Ps"). HCT/Ps regulated by the FDA under the authority of section 361 of the Public Health Service Act must be not more than minimally manipulated and be for homologous use. They are subject to requirements relating to registering facilities and listing products with the FDA, screening and testing for tissue donor eligibility, Good Tissue Practice when processing, storing, labeling and distributing HCT/Ps, including required labeling information, stringent record keeping and adverse event reporting. Our bone tissue products are regulated as 361 HCT/Ps.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American Association of Tissue Banks ("AATB") has issued operating standards for tissue banking. Accreditation is voluntary, but compliance with these standards is a requirement to become an AATB-accredited tissue establishment. In addition, some states have their own tissue banking regulations. As of December 31, 2025, we are licensed or have permits for tissue banking in California and Maryland.</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Procurement of certain human organs and tissue for transplantation is subject to the restrictions of the National Organ Transplant Act ("NOTA"), which prohibits the transfer of certain human organs, including bone tissue for valuable consideration, but permits reasonable payments associated with removal, transportation, implantation, processing, preservation, quality control and storage.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Pervasive and Continuing Regulation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After a device is placed on the market, numerous regulatory requirements continue to apply.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9085"/>
                <wp:effectExtent l="0" t="0" r="0" b="0"/>
                <wp:wrapNone/>
                <wp:docPr id="17"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registered our facility with the FDA as a medical device manufacturer. The FDA has broad post-market and regulatory enforcement powers. We are subject to announced and unannounced inspections by the FDA to determine our compliance with the QMSR and other regulations, and these inspections may include the manufacturing facilities of some of our subcontractors. Failure by us or by our suppliers to comply with applicable regulatory requirements can result in enforcement action by the FDA or other regulatory authorities, which may result in sanctions including, but not limited to: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untitled letters, warning letters, fines, injunctions, consent decrees, and civil penalties;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unanticipated expenditures to address or defend such actions;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customer notifications for repair, replacement, refunds;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recall, detention or seizure of our products;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operating restrictions or partial suspension or total shutdown of production;</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refusing or delaying our requests for 510(k) clearance or PMA approval of new products or modified products;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operating restrictions;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withdrawing 510(k) clearances or PMA approvals that have already been granted;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refusal to grant export approval for our products; or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criminal prosecution.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Promotional Materials - “Off-Label” Promotion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Advertising and promotion of medical devices, in addition to being regulated by the FDA, are also regulated by the Federal Trade Commission and by state regulatory and enforcement authorities. If the FDA determines that our promotional materials or training constitutes promotion of an unapproved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claims for reimbursement. In that event, we could be subject to additional significant penalties, such as exclusion from participation in federal healthcare programs, and our reputation could be damaged and adoption of the products would be impaired.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under the federal Lanham Act and similar state laws, competitors, and others can initiate litigation relating to advertising claims.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International Regulation of Our Products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research, development and clinical programs, as well as our manufacturing and marketing operations, are subject to extensive regulation in countries outside of the US.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European Economic Area (“EEA”) (comprised of the 27 EU Member States, plus Iceland, Lichtenstein and Norway), Regulation ("EU") 2017/745 on Medical Devices, or the Medical Device Regulation (“MDR”) and its associated guidance documents and harmonized standards govern many aspects of the regulation of medical devices. This includes device design and development, preclinical and clinical or performance testing, premarket conformity assessment, registration and listing, manufacturing, labeling, storage, claims, sales and distribution, export and import and post-market surveillance, vigilance, and market surveillance.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9085"/>
                <wp:effectExtent l="0" t="0" r="0" b="0"/>
                <wp:wrapNone/>
                <wp:docPr id="18"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Medical devices must comply with the General Safety and Performance Requirements (“GSPRs”), set out in Annex I to the Medical Device Regulation. Compliance with these requirements is a prerequisite to affixing the CE mark to devices, without which they cannot be marketed or sold in the EEA. To demonstrate compliance with the GSPRs provided in the Medical Device Regulation and obtain the right to affix the CE mark, medical devices manufacturers must conduct a conformity assessment procedure, which varies according to the type of medical device and its classification. Apart from low-risk medical devices (Class I with no measuring function and which are not sterile), in relation to which the manufacturer may issue an EU Declaration of Conformity based on a self-assessment of the conformity of its products with the GSPRs, a conformity assessment procedure requires review by a Notified Body. A Notified Body is an organization designated by a Competent Authority of an EEA country to conduct conformity assessments. Depending on the relevant conformity assessment procedure, the Notified Body audits and examines the technical documentation and the quality system for the manufacture, design and final inspection of the medical device. Following a successful assessment process, the Notified Body issues a CE Certificate of Conformity. This Certificate and completion of the related conformity assessment process entitles the manufacturer to affix the CE mark to its medical devices after having prepared and signed a related EU Declaration of Conformity.</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a general rule, demonstration of conformity of medical devices and their manufacturers with the GSPRs must include the evaluation of clinical data supporting the safety and performance of the products during normal conditions of use. Specifically, a manufacturer must demonstrate that the device achieves its intended performance during normal conditions of use and that the known and foreseeable risks, and any adverse events, are minimized and acceptable when weighed against the benefits of its intended performance, and that any claims made about the performance and safety of the device (e.g., product labeling and instructions for use) are supported by suitable evidence. This assessment must be based on clinical data, which can be obtained from (1) clinical investigations conducted on the devices being assessed, (2) scientific literature from similar devices whose equivalence with the assessed device can be demonstrated or (3) both clinical investigations and scientific literature. Moreover, after a device is placed on the market, it remains subject to significant regulatory requirements that must commonly be fulfilled by the manufacturer or on their behalf.</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advertising and promotion of medical devices in the EEA is subject to EU laws and the national laws of the individual EEA countries, including the MDR. Directive 2006/114/EC concerning misleading and comparative advertising, and Directive 2005/29/EC on unfair commercial practices, as well as other national legislation of individual EEA countries govern the advertisement and promotion of medical devices. The national legislation of individual EEA countries may also restrict or impose limitations on our ability to advertise our products directly to the general public. In addition, voluntary EU and national industry Codes of Conduct provide guidelines on the advertising and promotion of our products to the general public and may impose limitations on our promotional activities with healthcare professionals.</w:t>
      </w:r>
    </w:p>
    <w:p>
      <w:pPr>
        <w:pStyle w:val="TextBody"/>
        <w:bidi w:val="0"/>
        <w:spacing w:lineRule="auto" w:line="288" w:before="0" w:after="240"/>
        <w:ind w:left="0" w:right="0" w:firstLine="540"/>
        <w:jc w:val="both"/>
        <w:rPr/>
      </w:pPr>
      <w:r>
        <w:rPr>
          <w:rFonts w:ascii="Times New Roman;serif" w:hAnsi="Times New Roman;serif"/>
          <w:b w:val="false"/>
          <w:color w:val="000000"/>
          <w:sz w:val="20"/>
        </w:rPr>
        <w:t xml:space="preserve">Moreover, outside the United States, interactions between medical device companies and healthcare professionals are also governed by strict laws, such as national anti-bribery laws of EEA countries, national sunshine rules, regulations, industry self-regulation codes of conduct and physicians’ codes of professional conduct. </w:t>
      </w:r>
      <w:r>
        <w:rPr>
          <w:rFonts w:ascii="Times New Roman;serif" w:hAnsi="Times New Roman;serif"/>
          <w:b w:val="false"/>
          <w:color w:val="000000"/>
          <w:sz w:val="20"/>
          <w:shd w:fill="FFFFFF" w:val="clear"/>
        </w:rPr>
        <w:t>Many EU member states have adopted specific anti-gift statutes that further limit commercial practices for medical devices, in particular vis-à-vis healthcare professionals and organizations. In recent years, there has also been a trend toward increased regulation of payments and transfers of value provided to healthcare professionals or entities. Certain EU Member States have adopted national "Sunshine Acts", which impose reporting and transparency requirements on medical device manufacturers. In addition, some countries require implementation of commercial compliance programs.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Great Britain (i.e. England, Wales, and Scotland), medical devices are governed by the Medical Device Regulations ("UK MDR") 2002, as amended. In light of the fact that the CE Marking process discussed above is set out in EU law, which no longer applies in the United Kingdom (other than in Northern Ireland), the United Kingdom has devised a new route to market culminating in a UK Conformity Assessed ("UKCA") Mark to replace the CE Mark. The UK Government has established transitional provisions to recognize the acceptance of CE marked medical devices on the Great Britain market. </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Environmental Regulations</w:t>
      </w:r>
    </w:p>
    <w:p>
      <w:pPr>
        <w:pStyle w:val="TextBody"/>
        <w:bidi w:val="0"/>
        <w:spacing w:lineRule="auto" w:line="288" w:before="0" w:after="24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outsource substantially all the manufacturing of our products, therefore we have not incurred significant expenses relating to our compliance with federal, state, or local environmental laws and do not expect to incur significant expenses in the foreseeable future. However, due to the nature of our operations and the frequently changing nature of environmental compliance standards and technology, we cannot predict with any certainty that future material capital or operating expenditures will not be required in order to comply with applicable environmental laws and regulations.</w:t>
      </w:r>
    </w:p>
    <w:p>
      <w:pPr>
        <w:pStyle w:val="TextBody"/>
        <w:bidi w:val="0"/>
        <w:spacing w:lineRule="auto" w:line="288" w:before="0" w:after="24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Healthcare Fraud and Abuse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9085"/>
                <wp:effectExtent l="0" t="0" r="0" b="0"/>
                <wp:wrapNone/>
                <wp:docPr id="19"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Federal and state governmental agencies and equivalent foreign authorities subject the healthcare industry to intense regulatory scrutiny, including heightened civil and criminal enforcement efforts. These laws, among other things, constrain the sales, marketing and other promotional activities of medical device manufacturers by limiting the kinds of financial arrangements we may have with hospitals, physicians and other potential purchasers and prescribers of our products. Federal healthcare fraud and abuse laws apply to our business when a customer submits a claim for an item or service that is reimbursable under Medicare, Medicaid, or other federally funded healthcare programs. The laws that may affect our ability to operate include: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federal Anti-Kickback Statute, which prohibits, among other things, knowingly and willfully soliciting, receiving, offering or paying remuneration, directly or indirectly, in cash or in kind, to induce or reward either the referral of an individual for, or the purchase, lease, order, arrangement for, or recommendation of, items or services for which payment may be made, in whole or in part, under federal healthcare programs, such as the Medicare and Medicaid programs. The term “remuneration” has been broadly interpreted to include anything of value, and the government can establish a violation of the Anti-Kickback Statute without proving that a person or entity had actual knowledge of, or a specific intent to violate, the law;</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the federal civil False Claims Act, which prohibits, among other things, individuals or entities from knowingly presenting, or causing to be presented, false or fraudulent claims for payment of government funds; knowingly making, using, or causing to be made or used, a false record or statement to get a false claim paid or to avoid, decrease, or conceal an obligation to pay money to the federal government. A claim including items or services resulting from a violation of the federal Anti-Kickback Statute constitutes a false or fraudulent claim for purposes of the False Claims Act. Actions under the False Claims Act may be brought by the government or as a </w:t>
      </w:r>
      <w:r>
        <w:rPr>
          <w:rFonts w:ascii="Times New Roman;serif" w:hAnsi="Times New Roman;serif"/>
          <w:b w:val="false"/>
          <w:i/>
          <w:color w:val="000000"/>
          <w:sz w:val="20"/>
        </w:rPr>
        <w:t>qui tam</w:t>
      </w:r>
      <w:r>
        <w:rPr>
          <w:color w:val="000000"/>
        </w:rPr>
        <w:t xml:space="preserve"> </w:t>
      </w:r>
      <w:r>
        <w:rPr>
          <w:rFonts w:ascii="Times New Roman;serif" w:hAnsi="Times New Roman;serif"/>
          <w:b w:val="false"/>
          <w:color w:val="000000"/>
          <w:sz w:val="20"/>
        </w:rPr>
        <w:t>action by a private individual in the name of the government and to share in any monetary recovery. There are also criminal penalties for making or presenting a false or fictitious or fraudulent claim to the federal government;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federal Health Insurance Portability and Accountability Act of 1996,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federal Physician Payment Sunshine Act, implemented by the Centers for CMS as the Open Payments program, which requires manufacturers of drugs, devices, biologics and medical supplies for which payment is available under Medicare, Medicaid, or the Children’s Health Insurance Program to report annually to the CMS, information related to payments and other “transfers of value” made to physicians (currently defined to include doctors, dentists, optometrists, podiatrists and chiropractors), other healthcare professionals (including physician assistants and nurse practitioners), and teaching hospitals, and requires applicable manufacturers to report annually to CMS ownership and investment interests held by physicians and their immediate family members and payments or other “transfers of value” to such physician owners;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analogous state and foreign law equivalents of each of the above federal laws, such as anti-kickback and false claims laws, which may apply to items or services reimbursed by any third-party payor, including commercial insurers and patients; state and foreign laws that require device companies to comply with the industry’s voluntary compliance guidelines and the applicable compliance guidance promulgated by the government or otherwise restrict payments that may be made to healthcare providers and other potential referral sources; state and foreign beneficiary inducement laws, and state and foreign laws that require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a standing Compliance Committee in which our most senior executives participate in quarterly meetings, and we report annually to our Board of Directors on risk management and legal compliance. We also report annually to our Nominating and Corporate Governance Committee on compliance. We have established clear expectations for our employees and take corrective action if a compliance issue arises. If we or our employees are found to have violated any of the above laws we may be subject to significant administrative, civil and criminal penalties, including imprisonment, exclusion from participation in federal health care programs, such as Medicare and Medicaid, and equivalents foreign penalties, significant fines, monetary penalties and damages, the restructuring or curtailment of our operations, imposition of compliance obligations and monitoring, and damage to our reputation. For a more detailed description of the federal and state health care fraud and abuse laws, see the risk factor “We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 in the Risks Related to Our Legal and Regulatory Environment section of Item 1A of this Annual Report on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9085"/>
                <wp:effectExtent l="0" t="0" r="0" b="0"/>
                <wp:wrapNone/>
                <wp:docPr id="20"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U.S. Foreign Corrupt Practices Act (“FCPA”) and similar anti-bribery laws in other countries, such as the United Kingdom Bribery Act (“UKBA”), generally prohibit companies and their intermediaries from making improper payments to government officials and/or other persons, including physicians and health system administrators in many countries, for the purpose of obtaining or retaining business. Our policies mandate compliance with these anti-bribery laws.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Healthcare Reform</w:t>
      </w:r>
    </w:p>
    <w:p>
      <w:pPr>
        <w:pStyle w:val="TextBody"/>
        <w:bidi w:val="0"/>
        <w:spacing w:lineRule="auto" w:line="288" w:before="0" w:after="240"/>
        <w:ind w:left="0" w:right="0" w:firstLine="540"/>
        <w:jc w:val="both"/>
        <w:rPr/>
      </w:pPr>
      <w:r>
        <w:rPr>
          <w:rFonts w:ascii="Times New Roman;serif" w:hAnsi="Times New Roman;serif"/>
          <w:b w:val="false"/>
          <w:color w:val="000000"/>
          <w:sz w:val="20"/>
        </w:rPr>
        <w:t>Additionally, in the United States and some foreign jurisdictions there have been, and continue to be, several legislative and regulatory changes and proposed reforms of the healthcare system in an effort to contain costs, improve quality, and expand access to care. These reform initiatives may, among other things, result in modifications to healthcare fraud and abuse laws and/or the implementation of new laws affecting the healthcare industry. For example, in March 2010,</w:t>
      </w:r>
      <w:r>
        <w:rPr>
          <w:color w:val="000000"/>
        </w:rPr>
        <w:t xml:space="preserve"> </w:t>
      </w:r>
      <w:r>
        <w:rPr>
          <w:rFonts w:ascii="Times New Roman;serif" w:hAnsi="Times New Roman;serif"/>
          <w:b w:val="false"/>
          <w:color w:val="000000"/>
          <w:sz w:val="24"/>
        </w:rPr>
        <w:t xml:space="preserve">the </w:t>
      </w:r>
      <w:r>
        <w:rPr>
          <w:rFonts w:ascii="Times New Roman;serif" w:hAnsi="Times New Roman;serif"/>
          <w:b w:val="false"/>
          <w:color w:val="000000"/>
          <w:sz w:val="20"/>
        </w:rPr>
        <w:t>Patient Protection and Affordable Care Act, as amended by the Health Care and Education Affordability Reconciliation Act (collectively, the “ACA”) became law. This law substantially changed the way health care is financed by both commercial payors and government payors and significantly impacted our industry. Since its enactment, there have been efforts to repeal, replace, and amend all or part of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w:t>
      </w:r>
      <w:r>
        <w:rPr>
          <w:color w:val="000000"/>
        </w:rPr>
        <w:t xml:space="preserve"> </w:t>
      </w:r>
      <w:r>
        <w:rPr>
          <w:rFonts w:ascii="Times New Roman;serif" w:hAnsi="Times New Roman;serif"/>
          <w:b w:val="false"/>
          <w:color w:val="000000"/>
          <w:sz w:val="20"/>
        </w:rPr>
        <w:t>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Additionally, the current administration is pursuing policies to reduce regulations and expenditures across government agencies including at the U.S. Department of Health and Human Services ("HHS"), the FDA, CMS and related agencies. These actions, presently directed by executive orders or memoranda from the Office of Management and Budget, may propose policy changes that create additional uncertainty for our business. Recent actions, for example, include directing agencies to reduce agency workforce and cut programs. Further, the current administration recently called on Congress to enact “The Great Healthcare Plan,” to lower government subsidies to private insurance companies and increase healthcare price transparency, among other things. In June 2024, in Loper Bright Enterprises v. Raimondo, the U.S. Supreme Court greatly reduced judicial deference to regulatory agencies, which could increase successful legal challenges to federal regulations affecting our operations.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Further, both the federal and state governments in the United States and foreign governments continue to propose and pass new legislation and regulations designed to contain or reduce the cost of healthcare. Such legislation and regulations may result in decreased reimbursement for medical devices and procedures in which such devices are used, which may further exacerbate industry-wide pressure to reduce the prices charged for medical devices. We expect that additional state, federal, and foreign healthcare reform measures will be adopted in the future.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Data Privacy and Security Laws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our business, we process personal or sensitive data. Accordingly, we are, or may become, subject to numerous data privacy and security obligations, including federal, state, local, and foreign laws, regulations, guidance, and industry standards related to data privacy and security. Such obligations may include, without limitation, the Federal Trade Commission Act, the European Union’s General Data Protection Regulation 2016/679 (“EU GDPR”), the EU GDPR as it forms part of United Kingdom (“UK”) law by virtue of section 3 of the European Union (Withdrawal) Act 2018 (“UK GDPR”) (collectively, "GDPR"), and the ePrivacy Directive. Several states within the United States have enacted or proposed data privacy laws. For example, California passed the California Consumer Privacy Act of 2018, as amended by the California Privacy Rights Act of 2020 (“CPRA”) (collectively, “CCPA”). Virginia passed the Consumer Data Protection Act, and Colorado passed the Colorado Privacy Act. Additionally, we are, or may become, subject to various U.S. federal and state consumer protection laws which require us to publish statements that accurately and fairly describe how we handle personal data and choices individuals may have about the way we handle their personal data.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CCPA and GDPR are examples of the increasingly stringent and evolving regulatory frameworks related to personal data processing that may increase our compliance obligations and exposure for any noncompliance. For example, the CCPA imposes obligations on covered businesses to provide specific disclosures related to a business’s collecting, using, and disclosing personal data and to respond to certain requests from California residents related to their personal data (for example, requests to know of the business’s personal data processing activities, to delete the individual’s personal data, and to opt out of certain personal data disclosures). Also, the CCPA provides for civil penalties and a private right of action for data breaches which may include an award of statutory damages. In addition, the CPRA expanded the CCPA by giving California residents the ability to limit use of certain sensitive personal data, establishing restrictions on personal data retention, expanding the types of data breaches that are subject to the CCPA’s private right of action, and establishing a new California Privacy Protection Agency to implement and enforce the new law. Foreign data privacy and security laws (including but not limited to the GDPR) impose significant and complex compliance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9085"/>
                <wp:effectExtent l="0" t="0" r="0" b="0"/>
                <wp:wrapNone/>
                <wp:docPr id="21"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obligations on entities that are subject to those laws. These obligations may include limiting personal data processing to only what is necessary for specified, explicit, and legitimate purposes; requiring a legal basis for personal data processing; requiring the appointment of a data protection officer in certain circumstances; increasing transparency obligations to data subjects; requiring data protection impact assessments in certain circumstances; limiting the collection and retention of personal data; increasing rights for data subjects; formalizing a heightened and codified standard of data subject consents; requiring the implementation and maintenance of technical and organizational safeguards for personal data; mandating notice of certain personal data breaches to the relevant supervisory authority(ies) and affected individuals; and mandating the appointment of representatives in the UK and/or the EU in certain circumstances.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also subject to various federal, state and foreign laws that protect the confidentiality of certain patient health information, including patient medical records, and restrict the use and disclosure of such patient health information. For example, we may obtain health information from third parties that are subject to the Health Insurance Portability and Accountability Act, and its implementing regulations, as amended by Health Information Technology for Economic and Clinical Health Act enacted under the American Recovery and Reinvestment Act 2009 (collectively, “HIPAA”), in the United States.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HIPAA HIPAA imposes certain obligations, including mandatory contractual terms, with respect to safeguarding the privacy and security of individually identifiable health information of covered entities subject to the rule, including health plans, healthcare clearinghouses and certain healthcare providers, and their business associates, independent contractors of a covered entity that perform certain services involving the use or disclosure of individually identifiable health information for or on their behalf, as well as their covered subcontractors. Depending on the facts and circumstances, we could be subject to penalties and fines if we violate HIPAA.</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even when HIPAA does not apply other federal and state laws impose security obligations. For example, according to the Federal Trade Commission (“FTC”), failing to take appropriate steps to keep consumers’ personal information secure constitutes unfair acts or practices in or affecting commerce in violation of Section 5(a) of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the section titled “Risk Factors – Risks Related to Our Business and Our Industry” for additional information about the laws and regulations to which we may become subject and about the risks to our business associated with such laws and regulation.</w:t>
      </w:r>
    </w:p>
    <w:p>
      <w:pPr>
        <w:pStyle w:val="TextBody"/>
        <w:bidi w:val="0"/>
        <w:spacing w:before="0" w:after="0"/>
        <w:ind w:left="0" w:right="0" w:firstLine="45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9085"/>
                <wp:effectExtent l="0" t="0" r="0" b="0"/>
                <wp:wrapNone/>
                <wp:docPr id="22"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Manufacturing and Supply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use third-party manufacturers to produce our implants and instruments. To mitigate supply risk, we use a rolling twelve month forecast and take into consideration production lead times to maintain adequate levels of inventory for our iFuse 3D, iFuse TORQ and iFuse Bedrock Granite implants. Most of our instruments have secondary manufacturing suppliers and we continually work with additional manufacturers as our secondary suppliers. Substantially all of our products, including all of our implants, are manufactured in the United States.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only supplier for our iFuse 3D and iFuse TORQ and iFuse TORQ TNT implants is rms Company ("RMS"). We entered into an exclusive Manufacture and Supply Agreement with RMS in February 2024 (the "Manufacture and Supply Agreement"). Pursuant to the Manufacture and Supply Agreement, RMS manufactures certain of our implants in accordance with our specifications. The agreement provides us with the right to quality alternative sources from whom we may purchase products in the event of a supply failure by RMS. The prices we pay for products are fixed under the agreement through 2026. The agreement has a three-year initial term and automatically renews for successive one-year periods; provided, however, the agreement may be terminated early by either party, as specified in the agreement.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iFuse Bedrock Granite implant is manufactured and assembled by third-party suppliers, including RMS.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regularly performs both internal audits and audits of key suppliers. Based on these audits, as well as overall history of working with suppliers, we believe that our manufacturing operations, and those of our suppliers, comply with regulations mandated by the FDA and the EU. Manufacturing facilities that produce medical devices or component parts intended for distribution world-wide are subject to regulation and periodic planned and unannounced inspection by the FDA and other domestic and foreign regulatory authorities as well as Notified Bodies.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United States, products we sell are required to be manufactured in compliance with the FDA's Quality Management System Regulation, codified at 21 CFR Part 820, which covers the methods used in, and the facilities used for, the design, testing, control, manufacturing, labeling, quality assurance, packaging, storage, and shipping. We meet the requirements of QMSR. In international markets, we are required to comply with similar requirements. Our status in FDA’s Establishment Registration and Device Listing is active and we also maintain the Medical Device Manufacturing License issued by the State of California’s Department of Public Health Food and Drug Branch. In the EEA, we are required to comply with Quality Management System ("QMS") requirements established in EU medical device legislation. To demonstrate compliance with these requirements, we obtain and maintain ISO13485:2016 Quality Management System certification for our locations in Santa Clara, California, and Gallarate Italy, issued by our Notified Body ("DEKRA").</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obtain and maintain appropriate CE Certificates of Conformity delivered by our Notified Body, where required, for any medical devices we placed on the EU market in accordance with applicable EU medical device legislation.</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required to demonstrate continuing compliance with applicable requirements to maintain these certifications and CE Certificates of Conformity and will continue to be periodically inspected by international regulatory authorities for certification purposes. Further, we and certain of our suppliers are required to comply with all applicable regulations and current good manufacturing practices. As set forth above, these FDA and EU regulatory requirements cover, among other things, the methods and documentation of the design, testing, production, control, quality assurance, labeling, packaging, sterilization, storage, and shipping of our products. Compliance with applicable regulatory requirements is subject to continual review and is monitored rigorously through periodic inspections. If we or our manufacturers fail to adhere to current good manufacturing practice requirements, this could delay production of our products and lead to fines, difficulties in obtaining or renewing regulatory approvals or CE Certificates of Conformity, recalls, enforcement actions, including injunctive relief or consent decrees, or other consequences, which could, in turn, have a material adverse effect on our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Product Liability and Insurance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manufacture and sale of our products subjects us to the risk of financial exposure to product liability claims. Our products are used in situations in which there is a risk of serious injury or death. We carry insurance policies which we believe to be customary for similar companies in our industry. We cannot assure you that these policies will be sufficient to cover all or substantially all losses that we experience.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endeavor to maintain executive and organization liability insurance in a form and with aggregate coverage limits that we believe are adequate for our business purposes, but our coverage limits may prove not to be adequate in some circumstances.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99085"/>
                <wp:effectExtent l="0" t="0" r="0" b="0"/>
                <wp:wrapNone/>
                <wp:docPr id="23"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Human Capital Resources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recruit, develop and retain highly skilled talent is a significant determinant of our success. To attract, retain, and develop our talent, we seek to create a diverse and inclusive workplace with opportunities for our employees to thrive and advance in their careers. We support this with market-competitive compensation, comprehensive benefits, and health and well-being programs.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ensuring equitable compensation for our employees, we maintain a strong focus on enhancing employee retention and job satisfaction and promoting workforce diversity. To achieve this, we have established a feedback mechanism to continually monitor and respond to employee sentiment. Using this feedback, we deploy strategies that enhance the skills of our people managers and improve internal communications with employees. Furthermore, we provide ongoing learning and leadership training opportunities to support professional growth.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seek to create a transparent and open culture that promotes lawful and ethical conduct. As part of our new hire orientation curriculum, each new employee undergoes training on our code of conduct, corporate compliance polices and the legal, regulatory and industry code frameworks governing our business as a manufacturer and distributor of medical devices. Based on their role, employees also participate in periodic refresher trainings and trainings around particular topics of current importance related to legal compliance. We view our employees as our most important partners in creating a culture of compliance, led by our senior leadership team but in which each employee is also an accountable participant. </w:t>
      </w:r>
    </w:p>
    <w:p>
      <w:pPr>
        <w:pStyle w:val="TextBody"/>
        <w:bidi w:val="0"/>
        <w:spacing w:lineRule="auto" w:line="288" w:before="0" w:after="240"/>
        <w:ind w:left="0" w:right="0" w:firstLine="540"/>
        <w:jc w:val="both"/>
        <w:rPr/>
      </w:pPr>
      <w:r>
        <w:rPr>
          <w:rFonts w:ascii="Times New Roman;serif" w:hAnsi="Times New Roman;serif"/>
          <w:b w:val="false"/>
          <w:color w:val="000000"/>
          <w:sz w:val="20"/>
        </w:rPr>
        <w:t>As of December 31, 2025, we had 376 employees, including sales and marketing, product development, general administrative and accounting, both domestically and internationally. As of December 31, 2025, we had a direct field sales organization of 172 in the United St</w:t>
      </w:r>
      <w:r>
        <w:rPr>
          <w:rFonts w:ascii="Times New Roman;serif" w:hAnsi="Times New Roman;serif"/>
          <w:b w:val="false"/>
          <w:color w:val="000000"/>
          <w:sz w:val="20"/>
          <w:shd w:fill="FFFFFF" w:val="clear"/>
        </w:rPr>
        <w:t xml:space="preserve">ates and </w:t>
      </w:r>
      <w:r>
        <w:rPr>
          <w:rFonts w:ascii="Times New Roman;serif" w:hAnsi="Times New Roman;serif"/>
          <w:b w:val="false"/>
          <w:color w:val="000000"/>
          <w:sz w:val="20"/>
        </w:rPr>
        <w:t>11</w:t>
      </w:r>
      <w:r>
        <w:rPr>
          <w:color w:val="000000"/>
          <w:shd w:fill="FFFFFF" w:val="clear"/>
        </w:rPr>
        <w:t xml:space="preserve"> </w:t>
      </w:r>
      <w:r>
        <w:rPr>
          <w:rFonts w:ascii="Times New Roman;serif" w:hAnsi="Times New Roman;serif"/>
          <w:b w:val="false"/>
          <w:color w:val="000000"/>
          <w:sz w:val="20"/>
          <w:shd w:fill="FFFFFF" w:val="clear"/>
        </w:rPr>
        <w:t xml:space="preserve">in Europe. </w:t>
      </w:r>
      <w:r>
        <w:rPr>
          <w:rFonts w:ascii="Times New Roman;serif" w:hAnsi="Times New Roman;serif"/>
          <w:b w:val="false"/>
          <w:color w:val="000000"/>
          <w:sz w:val="20"/>
        </w:rPr>
        <w:t>During 2025, our attrition rate was approximately 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Company History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SI-BONE was founded in 2008 by orthopedic surgeon Mark A. Reiley, M.D. (the principal inventor of the iFuse triangle), our current Chairman of the Board, Jeffrey W. Dunn, and orthopedic surgeon Leonard Rudolf, M.D.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Corporate Information </w:t>
      </w:r>
    </w:p>
    <w:p>
      <w:pPr>
        <w:pStyle w:val="TextBody"/>
        <w:bidi w:val="0"/>
        <w:spacing w:lineRule="auto" w:line="288" w:before="0" w:after="240"/>
        <w:ind w:left="0" w:right="0" w:firstLine="540"/>
        <w:jc w:val="both"/>
        <w:rPr/>
      </w:pPr>
      <w:r>
        <w:rPr>
          <w:rFonts w:ascii="Times New Roman;serif" w:hAnsi="Times New Roman;serif"/>
          <w:b w:val="false"/>
          <w:color w:val="000000"/>
          <w:sz w:val="20"/>
          <w:shd w:fill="FFFFFF" w:val="clear"/>
        </w:rPr>
        <w:t>We were incorporated in March 2008 in Delaware. Our principal executive offices are located at 471 El Camino Real, Suite 101, Santa Clara, California 95050 and our telephone number is (408) 207-0700. Our website address is </w:t>
      </w:r>
      <w:r>
        <w:rPr>
          <w:rFonts w:ascii="Times New Roman;serif" w:hAnsi="Times New Roman;serif"/>
          <w:b w:val="false"/>
          <w:color w:val="000000"/>
          <w:sz w:val="20"/>
          <w:u w:val="single"/>
          <w:shd w:fill="FFFFFF" w:val="clear"/>
        </w:rPr>
        <w:t>www.si-bone.com</w:t>
      </w:r>
      <w:r>
        <w:rPr>
          <w:rFonts w:ascii="Times New Roman;serif" w:hAnsi="Times New Roman;serif"/>
          <w:b w:val="false"/>
          <w:color w:val="000000"/>
          <w:sz w:val="20"/>
          <w:shd w:fill="FFFFFF" w:val="clear"/>
        </w:rPr>
        <w:t xml:space="preserve">. We completed our initial public offering in </w:t>
      </w:r>
      <w:r>
        <w:rPr>
          <w:rFonts w:ascii="Times New Roman;serif" w:hAnsi="Times New Roman;serif"/>
          <w:b w:val="false"/>
          <w:color w:val="000000"/>
          <w:sz w:val="20"/>
        </w:rPr>
        <w:t xml:space="preserve">October 2018, and our common stock is listed on the Nasdaq Global Market under the symbol “SIBN.”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Annual Report on Form 10-K, quarterly reports on Form 10-Q, current reports on Form 8-K, and amendments to those reports filed or furnished pursuant to Section 13(a) or 15(d) of the Exchange Act are available free of charge on our website. The information contained on or that can be accessed through our website is not incorporated by reference into this report, and you should not consider information on our website to be part of this report. </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Investors and others should note that we may announce material business and financial information to our investors using our investor relations website (investor.si-bone.com), our filings with the SEC, webcasts, press releases, and conference calls. We use these mediums, including our website, as well as social media, including certain X (formerly Twitter) and LinkedIn accounts held and/or managed by us or our executive officers, to communicate with investors and the general public about our company, our products, and other issues. It is possible that the information we make available on our website or social media may be deemed to be material information. We therefore encourage investors and others interested in our company to review the information we make available on our website and social media.</w:t>
      </w:r>
    </w:p>
    <w:p>
      <w:pPr>
        <w:pStyle w:val="TextBody"/>
        <w:bidi w:val="0"/>
        <w:spacing w:before="240" w:after="283"/>
        <w:jc w:val="both"/>
        <w:rPr/>
      </w:pPr>
      <w:r>
        <w:rPr/>
      </w:r>
    </w:p>
    <w:p>
      <w:pPr>
        <w:pStyle w:val="TextBody"/>
        <w:bidi w:val="0"/>
        <w:spacing w:before="240" w:after="283"/>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9085"/>
                <wp:effectExtent l="0" t="0" r="0" b="0"/>
                <wp:wrapNone/>
                <wp:docPr id="24"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240" w:after="283"/>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Investing in our common stock involves a high degree of risk. Investors should carefully consider the risks described below, as well as the other information in this Annual Report on Form 10-K, including our consolidated financial statements and the related notes and the section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our stockholders may lose all or part of their investment. Additional risks and uncertainties not presently known to us or that we currently deem immaterial may also impair our business operations.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Risks Related to Our Business and Our Industry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operate in a very competitive business environment and if we are unable to compete successfully against our existing or potential competitors, our sales and operating results may be adversely affected.</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currently marketed products are, and any future products we commercialize will likely be, subject to intense competition. Our field is subject to rapid change and is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viewed as safer, less invasive, and more effective than alternatives available for similar purposes as demonstrated in peer-reviewed clinical publications. Because of the size of the potential market, other companies have dedicated, and likely will continue to dedicate, significant resources to develop competing products.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number of competitors that we are aware of marketing sacroiliac joint fusion products in the United States has grown considerably since 2008. Some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Some of these companies sell a broad suite of products that can be used together in the operating room in order to facilitate surgery, such as surgical imaging, navigation and robotic systems, or a large number of implants intended to treat different conditions affecting the spine and pelvis. The ability of these competitors to sell these products together or as part of larger purchasing arrangements may put us at a disadvantage. In addition, if these competitors use technology, contracts, or intellectual property measures to limit or eliminate the compatibility of their surgical imaging, navigation and robotic systems with our products, sales of our products could decline or fail to grow, which could adversely affect our business and results of operations. </w:t>
      </w:r>
    </w:p>
    <w:p>
      <w:pPr>
        <w:pStyle w:val="TextBody"/>
        <w:bidi w:val="0"/>
        <w:spacing w:lineRule="auto" w:line="288" w:before="0" w:after="240"/>
        <w:ind w:left="0" w:right="0" w:firstLine="540"/>
        <w:jc w:val="both"/>
        <w:rPr/>
      </w:pPr>
      <w:r>
        <w:rPr>
          <w:rFonts w:ascii="Times New Roman;serif" w:hAnsi="Times New Roman;serif"/>
          <w:b w:val="false"/>
          <w:color w:val="000000"/>
          <w:sz w:val="20"/>
        </w:rPr>
        <w:t>We believe that our primary competitors marketing implantable devices currently are Alphatec Holding Inc., Aurora Spine Corporation, Globus Medical, Inc., Medtronic plc., and Tenon Medical, Inc. At any time, these or other industry participants may develop alternative treatments, products or procedures for the treatment of the sacroiliac joint that compete directly or indirectly with our products. They may also develop and patent processes or products earlier than we can, or obtain domestic and international regulatory clearances or approvals and CE Certificates of Conformity for competing products in the European Economic Area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r>
        <w:rPr>
          <w:color w:val="000000"/>
        </w:rPr>
        <w:t xml:space="preserve">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current or planned future products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without the timely introduction of new products and enhancements, our products may become obsolete over time. If we are unable to develop innovative new products, maintain competitive pricing, and offer products that surgeons and other physicians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99085"/>
                <wp:effectExtent l="0" t="0" r="0" b="0"/>
                <wp:wrapNone/>
                <wp:docPr id="25"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perceive to be as reliable as those of our competitors, our market share or product margins could decrease, thereby harming our business.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have incurred significant operating losses since inception, we may continue to incur operating losses in the future, and we may not be able to achieve or sustain future profitability.</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incurred net losses since our inception in 2008. For the years ended December 31, 2025, 2024, and 2023 we had net losses of $18.9 million, $30.9 million, and $43.3 million, respectively. As of December 31, 2025, we had an accumulated deficit of $450.3 million. We have financed our operations primarily through the net proceeds of our public offerings of our common stock, private placements of equity securities, certain debt-related financing arrangements, and from sales of our products. We have devoted substantially all of our resources to research and development of our products, sales and marketing activities, investments in training and educating physicians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We expect that our operating expenses will continue to increase as we continue to develop, enhance, and commercialize our existing and new products and grow our commercial infrastructure. As a result, we may continue to incur operating losses for some time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expected future capital requirements depend on many factors including expanding our physician base, the expansion of our sales force including through hybrid sales agencies, investment in implants and instruments, the timing and extent of spending on the development of our technology to increase our product offerings, and potential investment in additional product and service offerings through the acquisition of other businesses. We may need additional funding for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future debt financing or additional equity that we raise may contain terms that are not favorable to us or our stockholders. Furthermore, we cannot be certain that additional funding will be available on acceptable terms, if at all. Equity and debt capital have become substantially more expensive, unpredictable, and difficult to raise on attractive terms.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hospitals, physicians, and other healthcare providers are unable to obtain and maintain adequate or any coverage and reimbursement from third-party payors for procedures performed using our products, further adoption of our products may be delayed, and it is unlikely that they will gain further acceptance, and the prices paid for our implants may decline.</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Maintaining and growing sales of our products depends on the availability of adequate coverage and reimbursement from third-party payers, including government programs such as Medicare and Medicaid, Veterans Administration benefits, private insurance plans, and managed care programs. Hospitals, physicians, and other healthcare providers that purchase or use medical devices generally rely on third-party payers to pay for all or part of the costs and fees associated with the procedures performed with these devices. When a procedure using our implants is performed, the reimbursement process depends on the site of service. For procedures performed in a hospital or ambulatory surgical center, both the physicians and the healthcare facility submit claims for reimbursement to the healthcare payer. When the procedure is performed in an office-based lab, a single claim covers both physician services and overhead costs including supplies and implants.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AMA develops and maintains CPT codes that are used by third-party payers to determine the amount of reimbursement that a healthcare provider and facility will receive for a particular service. The AMA CPT Editorial Panel introduced a new permanent Category 1 CPT Code, 27278, to describe minimally invasive sacroiliac fixation or fusion achieved with placement of an intra-articular implant without piercing the cortices of both the ilium and sacrum bones on either side of it. Effective January 1, 2026, the CPT Editorial Panel revised the description of CPT Code 27279, to describe both transarticular and intra-articular implants placed across or within the SI joint, which provide fixation by piercing the cortices of both the ilium and sacrum bones. While we offer products that can be used in procedures described by both CPT Codes 27278 and 27279, our newer implant types and procedures may require ongoing code interpretation by the AMA and its CPT Advisors. If more physicians elect to offer, or more patients elect to undergo, procedures described by codes that are the subject of ongoing interpretation, or if we are unable to demonstrate to physicians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99085"/>
                <wp:effectExtent l="0" t="0" r="0" b="0"/>
                <wp:wrapNone/>
                <wp:docPr id="26"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comparative benefits of our products that are intended for use in those procedures, sales of our implants could decline or fail to grow, which could adversely affect our business, results of operations and financial condition.</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January 1, 2026, the Medicare physician fee reimbursement for minimally invasive sacroiliac joint fixation or fusion with our laterally placed transarticular iFuse implants, described as CPT Code 27279, is $762. As of January 1, 2026, Medicare physician fee for procedures using intra-articular, non-piercing implants, including our iFuse INTRA X bone allograft products, is $441 when performed in the facility setting, and $13,834 when performed in the physician office (e.g., office-based lab) setting. Minimally invasive surgical sacroiliac joint fixation or fusion performed with a transarticular or intra-articular piercing device is currently not eligible for payment in the office-based lab site of service and there is therefore no corresponding value for office-based reimbursement for CPT Code 27279.</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Even to the extent our products and procedures using our products are currently covered and reimbursed by third-party private and public payers, adverse changes in coding, coverage and reimbursement policies that affect our products, discounts, and number of implants used may also drive our prices and revenue down and harm our ability to market and sell our products.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While all Medicare Administrative Contractors ("MAC") and a predominant number of private payers are regularly reimbursing for minimally invasive surgical sacroiliac joint fixation or fusion reported under CPT Code 27279, a small number of private payers still have policies that treat the procedure as experimental or investigational and do not regularly reimburse for the procedure. We expect at least some of these payers to also cover newer sacroiliac joint procedures utilizing intra-articular devices that pierce cortical walls of the ilium and sacrum bones, and are reported under CPT Code 27279.</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contrast, the reimbursement environment for the procedure described by CPT Code 27278 (placement of intra-articular, non-piercing device or allograft implant) is less consistent. In 2024, three Medicare Administrative Contractors finalized Local Coverage Determinations precluding coverage for CPT Code 27278. The coverage decisions of the remaining Medicare Administrative Contractors remain uncertain. We believe this reimbursement environment has impacted demand for our iFuse INTRA X products.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Commercial payers generally set their physician fee reimbursement with reference to Medicare reimbursement rates. Many have yet to set coverage decisions for CPT Code 27278, and may decide not to cover these procedures until more evidence is developed. There is a small number of commercial payers with positive coverage policies for CPT Code 27278 procedures, and many may allow coverage on a case-by-case basis.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may be unable to sell our products on a profitable basis if third-party payers deny coverage, or if reimbursement levels are insufficient to support use of our products by healthcare facilities or to compensate physicians for their time spent diagnosing patients and performing procedures using our products. Even if favorable coverage and reimbursement status is attained for procedures using our implants, less favorable coverage policies and reimbursement rates may be implemented in the future.</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Future action by the Centers for Medicare and Medicaid Services ("CMS"), its MACs, or commercial third-party payers may reduce the availability of payments to physicians, outpatient surgery centers, and/or hospitals for procedures using our products. Volatility in the payment rates that physicians and hospitals receive from CMS may have a material impact on their willingness to perform procedures including our products, as well as place additional pressure on pricing of our implants. CMS policies on incremental or differentiated reimbursement for eligible products and procedures may also change. Our request that CMS consider MS-DRG reassignment for FY 2027 of certain inpatient hospital-based procedures involving the iFuse Bedrock Granite are paid adequately may affect hospitals’ future willingness to continue adopting high-cost implants in favor of less expensive alternatives. In addition, our reliance on incremental reimbursement eligibility-based programs for high-cost, innovative technologies, such as NTAP and TPT, may come under added scrutiny during review, or may be subject to future changes in policy as between the FDA and CMS.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Market acceptance of our products in foreign markets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additional international coverage and reimbursement approvals in a timely manner, if at all. Our failure to receive such approvals would negatively impact market acceptance of our products in the international markets in which those approvals are sought.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Uncertainty in the coverage and reimbursement environment may decrease demand for our products and adversely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99085"/>
                <wp:effectExtent l="0" t="0" r="0" b="0"/>
                <wp:wrapNone/>
                <wp:docPr id="27"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Minimally invasive surgical sacroiliac joint fusion procedures are primarily separated into two main types: procedures where devices placed either via transarticular or intra-articular approach fixate within the joint by means of “piercing” the dense outer cortical walls of the ilium and sacrum bones, and those procedures where devices or allograft implants use only an intra-articular approach and do not pierce cortical walls of both the ilium and sacrum bones. The cortical piercing transarticular and intra-articular procedures are described by CPT Code 27279, which was updated by the AMA CPT Editorial Panel effective for procedures as of January 1, 2026. The non-piercing intra-articular procedures are described by CPT Code 27278, which was adopted by the AMA CPT Editorial Panel effective for procedures as of January 1, 2024.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believe that the favorable coverage and reimbursement profile of CPT Code 27279 as compared to CPT Code 27278 is a result of third-party payers’ review and assessment of peer-reviewed clinical literature supporting its use. Most procedures available to U.S. patients have a clear coding interpretation, reported as either CPT Code 27279 or 27278. Additionally, recent clarity by the AMA CPT Editorial Panel regarding the proper categorization of some sacroiliac joint devices which use an intra-articular (in-line) approach, but also have integrated fixation design features which “pierce” ilium and sacrum bones on either side of the implant will support payers' review and consideration of sacroiliac joint procedures.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If procedures supported by lower-quality clinical evidence, and/or having less favorable patient outcomes, are reported via CPT Code 27279 with greater frequency as a result of changes to the code definitions, it may contribute to a loss of value for CPT Code 27279. This dynamic could also prompt reevaluations of third-party payers’ coverage policies, which could ultimately decrease demand for our products and negatively impact our business and prospects. Additionally, if physicians and facilities are confused about the proper coding for our products or our competitors’ products, physicians may choose competitors’ products or choose not to perform sacroiliac joint procedures altogether, which would adversely affect demand for our products.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changes of, or uncertainty with respect to, future coverage or reimbursement rates could affect demand for our products, which in turn could impact our ability to successfully commercialize our products and could have an adverse material effect on our business, financial condition and results of operations.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Healthcare reforms may have a material adverse effect on our operations.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healthcare industry in the United States has experienced a trend toward cost containment as government and private insurers seek to control healthcare costs. Payors are imposing lower payment rates and negotiating reduced contract rates with service providers and being increasingly selective about the technologies and procedures they choose to cover. Payors may adopt policies in the future restricting access to medical technologies like ours and/or the procedures performed using such technologies. Therefore, we cannot be certain that the procedures performed with each of our products will be reimbursed. There can be no guarantee that, should we introduce additional products in the future, payors will cover those products or the procedures in which they are used.</w:t>
      </w:r>
    </w:p>
    <w:p>
      <w:pPr>
        <w:pStyle w:val="TextBody"/>
        <w:bidi w:val="0"/>
        <w:spacing w:lineRule="auto" w:line="288" w:before="0" w:after="240"/>
        <w:ind w:left="0" w:right="0" w:firstLine="540"/>
        <w:jc w:val="both"/>
        <w:rPr/>
      </w:pPr>
      <w:r>
        <w:rPr>
          <w:rFonts w:ascii="Times New Roman;serif" w:hAnsi="Times New Roman;serif"/>
          <w:b w:val="false"/>
          <w:color w:val="000000"/>
          <w:sz w:val="20"/>
        </w:rPr>
        <w:t>Recent political, economic, and regulatory influences are subjecting the healthcare industry to fundamental changes that can impact coverage and reimbursement from third-party payors. We expect that the Patient Protection and Affordable Care Act, as amended by the Health Care and Education Reconciliation Act of 2011 (collectively the "ACA"), as currently enacted or as it may be amended in the future, and other healthcare reform measures that may be adopted in the future, could have a material adverse effect on our industry generally and on our ability to maintain or increase sales of our existing products. Since its enactment, there have been amendments and judicial, Congressional and executive branch challenges to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w:t>
      </w:r>
      <w:r>
        <w:rPr>
          <w:color w:val="000000"/>
        </w:rPr>
        <w:t xml:space="preserve"> </w:t>
      </w:r>
      <w:r>
        <w:rPr>
          <w:rFonts w:ascii="Times New Roman;serif" w:hAnsi="Times New Roman;serif"/>
          <w:b w:val="false"/>
          <w:color w:val="000000"/>
          <w:sz w:val="20"/>
        </w:rPr>
        <w:t>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We expect that additional U.S. federal healthcare reform measures will be adopted in the future, any of which could limit the amounts that the U.S. federal government will pay for healthcare products and services, which could result in reduced demand for our products or additional pricing pressures. Other federal laws, known as budget sequestration, further reduce Medicare’s payments to providers by 2%, which, due to subsequent legislative amendments, will stay in effect through 2032. These reductions may reduce reimbursement for procedures performed using our products, which could potentially negatively impact our revenue, and may reduce providers’ revenues or profits, which could affect their ability to purchase new technologies. Both the federal and state governments in the United States and foreign governments continue to propose and pass new legislation and regulations designed to contain or reduce the cost of healthcare. Such legislation and regulations may result in decreased reimbursement for medical devices or procedures in which medical devices are used. This could harm our ability to market our products and generate sales, which could adversely affect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99085"/>
                <wp:effectExtent l="0" t="0" r="0" b="0"/>
                <wp:wrapNone/>
                <wp:docPr id="28"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Recent actions, for example, include directing agencies to reduce agency workforce and cut programs. Additionally, the current administration recently called on Congress to enact “The Great Healthcare Plan,” to lower government subsidies to private insurance companies and increase healthcare price transparency, among other things. In June 2024, in Loper Bright Enterprises v. Raimondo, the U.S. Supreme Court greatly reduced judicial deference to regulatory agencies, which could increase successful legal challenges to federal regulations affecting our operations. We expect that additional state, federal, and foreign healthcare reform measures will be adopted in the future, any of which could adversely affect our business, results of operations, and financial condition.</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EEA, some countries may, after a medical device is CE marked, require the completion of additional studies that compare the cost-effectiveness of a particular medical device candidate to currently available therapies. This Health Technology Assessment (HTA), process is the procedure according to which the assessment of the public health impact, therapeutic impact and the economic and societal impact of use of a given medical device in the national healthcare systems of the individual country is conducted. The outcome of HTA regarding specific medical devices will often influence the pricing and reimbursement status granted to these products by the competent authorities of individual EEA countries. On January 12, 2025, Regulation No 2021/2282 on Health Technology Assessment (HTA Regulation), entered into application through a phased implementation. Select high-risk medical devices came into scope in 2026. The HTA Regulation is intended to boost cooperation among EEA countries in assessing health technologies, including new medical devices. The Regulation establishes a framework for EU</w:t>
        <w:noBreakHyphen/>
        <w:t>level joint clinical assessments and increased cooperation among Member States on clinical aspects of health technology evaluation. Individual EEA countries will continue to be responsible for assessing non-clinical (e.g., economic, social, ethical) aspects of health technologies, and making decisions on pricing and reimbursement. If the conclusions of these assessments are negative, or compare our products unfavorably with competing products, this may impact our pricing and reimbursement status.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Pricing pressure from our competitors, healthcare provider consolidation, the presence of physician-owned distributorships, and payor consolidation may impact our ability to sell our product at prices necessary to support our current business strategies.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competitive forces drive down the prices we are able to charge for our product, our profit margins will shrink, which will adversely affect our ability to invest in and maintain and grow our market share. The sacroiliac joint fusion market has attracted numerous new companies and technologies. As a result of this increased competition, we believe there will be continuing increased pricing pressure, resulting in lower gross margins, with respect to our products.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Consolidation in the healthcare industry, including both third-party payors and healthcare providers, could lead to demands for price concessions or to the exclusion of some suppliers from certain markets, which 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Practice trends, market dynamics, and other factors, have caused, and may continue to cause, procedures to shift from the hospital environment to ambulatory surgical centers ("ASCs") or office-based labs ("OBLs") where pressure on the prices of our products is generally more acute.</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anticipate that more outpatient eligible procedures will be performed in ASCs and OBLs to control costs and expand patient access to medical procedures. This shift accelerated during the COVID-19 pandemic, and we expect it to continue because ASCs and OBLs are generally a more economically favorable site of service, and physicians performing the procedures and their practices sometimes have ownership interests in the ASC and generally own the OBL outright. Because reimbursement for procedures in an ASC or OBL is typically less than the reimbursement in an in-patient setting and due to physicians’ economic interest in ASCs and OBLs, we typically experience more pressure on the pricing of our products by ASCs and OBLs than by hospitals, and the average price for which we sell our products to ASCs and OBLs can be less than the average prices we charge to hospitals. In addition, some physicians may choose to use fewer implants per case due to their interest in the profitability of the ASC or OBL. An accelerated shift of procedures using our products to ASCs and OBLs could adversely impact the average selling prices of our products and/or the number of implants we are able to sell, and our revenues could suffer as a result.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99085"/>
                <wp:effectExtent l="0" t="0" r="0" b="0"/>
                <wp:wrapNone/>
                <wp:docPr id="29"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2024, CMS announced a TPT payment status for the use of the iFuse Bedrock Granite implant in hospital outpatient and ASC settings of care, for procedures effective January 1, 2025. TPT allows the hospital outpatient departments and ASCs supporting the case to “pass through” the costs of the iFuse Bedrock Granite technology to the Medicare program, to encourage innovation and early access of new technologies for Medicare beneficiaries. We anticipate this may reduce pricing pressure on our Granite family of implants in the outpatient sites of care, particularly where the Medicare population is heavier. However, we have less experience with our Granite implants being used in outpatient procedures and it remains to be seen whether surgeons will perform more of these procedures in the outpatient setting in the future.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have historically been highly dependent on revenue from the sales of similar products focused on procedures, the goal of which is to stabilize and fuse the sacroiliac joint. Continued reliance on sales of similar products could negatively affect our results of operations and financial condition.</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majority of our revenue comes from the sale of iFuse, iFuse 3D, iFuse TORQ, and iFuse Bedrock Granite implants, and related tools and instruments. Therefore, we are dependent on widespread market adoption of our products, and we will continue to be dependent on the success of this single product family for the foreseeable future. There can be no assurance that our solutions will maintain a substantial degree of market acceptance among physicians, patients or healthcare providers. Our failure to successfully grow the market for our solutions and increase our share within that market or any other event impeding our ability to sell iFuse, could adversely affect our results of operations, financial condition and continuing operations.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cost-effective manner, could materially adversely affect our business.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rely on third-party suppliers to manufacture and supply substantially all of our products. For us to be successful, we need our suppliers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including our implants, from a single supplier. Therefore, we cannot assure investors that we will be able to obtain sufficient quantities of product in the future.</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future growth could strain the ability of our suppliers to deliver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generally use a small number of suppliers for our instruments and currently rely on RMS for iFuse 3D and iFuse TORQ implants and for several of the components, including the assembly and packaging, of our iFuse Bedrock Granite implants. Our dependence on such a limited number of suppliers exposes us to risks, including, among other things:</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third-party contract manufacturers or suppliers may fail to comply with regulatory requirements or make errors in manufacturing that could negatively affect the safety or effectiveness of our products or cause delays in shipments of our products;</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third-party contract manufacturers or suppliers may fail to maintain good manufacturing practices, leading to quality control problems or regulatory findings that could cause disruptions in their manufacturing processes and affect the safety or effectiveness of our products or cause or lead to delays in shipments of our products;</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we or our third-party manufacturers and suppliers may not be able to respond to unanticipated changes in customer orders, and if orders do not match forecasts, we or our suppliers may have excess or inadequate inventory of materials and components;</w:t>
      </w:r>
    </w:p>
    <w:p>
      <w:pPr>
        <w:pStyle w:val="TextBody"/>
        <w:bidi w:val="0"/>
        <w:spacing w:lineRule="auto" w:line="288" w:before="0" w:after="120"/>
        <w:ind w:left="0" w:right="0" w:hanging="360"/>
        <w:jc w:val="both"/>
        <w:rPr>
          <w:color w:val="000000"/>
        </w:rPr>
      </w:pPr>
      <w:r>
        <w:rPr>
          <w:color w:val="000000"/>
        </w:rPr>
        <w:t xml:space="preserve">• </w:t>
      </w:r>
      <w:r>
        <w:rPr>
          <w:rFonts w:ascii="Times New Roman;serif" w:hAnsi="Times New Roman;serif"/>
          <w:b w:val="false"/>
          <w:color w:val="000000"/>
          <w:sz w:val="20"/>
        </w:rPr>
        <w:t>we or our third-party manufacturers and suppliers may be subject to price fluctuations due to a lack of long-term supply arrangements for key components;</w:t>
      </w:r>
    </w:p>
    <w:p>
      <w:pPr>
        <w:pStyle w:val="TextBody"/>
        <w:bidi w:val="0"/>
        <w:spacing w:lineRule="auto" w:line="288" w:before="0" w:after="120"/>
        <w:ind w:left="0" w:right="0" w:hanging="360"/>
        <w:jc w:val="both"/>
        <w:rPr>
          <w:color w:val="000000"/>
        </w:rPr>
      </w:pPr>
      <w:r>
        <w:rPr>
          <w:color w:val="000000"/>
        </w:rPr>
        <w:t xml:space="preserve">• </w:t>
      </w:r>
      <w:r>
        <w:rPr>
          <w:rFonts w:ascii="Times New Roman;serif" w:hAnsi="Times New Roman;serif"/>
          <w:b w:val="false"/>
          <w:color w:val="000000"/>
          <w:sz w:val="20"/>
        </w:rPr>
        <w:t>we or our third-party manufacturers and suppliers may lose access to critical services, raw materials and components, or experience significant delays in obtaining them, resulting in an interruption in the manufacture, assembly and shipment of our systems;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we or our third-party manufacturers could experience plant closures due to local epidemics of communicable diseases or local outbreaks of such diseases among their workforce, thereby shuttering a plant in which our products are manufactured;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we may experience delays in delivery by our third-party manufacturers and suppliers due to significant changes in our ordering volumes;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9085"/>
                <wp:effectExtent l="0" t="0" r="0" b="0"/>
                <wp:wrapNone/>
                <wp:docPr id="30"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fluctuations in demand for products that our third-party manufacturers and suppliers manufacture for others may affect their ability or willingness to deliver components to us in a timely manner;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third-party manufacturers and suppliers may wish to discontinue supplying components or services to us for risk management reasons;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we may not be able to find new or alternative components or reconfigure our system and manufacturing processes in a timely manner if the necessary components become unavailable;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third-party manufacturers and suppliers may encounter financial hardships unrelated to our demand, which could inhibit their ability to fulfill our orders and meet our requirements.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any one or more of these risks materialize, it could significantly increase our costs and impact our ability to meet demand for our products and to launch new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most of our supply and manufacturing agreements do not have minimum manufacturing or purchase obligations. As such, with many of our suppliers, we have no obligation to buy any given quantity of products, and the suppliers have no obligation to sell to us or to manufacture for us any given quantity of components or products. As a result, our ability to purchase adequate quantities of components or our products may be limited and we may not be able to convince suppliers to make components and products available to us in some instances. Our suppliers may also encounter problems that limit their ability to supply components or manufacture products for us, including financial difficulties, damage to their manufacturing equipment or facilities, product discontinuations or adverse findings in quality audits.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system that are subject to domestic and international regulatory clearances or approvals and the review of our Notified Body.</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may also have difficulty obtaining similar components from other suppliers that are acceptable to the FDA, other foreign regulatory authorities, or applicable QMS requirements and the failure of our suppliers to comply with strictly enforced regulatory requirements could expose us to delays in obtaining marketing clearances, approvals or CE Certificates of Conformity, regulatory action including warning letters, product recalls, termination of distribution, operating restrictions, interruption of production, delays in the introduction of products into the market,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each of our third-party suppliers operates at a facility in a single location and substantially all of our inventory of component supplies and finished goods is held at these locations.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Prolonged inflation and supply chain disruptions could result in delayed product launches, lost revenue, higher costs and decreased profit margins.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 majority of our products are manufactured and sold inside of the United States, which increases our exposure to domestic inflation and fuel price increases. Inflationary pressures may result in increased fuel, raw materials and other costs which, if they continue for a prolonged period, may adversely affect our results of operations. We continue to actively monitor the impact of various macroeconomic trends, such as tariffs, changes to international trade agreements, labor costs, interest rates, inflation rates,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99085"/>
                <wp:effectExtent l="0" t="0" r="0" b="0"/>
                <wp:wrapNone/>
                <wp:docPr id="31" name="Frame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geopolitical instability within the United States and abroad. The implementation of more restrictive trade policies, including the imposition of further tariffs and retaliatory tariffs in response thereto, or the renegotiation of existing trade agreements with the United States or countries where we source supplies, could have a material adverse effect on our business, results of operations and financial condition. For example, much of the titanium used in our implants is sourced from Canada and any disruption to trade with Canada caused by tariffs could increase the cost or disrupt the supply of our implants, which could materially harm our business, financial condition and results of operation. Our efforts to mitigate supply chain weaknesses may not be successful or may have unfavorable effects. For example, efforts to purchase raw materials in advance for product manufacturing may result in increased storage costs or excess supply. If our costs rise due to significant inflationary pressures, tariffs, or supply chain disruptions, we may not be able to fully offset such higher costs through price increases. In addition, delays in obtaining materials, components or instruments from our suppliers could delay product launches or result in lost opportunities to sell our products due to their availability. Increased costs and decreased product availability due to supply chain issues could adversely impact our revenue and/or gross margin, and could thereby harm our business, financial condition, and results of operations.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Disruptions in the supply of the materials and components used in manufacturing our products or the sterilization of our products by third-party suppliers could adversely affect our business, financial condition and results of operations.</w:t>
      </w:r>
    </w:p>
    <w:p>
      <w:pPr>
        <w:pStyle w:val="TextBody"/>
        <w:bidi w:val="0"/>
        <w:spacing w:lineRule="auto" w:line="288" w:before="0" w:after="24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Our suppliers purchase many of the materials and components used in the manufacture of our products from third-party suppliers. Certain of these materials and components can only be obtained from a single source or a limited number of sources due to quality considerations, expertise, costs or constraints resulting from regulatory requirements. In certain cases, our suppliers may not be able to establish additional or replacement suppliers for such materials or components or outsourced activities in a timely or cost-effective manner. A reduction or interruption in the supply of materials or components used in manufacturing our products, such as due to one or more suppliers experiencing reductions in operations and/or worker absences due to health epidemics, an inability to timely develop and validate alternative sources if required, or a significant increase in the price of such materials or components, such as that caused by tariffs and retaliatory countermeasures, inflation or interest rates fluctuations, could adversely affect our business, financial condition and results of operations. For example, certain of our products require titanium, which is sourced from third-party suppliers. While the titanium required for such products is not directly sourced from Russia, the current geopolitical events involving Russia and Ukraine are negatively impacting the wider titanium supply chain. These geopolitical events and related factors and results, including related sanctions, may negatively impact the ability of our suppliers’ third-party supply sources to timely supply titanium to our suppliers and may increase or result in additional costs to us. The imposition of tariffs on titanium sourced from Canada or elsewhere could further exacerbate these challenges and increase the cost of our implants.</w:t>
      </w:r>
    </w:p>
    <w:p>
      <w:pPr>
        <w:pStyle w:val="TextBody"/>
        <w:bidi w:val="0"/>
        <w:spacing w:before="0" w:after="240"/>
        <w:ind w:left="0" w:right="0" w:firstLine="495"/>
        <w:jc w:val="left"/>
        <w:rPr/>
      </w:pPr>
      <w:r>
        <w:rPr/>
      </w:r>
    </w:p>
    <w:p>
      <w:pPr>
        <w:pStyle w:val="TextBody"/>
        <w:bidi w:val="0"/>
        <w:spacing w:lineRule="auto" w:line="288" w:before="0" w:after="24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In addition, many of our products require sterilization prior to sale, and our suppliers use contract sterilizers to perform this service. To the extent that these contract sterilizers are unable to sterilize our products, whether due to capacity, availability of materials for sterilization, regulatory or other constraints, including reductions in operations and/or worker absences due to health epidemics, we may be unable to transition to other contract sterilizers, sterilizer locations or sterilization methods in a timely or cost effective manner or at all, which could have a material impact on our results of operations and financial condition.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Physicians and payors may not find the clinical evidence supporting our more recent products to be compelling, which could limit our sales and revenue, and on-going and future research may prove our products to be less safe and effective than currently thought.</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products we currently market in the United States have either received premarket clearance under Section 510(k) of the United States FDCA, or are exempt from premarket review. Those marketed in the EEA have been the subject of a CE Certificate of Conformity, where applicable, and have been CE marked. The 510(k) clearance process of the FDA requires us to document that our product is “substantially equivalent” to another 510(k)-cleared product. The 510(k) process is shorter and typically requires the submission of less supporting documentation than other FDA approval processes, such as a PMA, and does not usually require pre-clinical or clinical studies. As a result, each of our products has been launched prior to gathering substantial prospective clinical trial evidence, and our post-market clinical studies may lack the size and scope of randomized controlled clinical trials required to support approval of a PMA. For these reasons, physicians may be slow to adopt our more recent products including iFuse TORQ, iFuse Bedrock Granite, iFuse TORQ TNT, and iFuse INTRA/INTRA X, each of which are supported by smaller bodies of clinical evidence than iFuse and iFuse 3D, third-party payors may be slow to provide coverage for novel procedures and techniques using these products, and we may be subject to greater regulatory and product liability risks. Further, future patient studies or clinical experience may indicate that treatment with any of our products does not improve patient outcomes. Such results would slow the adoption of our products by physicians, significantly reduce our ability to achieve expected sales, and could prevent us from achieving profitability.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not be able to demonstrate to physicians that our products are attractive alternatives to our competitors’ products and that our procedures are attractive alternatives to existing surgical and non-surgical treatments for their respective indications.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99085"/>
                <wp:effectExtent l="0" t="0" r="0" b="0"/>
                <wp:wrapNone/>
                <wp:docPr id="32"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Physicians, in consultation with their patients, play the primary role in determining the course of treatment and, ultimately, any product that will be used in treatment. For us to sell our products successfully, we must demonstrate to physicians through education and training that treatment with one or more of our implants is beneficial, safe, and cost-effective for patients as compared to our competitors’ products. If we are not successful in demonstrating the merits of our products to physicians, their use of our products may decline, adversely affecting our revenues and profitability.</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Historically, many physicians did not include an evaluation of the sacroiliac joint in their diagnostic work-up because they did not have an adequate surgical procedure to perform for patients diagnosed with sacroiliac joint dysfunction. We believe that educating physicians and other healthcare professionals about the clinical merits and patient benefits of our products is an important element of building our business. If we fail to effectively educate physicians and other medical professionals, they may not include a sacroiliac joint evaluation as part of their diagnosis and, as a result, those patients may continue to receive unnecessary surgical procedures or only non-surgical treatment.</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Physicians may also hesitate to change their medical treatment practices for other reasons, including the following:</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lack of experience with similar procedures;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perceived liability risks generally associated with the use of our products and procedures;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costs associated with the purchase of our products; and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time commitment that may be required for training.</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Furthermore, we believe physicians will not widely use our products unless they determine, based on experience, clinical data, and published peer-reviewed publications, that our products offer an attractive alternative to non-surgical treatments of sacroiliac joint dysfunction. In addition, we believe support for our products relies heavily on long-term data showing their benefits. If we are unable to provide that data, physicians may not use our products. In such circumstances, we may not achieve expected sales and may be unable to achieve profitability.</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believe that training is particularly important in instances of newly launched products or the introduction of a product into a new market. If physicians are not properly trained, they may misuse our products, which may result in unsatisfactory patient outcomes, patient injury, negative publicity, or lawsuits against us. In addition, a failure to educate the medical community regarding our products may impair our ability to achieve market acceptance of our products.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Patients with sacroiliac joint dysfunction are cared for by a variety of health care providers, including spine surgeons, pain physicians and other interventionalist spine physicians, who are generally trained as anesthesiologists, interventional radiologists, or physical medicine and rehabilitation specialists. These interventionalists often offer a variety of non-surgical and surgical interventions to sacroiliac joint dysfunction patients, including, but not limited to, steroid injections, radiofrequency ablation of the nerves serving the sacroiliac joint, and implantation of neurostimulation devices, stabilization and fusion implants and other products intended to treat the sacroiliac joint or the pain caused by its dysfunction. Our professional education program seeks to teach these physicians, and other health care providers, about the benefits of our iFuse products. Health care providers who have not been educated on or adopted our procedures may prefer to continue to treat these patients with other interventions they offer because of physician preference or their view that these interventions are superior.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AMA CPT Editorial Panel introduced a new permanent Category 1 CPT Code, 27278, to describe minimally invasive sacroiliac fusion achieved with placement of an intra-articular implant without the use of a transfixing device. While we offer products that can be used in procedures described by both CPT Codes 27278 and 27279, historically our primary focus has been on products used in procedures described by CPT Code 27279. If more physicians elect to offer, or more patients elect to undergo, procedures described by CPT Code 27278, or if we are unable to demonstrate to physicians the comparative benefits of our products that are intended for use in CPT Code 27278 procedures, sales of our iFuse implants could decline or fail to grow, which could adversely affect our business, results of operations and financial condition.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clinical experience with our implants or instruments does not result in positive outcomes for patients, or if clinical studies involving our implant systems fail to show meaningful patient benefit, sales of our products could be adversely impacted.</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a medical device manufacturer, we collect clinical information in two settings: post market surveillance and clinical studies. We have sponsored, and may continue to sponsor, clinical studies to answer questions about safety and effectiveness of our products. Our studies have included those targeting 1) chronic SI joint dysfunction, 2) sacral fractures (i.e., fragility fractures of the pelvis), 3) SI joint pain in the setting of multilevel spine fusion, and 4) pelvic fixation during multilevel spine fusion. If surgeons’ clinical experience with our implants in standard commercial cases or clinical studies is not positive, or if our clinical studies do not show meaningful benefits to the patients undergoing the procedures using our implants for these indications, sale of our implants could be adversely impacted, which could negatively affect our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99085"/>
                <wp:effectExtent l="0" t="0" r="0" b="0"/>
                <wp:wrapNone/>
                <wp:docPr id="33" name="Frame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are unable to maintain our network of direct sales representatives, third-party sales agents, and resellers, we may not be able to generate anticipated sales.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our U.S. sales force consisted of 89 territory sales managers and 83 clinical support specialists directly employed by us and 320 third-party sales agents. As of December 31, 2025, our international sales force consisted of 11 sales representatives directly employed by us and a total of 28 third-party sales agents and resellers, which together have had sales in 38 countries through December 31, 2025. Our operating results are directly dependent upon the sales and marketing efforts of both our direct sales force and of our third-party sales agents and resellers.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we launch new products, expand physician call points,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sales agents and resellers with significant technical knowledge in various areas, such as spine and pelvic health and treatment. New sales representatives and agents require training and take time to achieve full productivity. If we fail to train new sales representatives and third-party sales agents adequately, or if we experience high turnover in our sales force in the future, we cannot be certain that new sales representatives and third-party sales agents will become as productive as may be necessary to maintain or increase our sales. If a direct sales representative or third-party sales agent or reseller departs and is retained by one of our competitors, we may be unable to prevent them from helping competitors solicit business from our existing customers, which could further adversely affect our sales. The launch of new products or entrance into new markets could distract our sales representatives from existing customers and markets and redirect resources from existing to novel markets. Furthermore, any such change affects our ability to hire, contract with and retain members of our direct sales force and third-party sales agents and resellers. Because of the intense competition for their services, we may be unable to recruit or retain additional qualified third-party sales agents and resellers or to hire additional direct sales representatives to work with us. Furthermore, we may not be able to enter into agreements with them on favorable or commercially reasonable terms, if at all. Failure to hire or retain qualified direct sales representatives or third-party sales agents and resellers would prevent us from expanding our business and generating sales. If our direct sales representatives or third-party sales agents fail to adequately promote, market and sell our products or decide to leave or cease to do business with us, our sales could significantly decrease.</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we are unable to expand our sales and marketing capabilities domestically and internationally, we may not be able to effectively commercialize our products, which would adversely affect our business, results of operations, and financial condition.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business could suffer if we lose the services of key members of our senior management, key advisors or personnel.</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dependent upon the continued services of key members of our senior management and a limited number of key advisors and personnel. The loss of members of our senior management team, key advisors or personnel, or our inability to attract or retain other qualified personnel or advisors, could have a material adverse effect on our business, results of operations, and financial condition. We do not maintain “key person” insurance for any of our executives or employees.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highly reliant on a base of skilled employees, including those serving in engineering, information technology, operational, strategic marketing and sales functions. Many of these employees have developed specialized skills which are valuable within the medical device and life sciences industry, and, in some cases, in a broader variety of industries. Competition for skilled employees remains significant. If we experience turnover among our employees at a higher rate than expected, managing our labor force could become difficult and more costly, adversely impacting our results of operations. Sustained pressure in these labor markets could also cause prevailing wages to rise, which could adversely impact our business, results of operations and financial condition.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use of our products results in adverse events, this may require them to be taken off the market, require them to include safety warnings or otherwise limit their sales.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Unforeseen adverse events related to our products could arise either during clinical development or, if cleared, approved, or subject to CE Certificate of Conformity and CE marked,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could arise either during clinical development or, if approved, cleared, or subject to CE Certificate of Conformity and CE marked, after the product has been marketed.</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we or others later identify adverse events caused by our products: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sales of the product may decrease significantly, and we may not achieve the anticipated market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99085"/>
                <wp:effectExtent l="0" t="0" r="0" b="0"/>
                <wp:wrapNone/>
                <wp:docPr id="34" name="Frame3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regulatory authorities or our Notified Body may require changes to the labeling of our product. This may include the addition of labeling statements, specific warnings, and contraindications and issuing field alerts to physicians and patients;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be required to change instructions regarding the way the product is implanted or conduct additional clinical trials;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be subject to limitations on how we may promote the product;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regulatory authorities may require us to temporarily or permanently take our approved product off the market or to conduct other field safety corrective actions;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Notified Body may suspend, amend, or withdraw our CE Certificate of Conformity or refuse or delay any ongoing applications relating to the issuance or renewal of CE Certificates of Conformity;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be required to modify our product;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be subject to litigation fines or product liability claims;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reputation may suffer.</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Various factors outside our direct control may adversely affect manufacturing, sterilization, and distribution of our products.</w:t>
      </w:r>
    </w:p>
    <w:p>
      <w:pPr>
        <w:pStyle w:val="TextBody"/>
        <w:bidi w:val="0"/>
        <w:spacing w:lineRule="auto" w:line="288" w:before="0" w:after="24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failure to complete sterilization on time or in compliance with the required regulatory standards;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transportation and import and export risk;</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delays in analytical results or failure of analytical techniques that we depend on for quality control and release of products;</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large-scale epidemics of communicable diseases;</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supply chain disruptions, including those caused by material and labor supply shortages, tariffs and retaliatory countermeasures, and prolonged inflation;</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natural disasters, labor disputes, financial distress, raw material availability, issues with facilities and equipment, or other forms of disruption to business operations affecting our manufacturers or suppliers; and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latent defects that may become apparent after products have been released and that may result in a recall or field safety corrective action with respect to such products.</w:t>
      </w:r>
    </w:p>
    <w:p>
      <w:pPr>
        <w:pStyle w:val="TextBody"/>
        <w:bidi w:val="0"/>
        <w:spacing w:lineRule="auto" w:line="288" w:before="0" w:after="240"/>
        <w:ind w:left="0" w:right="0" w:firstLine="540"/>
        <w:jc w:val="both"/>
        <w:rPr/>
      </w:pPr>
      <w:r>
        <w:rPr>
          <w:rFonts w:ascii="Times New Roman;serif" w:hAnsi="Times New Roman;serif"/>
          <w:b w:val="false"/>
          <w:color w:val="000000"/>
          <w:sz w:val="20"/>
        </w:rPr>
        <w:t>If any of these risks were to materialize, our ability to provide our products to customers on a timely basis could be adversely impacted.</w:t>
      </w:r>
      <w:r>
        <w:rPr>
          <w:color w:val="000000"/>
        </w:rPr>
        <w:t>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are not able to manage growth successfully, it could adversely affect our business, financial condition, and results of operations.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experienced considerable revenue growth as we have expanded into new markets. This growth has placed significant demands on our operational and administrative infrastructure, including our supply chain operations, quality control, customer service, salesforce, information technology, and general and financial administration. We anticipate that continued growth will continue to place significant demands on this infrastructure. We cannot be certain that our existing personnel, systems, and procedures and internal controls will be adequate to support our future operations and any expansion of our systems and infrastructure may require us to commit significant additional financial, operational, and management resources. Expanding the capacity of these infrastructure systems may not be successfully implemented. If we cannot manage our growth effectively, our business will suffer.</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Unfavorable media reports or other negative publicity concerning both alleged improper methods of tissue recovery from donors and disease transmission from donated tissue could limit widespread acceptance of some of the products we market.</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iFuse INTRA/INTRA X family of implants are implantable bone products manufactured from sterilized recovered cadaveric bone tissue. Unfavorable reports of improper or illegal tissue recovery practices, both in the United States and internationally, as well as incidents of improperly processed tissue leading to the transmission of disease, may affect the rate of future tissue donation and market acceptance of technologies incorporating human tissue. In addition, negative publicity could cause the families of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99085"/>
                <wp:effectExtent l="0" t="0" r="0" b="0"/>
                <wp:wrapNone/>
                <wp:docPr id="35" name="Frame3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donors to become reluctant to donate tissue to for-profit tissue processors. These reports could have a negative effect on sales of iFuse INTRA/INTRA X.</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Natural disasters and man-made business disruptions such as war and terrorism could seriously harm our future revenue and financial condition and increase our costs and expenses.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operate our business in regions subject to natural and man-made disasters or business interruptions. Our corporate headquarters are located in Santa Clara, California, a region which has experienced and will continue to experience earthquakes, fires, power shortages, telecommunications failures, water shortages, floods, shifting climate patterns, and extreme weather conditions. We also rely on third-party manufacturers to produce our products and on third-party logistics companies to transport our products. A major earthquake, fire, tornado, blizzard or other disaster (such as a flood, storm, drought or terrorist attack) could significantly disrupt our operations, ranging from production and shipping delays to lost revenue and increased costs. The occurrence of any of these natural or man-made disasters or other business disruptions could seriously harm our operations and financial condition and increase our costs and expenses. Additionally, if our facilities or any of our customers' facilities are negatively impacted by a disaster, procedures using our products could be delayed or canceled. Even if we are able to quickly respond to a disaster, the ongoing effects of the disaster could create some uncertainty in the operations of our business. In addition, our facilities may be subject to a shortage of available electrical power and other energy supplies. Any shortages may increase our costs for power and energy supplies or could result in blackouts or brownouts, which could disrupt the operations of our affected facilities and harm our business. Further, concerns about terrorism, the effects of a terrorist attack, or political turmoil could have a negative effect on our operations, those of our suppliers and customers, and the ability to travel, which could harm our business, financial condition, and results of operations.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may encounter problems or delays in the assembly of our products or fail to meet certain regulatory requirements which could result in an adverse effect on our business and financial results.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managing production yields;</w:t>
      </w:r>
      <w:r>
        <w:rPr>
          <w:color w:val="000000"/>
        </w:rPr>
        <w:t>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maintaining quality control and assurance;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providing component and service availability;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maintaining adequate control policies and procedures;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hiring and retaining qualified personnel;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complying with state, federal, and foreign regulations.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we are unable to assemble and test our products at a sufficient rate to satisfy commercial demand, our ability to generate revenue would be impaired, market acceptance of our products could be adversely affected and customers may instead purchase or use our competitors’ products.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do not enhance and broaden our product offerings through our research and development efforts, we may be unable to compete effectively.</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order to continue to grow revenue, we must enhance and broaden our product offerings in response to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physicians or the third-party payors who reimburse for many of the procedures performed with our products. The success of any new product offering or enhancement to an existing product will depend on numerous factors, including our ability to:</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properly identify and anticipate physician and patient needs;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develop and introduce new products or product enhancements in a timely manner;</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create sufficient product differentiation to expand overall market share and minimize cannibalization of existing product markets;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obtain and maintain adequate coverage from third-party payors for new products or procedures;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mitigate downward pricing pressure on new and existing products;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adequately protect our intellectual property and avoid infringing upon the intellectual property rights of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99085"/>
                <wp:effectExtent l="0" t="0" r="0" b="0"/>
                <wp:wrapNone/>
                <wp:docPr id="36" name="Frame3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demonstrate the safety and effectiveness of new products; and</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provide sufficient infrastructure needed for product commercialization.</w:t>
      </w:r>
    </w:p>
    <w:p>
      <w:pPr>
        <w:pStyle w:val="TextBody"/>
        <w:bidi w:val="0"/>
        <w:spacing w:lineRule="auto" w:line="288" w:before="0" w:after="240"/>
        <w:ind w:left="0" w:right="0" w:firstLine="540"/>
        <w:jc w:val="both"/>
        <w:rPr/>
      </w:pPr>
      <w:r>
        <w:rPr>
          <w:rFonts w:ascii="Times New Roman;serif" w:hAnsi="Times New Roman;serif"/>
          <w:b w:val="false"/>
          <w:color w:val="000000"/>
          <w:sz w:val="20"/>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business could be adversely affected. Our research and development efforts may require a substantial investment of time and resources before we are adequately able to determine the commercial viability of a new product, technology, material, or other innovation.</w:t>
      </w:r>
      <w:r>
        <w:rPr>
          <w:color w:val="000000"/>
        </w:rPr>
        <w:t xml:space="preserve"> </w:t>
      </w:r>
      <w:r>
        <w:rPr>
          <w:rFonts w:ascii="Times New Roman;serif" w:hAnsi="Times New Roman;serif"/>
          <w:b w:val="false"/>
          <w:color w:val="000000"/>
          <w:sz w:val="20"/>
        </w:rPr>
        <w:t>In some cases, following a successful product development effort, we may need to invest substantial resources in surgical instrumentation and implant inventory, prior to launch of the product, and before we understand the demand for such product.</w:t>
      </w:r>
      <w:r>
        <w:rPr>
          <w:color w:val="000000"/>
        </w:rPr>
        <w:t xml:space="preserve"> </w:t>
      </w:r>
      <w:r>
        <w:rPr>
          <w:rFonts w:ascii="Times New Roman;serif" w:hAnsi="Times New Roman;serif"/>
          <w:b w:val="false"/>
          <w:color w:val="000000"/>
          <w:sz w:val="20"/>
        </w:rPr>
        <w:t>If we overestimate the demand for such products and invest too heavily in inventory to support the product line, the additional revenue and product margins may not produce a positive return on such investments, which could cause our financial results to suffer.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required to maintain adequate levels of inventory, the failure of which could consume our resources and reduce our cash flows.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a result of the need to maintain adequate levels of inventory, we are subject to the risk of inventory obsolescence. Many of our products come in sets, which feature components and implants in a variety of sizes so that the implant or device may be chosen for size based on the patient’s needs. In order to market our products effectively, we often maintain and provide physicians and hospitals with back-up products and products of different sizes. For each surgery, fewer than all of the components of the set are used, and therefore certain portions of the set may become obsolete before they can be used. In addition, as we introduce new implants and instruments with the same intended uses as existing products, the older products may fall out of favor with our customers, causing them to become obsolete. In addition, market demand for our new products may be less than expected, resulting in excess inventory from the supply purchased for launch. In the event that a substantial portion of our inventory becomes obsolete, it could have a material adverse effect on our earnings and cash flows due to the resulting costs associated with the inventory impairment charges and costs that may be required to replace such inventory.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size and future growth in the market for minimally invasive sacroiliac fusion performed with a lateral approach, such as the iFuse procedure, has not been established with precision and may be smaller than we estimate, possibly materially. In addition, we estimate cost savings to the economy and healthcare system as a result of the iFuse procedure based on our market research. If our estimates and projections overestimate the size of this market or these benefits and cost savings, our sales growth may be adversely affected.</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not aware of an independent third-party study that reliably reports the potential market size for minimally invasive sacroiliac fusion or cost savings as a result of the procedure. Therefore, our estimates of the size and potential for future growth in the market for our iFuse products, cost savings to patients, the healthcare system and the economy overall from its use,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potential for our iFuse products and procedures and health cost savings, these estimates may not be correct and the conditions supporting our estimates may change at any time, thereby reducing the predictive accuracy of these underlying factors.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we expect. If the actual number of people with lower back pain who would benefit from our iFuse products and the size and future growth in the market for iFuse products and related costs savings to the healthcare system is smaller than we have estimated, it may impair our sales growth and have an adverse impact on our business.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results of operations could suffer if we are unable to manage our international business effectively.</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sale of our products in select international markets is an element of our business strategy and involves risk. The sale and shipment of our products across international borders subject us to extensive U.S. and foreign governmental trade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(“FCPA”), and the United Kingdom Bribery Act (“UKBA”), anti-boycott laws, anti-money laundering laws, and regulations relating to economic sanctions imposed by the United States, including the Office of Foreign Asset Control of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99085"/>
                <wp:effectExtent l="0" t="0" r="0" b="0"/>
                <wp:wrapNone/>
                <wp:docPr id="37" name="Frame3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Treasury. Any failure to comply with applicable legal and regulatory obligations in the United States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some of the countries in which we sell or plan to sell our products are, to some degree, subject to various risks, including:</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exposure to different legal and regulatory standards;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lack of stringent protection of intellectual property;</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inability of the local healthcare system to absorb prices for our product that would enable our business to become profitable in those markets;</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obstacles to obtaining domestic and foreign export, import, and other governmental approvals, permits, and licenses and compliance with foreign laws;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lower average selling prices of our implants in most foreign markets;</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reliance on a more concentrated surgeon base in international markets due to the surgeon acquisition costs relative to the selling price of our implants;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potentially adverse tax consequences and the complexities of foreign value-added tax systems;</w:t>
      </w:r>
    </w:p>
    <w:p>
      <w:pPr>
        <w:pStyle w:val="TextBody"/>
        <w:bidi w:val="0"/>
        <w:spacing w:lineRule="auto" w:line="288" w:before="0" w:after="120"/>
        <w:ind w:left="0" w:right="0" w:hanging="360"/>
        <w:jc w:val="left"/>
        <w:rPr/>
      </w:pPr>
      <w:r>
        <w:rPr>
          <w:color w:val="000000"/>
        </w:rPr>
        <w:t>•    </w:t>
      </w:r>
      <w:r>
        <w:rPr>
          <w:rFonts w:ascii="Times New Roman;serif" w:hAnsi="Times New Roman;serif"/>
          <w:b w:val="false"/>
          <w:color w:val="000000"/>
          <w:sz w:val="20"/>
        </w:rPr>
        <w:t>adverse changes in tariffs and trade restrictions;</w:t>
      </w:r>
      <w:r>
        <w:rPr>
          <w:color w:val="000000"/>
        </w:rPr>
        <w:t> </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limitations on the repatriation of earnings;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difficulties in staffing and managing foreign operations;</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potentially insufficient numbers of patients requiring procedures that use our products;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transportation delays and difficulties of managing international distribution channels;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longer collection periods and difficulties in collecting receivables from foreign entities;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increased financing costs;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currency risks; and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political, social, and economic instability and increased security concerns.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risks may limit or disrupt our expansion, restrict the movement of funds or result in the deprivation of contractual rights or the taking of property by nationalization or expropriation without fair compensation.</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 U.S. government policies on international trade and investments such as import quotas, capital controls, punitive taxes or tariffs or similar trade barriers, whether imposed by individual governments or regional trade blocs, can affect our supply chain and ability to expand internationally. Our international sales and operations are also sensitive to changes in foreign nations’ priorities, including government budgets, as well as to political and economic instability. International transactions may involve increased financial and legal risks due to differing legal systems and customs in foreign countries.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successful conduct of our international business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 the future our products may become obsolete, which would negatively affect operations and financial condition.</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changes in technology and the practice of medicine through the development and introduction of new products.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99085"/>
                <wp:effectExtent l="0" t="0" r="0" b="0"/>
                <wp:wrapNone/>
                <wp:docPr id="38" name="Frame3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development involves a high degree of risk and there can be no assurance that our new product development efforts will result in any commercially successful products.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our information technology systems or those third parties with whom we work or our data, are or were compromised, we could experience adverse consequences resulting from such compromise, including but not limited to regulatory investigations or actions; litigation; fines and penalties; disruptions of our business, impairment of our results of operations, reputational harm; loss of revenue or profits; loss of customers or sales; and other adverse consequences.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and the third parties with whom we work process sensitive information. We rely extensively on information technology systems, networks and services, some of which are managed, hosted, provided or used by third parties, to conduct business. If we or the third parties with whom we work do not sufficiently allocate and effectively manage the resources necessary to build, sustain, and secure the proper information technology infrastructure, we could be subject to transaction errors, processing inefficiencies, the loss of customers, business disruptions, or the loss, unavailability of or damage to data and intellectual property. Furthermore, regardless of the resources we allocate and the effectiveness with which we manage them, we face a risk of cyberattacks and other security breaches and incidents. We have experienced breaches of our information technology infrastructure in the past; if we or the third parties with whom we work experience significant disruptions in our information technology systems in the future, our business, results of operations, and financial condition could be adversely affected.</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take steps designed to detect, mitigate, and remediate vulnerabilities in our information systems (such as our hardware and/or software, including that of third parties with whom we work). We may not, however, detect and remediate all such vulnerabilities including on a timely basis. Further, we may experience delays in developing and deploying remedial measures and patches designed to address identified vulnerabilities.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our data management systems, or those of the third parties with whom we work, fail to collect, store, process, or report relevant business data due to issues like malfunctions, human error, natural disasters, or cyberattacks, our ability to operate, plan, and comply with laws could be significantly impaired. Any such impairment could negatively impact our financial condition, operations, and cash flow. Maintaining and enhancing our information technology systems requires significant resources to address evolving technologies, new threats, legal standards, and the need for data security. Despite our efforts to upgrade, secure, and develop these systems, we cannot guarantee success or prevent future disruptions or issues.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Furthermore, our employees, third-party service providers, strategic partners, contractors or consultants, or other third parties with whom we work may input sensitive information (including competitive, proprietary, personal or confidential information, or other business data) of ours, into a system (in particular, a system that is managed, owned, or controlled by a third party), which may disrupt and otherwise compromise our business operations, divert the attention of management and key information technology resources, potentially lead to security breaches or incidents or other unauthorized access to, or other use or processing of, personal information, our confidential information or other business data. Third-party service providers store and otherwise process certain personal data and other confidential or proprietary information of ourselves and third parties on our behalf, and these service providers face similar risks.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artificial intelligence (“AI”), and other similar threats. The techniques used to obtain unauthorized access, or to sabotage systems, are becoming more sophisticated, frequent and adaptive, and therefore we may be unable to anticipate these techniques or to implement adequate preventative measures.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may expend significant resources or modify our business activities (including our clinical trial activities) to try to protect against security incidents. Certain data privacy and security obligations have required us to implement and maintain specific security measures or industry-standard or reasonable security measures to protect our information technology systems and sensitive information. In addition, future or past business transactions (such as acquisitions or integrations) could expose us to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99085"/>
                <wp:effectExtent l="0" t="0" r="0" b="0"/>
                <wp:wrapNone/>
                <wp:docPr id="39" name="Frame3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pPr>
      <w:r>
        <w:rPr>
          <w:rFonts w:ascii="Times New Roman;serif" w:hAnsi="Times New Roman;serif"/>
          <w:b w:val="false"/>
          <w:color w:val="000000"/>
          <w:sz w:val="20"/>
        </w:rPr>
        <w:t>cybersecurity risks and vulnerabilities, as our systems could be negatively affected by vulnerabilities present in acquired or integrated entities’ systems and technologies.</w:t>
      </w:r>
      <w:r>
        <w:rPr>
          <w:color w:val="000000"/>
        </w:rPr>
        <w:t xml:space="preserve"> </w:t>
      </w:r>
      <w:r>
        <w:rPr>
          <w:rFonts w:ascii="Times New Roman;serif" w:hAnsi="Times New Roman;serif"/>
          <w:b w:val="false"/>
          <w:color w:val="000000"/>
          <w:sz w:val="20"/>
        </w:rPr>
        <w:t>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any efforts we make to prevent against such privacy or security breaches or incidents have been or will be able to prevent breakdowns or breaches or incidents in our systems that could adversely affect our business. The failure of our information technology systems to perform as we anticipate or our failure to effectively implement new systems could result in: the unauthorized publication of our confidential business or proprietary information; the unauthorized release of employee, customer or vendor data and payment information; a loss of confidence by our customers; damage to our reputation; a disruption to our business; litigation and legal liability; and a negative impact on our future sales, all of which could have a material adverse effect on our reputation, business, results of operations, and financial condition. In addition, the cost and operational consequences of implementing further data protection or data restoration measures could be significant.</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cannot guarantee that our liability limitations in contracts will be enforceable or adequate to protect us from damages related to security breaches. While we have cyber insurance, it may be insufficient or not cover all liabilities. We cannot ensure that our coverage will be adequate, available at reasonable terms, or that an insurer will not deny future claims. Large claims exceeding our coverage or changes in insurance terms could significantly impact our business, financial condition, and reputation.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we accept payments for many of our sales through credit card transactions, which are handled through third-party payment processors.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processors are breached. We and our third-party credit card payment processors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processors fail to comply with these rules or requirements, we may be subject to fines and higher transaction fees and lose our ability to accept credit card payments from our customers, and there may be an adverse impact on our business.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We have incorporated and continue to work to further incorporate artificial intelligence into our operations. Implementation of artificial intelligence and machine learning technologies may result in legal and regulatory risks, reputational harm, or other adverse consequences to our business.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integrated artificial intelligence ("AI"), including generative AI, and machine learning ("ML") technologies (collectively, “AI” technologies) in certain of our internal operations. Further, certain of third-parties with whom we work with utilize AI and machine learning technologies in furnishing services to us. As with many technological innovations, AI presents risks and challenges that could affect its adoption, and therefore our business. AI tools may be incorrectly designed or provide inaccurate data, and business decisions could be made on the basis of AI-generated misinformation. Employees using publicly-available AI tools could leak our sensitive data. Risks can include, but are not limited to, the potential for errors or inaccuracies in the algorithms or models used by AI, the potential for bias or inaccuracies in the data used to train the AI, the potential for improper processing of personal information, and the potential for cybersecurity breaches that could compromise patient data or product functionality. </w:t>
      </w:r>
    </w:p>
    <w:p>
      <w:pPr>
        <w:pStyle w:val="TextBody"/>
        <w:bidi w:val="0"/>
        <w:spacing w:lineRule="auto" w:line="288" w:before="0" w:after="240"/>
        <w:ind w:left="0" w:right="0" w:firstLine="540"/>
        <w:jc w:val="both"/>
        <w:rPr/>
      </w:pPr>
      <w:r>
        <w:rPr>
          <w:rFonts w:ascii="Times New Roman;serif" w:hAnsi="Times New Roman;serif"/>
          <w:b w:val="false"/>
          <w:color w:val="000000"/>
          <w:sz w:val="20"/>
        </w:rPr>
        <w:t>Any sensitive information (including confidential, competitive, proprietary, or personal information) that we input into a third-party generative AI technology could be leaked or disclosed to others, including if sensitive information is used to train the third parties’ AI technologies.</w:t>
      </w:r>
      <w:r>
        <w:rPr>
          <w:color w:val="000000"/>
        </w:rPr>
        <w:t xml:space="preserve"> </w:t>
      </w:r>
      <w:r>
        <w:rPr>
          <w:rFonts w:ascii="Times New Roman;serif" w:hAnsi="Times New Roman;serif"/>
          <w:b w:val="false"/>
          <w:color w:val="000000"/>
          <w:sz w:val="20"/>
        </w:rPr>
        <w:t>Additionally, where an AI technology ingests personal information and makes connections using such data, those technologies may reveal other personal or sensitive information generated by the model. Moreover, AI models may create flawed, incomplete, or inaccurate outputs, some of which may appear correct. This may happen if the inputs that the model relied on were inaccurate, incomplete or flawed (including if a bad actor “poisons” the AI with bad inputs or logic), or if the logic of the AI is flawed (a so-called “hallucination”). Though we have taken steps to be thoughtful in our implementation of AI, and training on appropriate uses of AI, such risks could negatively affect the performance of our products, services, and business, and we could incur liability through the violation of laws or contracts to which we are a party or civil claims.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Several jurisdictions around the globe, including Europe and certain U.S. states, have proposed, enacted, or are considering laws governing AI, including the EU’s AI Act. We expect other jurisdictions will adopt similar laws. Additionally, certain privacy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99085"/>
                <wp:effectExtent l="0" t="0" r="0" b="0"/>
                <wp:wrapNone/>
                <wp:docPr id="40" name="Frame4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laws extend rights to consumers (such as the right to delete certain personal data) and regulate automated decision making, which may be incompatible with our use of AI. These obligations may make it harder for us to conduct our business using AI, lead to regulatory fines or penalties, require us to change our business practices, retrain our AI, or prevent or limit our use of AI. For example, the FTC has required other companies to turn over (or disgorge) valuable insights or trainings generated through the use of AI where they allege the company has violated privacy and consumer protection laws. If we cannot use AI or that use is restricted, our business may be less efficient, or we may be at a competitive disadvantage.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problems assimilating the purchased technologies, products, or business operations;</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issues maintaining uniform standards, procedures, controls, and policies;</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unanticipated costs and liabilities associated with acquisitions;</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diversion of management’s attention from our core business;</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adverse effects on existing business relationships with suppliers and customers;</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risks associated with entering new markets in which we have limited or no experience;</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potential loss of key employees of acquired businesses; and</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increased legal and accounting costs.</w:t>
      </w:r>
    </w:p>
    <w:p>
      <w:pPr>
        <w:pStyle w:val="TextBody"/>
        <w:bidi w:val="0"/>
        <w:spacing w:lineRule="auto" w:line="288" w:before="0" w:after="240"/>
        <w:ind w:left="0" w:right="0" w:firstLine="540"/>
        <w:jc w:val="both"/>
        <w:rPr/>
      </w:pPr>
      <w:r>
        <w:rPr>
          <w:rFonts w:ascii="Times New Roman;serif" w:hAnsi="Times New Roman;serif"/>
          <w:b w:val="false"/>
          <w:color w:val="000000"/>
          <w:sz w:val="20"/>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third-party sales agents and resellers. Our ability to successfully grow through acquisitions depends upon our ability to identify, negotiate, complete, and integrate suitable target businesses and to obtain any necessary financing. These efforts could be expensive and time 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r>
        <w:rPr>
          <w:color w:val="000000"/>
        </w:rPr>
        <w:t xml:space="preserve">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may enter into collaborations, in-licensing arrangements, joint ventures, strategic alliances, or partnerships with third-parties that may not result in the development of commercially viable products or the generation of significant future revenue.</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may enter into collaborations, in-licensing arrangements, joint ventures, strategic alliances, partnerships, or other arrangements to develop products and to pursue new markets. These collaborations may not result in the development of products that achieve commercial success or result in significant revenue and could be terminated prior to developing any products. 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In addition, we may have limited control over the amount and timing of resources that any future collaborators devote to our or their future products.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Disputes between us and our collaborators may result in litigation or arbitration which would increase our expenses and divert the attention of our management.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99085"/>
                <wp:effectExtent l="0" t="0" r="0" b="0"/>
                <wp:wrapNone/>
                <wp:docPr id="41" name="Frame4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market price of our common shares.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required to disclose changes made in our internal controls and procedures on a quarterly basis and our management is required to assess the effectiveness of these controls annually. We are also required to obtain an independent assessment of the effectiveness of our internal controls which could detect problems that our management’s assessment might not. Going forward, even if our management concludes that our internal control over financial reporting is effective, our independent registered public accounting firm may conclude that there are material weaknesses or significant deficiencies with respect to our internal controls or the level at which our internal controls are documented, designed, implemented or reviewed. If we or our independent registered public accounting firm identifies deficiencies in our internal control over financial reporting that are deemed to be material weaknesses or that may require prospective or retroactive changes to our financial statements, investors may lose confidence in our reported financial information, which could cause the market price of our common shares to decline and we could be subject to sanctions or investigations by the SEC or other regulatory authorities, which would require additional financial and management resources. Irrespective of compliance with Section 404, any failure of our internal control over financial reporting could have a material adverse effect on our stated operating results and harm our reputation.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Epidemic diseases, or the perception of their effects, may continue to adversely affect our business, financial condition, results of operations, or cash flows.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an epidemic, like the COVID-19 pandemic, occurs, our business, financial condition, results of operations and cash flows could be adversely affected. Business disruptions have included, and could in the future include, disruptions or restrictions on our ability to travel or to distribute our products, government orders suspending the performance of elective surgical procedures, inability of our customers to meet their financial commitments due to strain on the healthcare system, as well as temporary closures of our facilities or the facilities of our suppliers and their contract manufacturers, and a reduction in the business hours of hospitals, ASCs and OBLs. Any disruption of our suppliers and their contract manufacturers or our customers would likely impact our sales and operating results. In addition, a significant outbreak of an infectious disease in the human population could result in a widespread health crisis that could adversely affect the economies and financial markets of many countries, resulting in regional or global economic downturns that could affect demand for our products, as well as increase risk of customer defaults or delays in payments. Any of these events could negatively impact the number of procedures using our implants that are performed and have a material adverse effect on our business, financial condition, results of operations, cash flows, or ability to raise capital.</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Legal and Regulatory Environment</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our suppliers, and our third-party manufacturers are subject to extensive governmental regulation both in the United States. and abroad, and failure to comply with applicable requirements could cause our business to suffer.</w:t>
      </w:r>
    </w:p>
    <w:p>
      <w:pPr>
        <w:pStyle w:val="TextBody"/>
        <w:bidi w:val="0"/>
        <w:spacing w:lineRule="auto" w:line="288" w:before="0" w:after="24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The medical device industry is regulated extensively by governmental authorities, principally the FDA and corresponding state and foreign regulatory authorities. The FDA and other U.S. and foreign regulatory authorities regulate, among other things, with respect to medical devices: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design, development, and manufacturing;</w:t>
      </w:r>
    </w:p>
    <w:p>
      <w:pPr>
        <w:pStyle w:val="TextBody"/>
        <w:bidi w:val="0"/>
        <w:spacing w:lineRule="auto" w:line="288" w:before="0" w:after="120"/>
        <w:ind w:left="0" w:right="0" w:hanging="360"/>
        <w:jc w:val="left"/>
        <w:rPr/>
      </w:pPr>
      <w:r>
        <w:rPr>
          <w:color w:val="000000"/>
        </w:rPr>
        <w:t>•    </w:t>
      </w:r>
      <w:r>
        <w:rPr>
          <w:rFonts w:ascii="Times New Roman;serif" w:hAnsi="Times New Roman;serif"/>
          <w:b w:val="false"/>
          <w:color w:val="000000"/>
          <w:sz w:val="20"/>
        </w:rPr>
        <w:t>testing, labeling, content, and language of instructions for use and storage;</w:t>
      </w:r>
      <w:r>
        <w:rPr>
          <w:color w:val="000000"/>
        </w:rPr>
        <w:t> </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clinical trials;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product safety;</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marketing, sales, and distribution;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pre-market clearance and approval;</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conformity assessment procedures and the issue of related CE Certificates of Conformity;</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record keeping procedures;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advertising and promotion;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compliance with good manufacturing practices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99085"/>
                <wp:effectExtent l="0" t="0" r="0" b="0"/>
                <wp:wrapNone/>
                <wp:docPr id="42" name="Frame4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recalls and field safety corrective actions;</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post-market surveillance, including reporting of deaths or serious injuries and malfunctions that, if they were to recur, could lead to death or serious injury;</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post-market approval studies; and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product import and export.</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Before we can market or sell a new regulated medical device or make a significant modification to an existing product in the United States, with limited exceptions, we must obtain either clearance under Section 510(k) of the FDCA for Class II devices or approval of a PMA application from the FDA for a Class III device. </w:t>
      </w:r>
    </w:p>
    <w:p>
      <w:pPr>
        <w:pStyle w:val="TextBody"/>
        <w:bidi w:val="0"/>
        <w:spacing w:lineRule="auto" w:line="288" w:before="0" w:after="240"/>
        <w:ind w:left="0" w:right="0" w:firstLine="540"/>
        <w:jc w:val="both"/>
        <w:rPr/>
      </w:pPr>
      <w:r>
        <w:rPr>
          <w:rFonts w:ascii="Times New Roman;serif" w:hAnsi="Times New Roman;serif"/>
          <w:b w:val="false"/>
          <w:color w:val="000000"/>
          <w:sz w:val="20"/>
        </w:rPr>
        <w:t>If the FDA requires us to go through a lengthier, more rigorous examination for future products or modifications to existing products than we expect,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 may require us to submit a 510(k) or PMA in order to continue marketing the product. Further, even with respect to those future products where a PMA is not required, we cannot assure investors that we will be able to obtain the 510(k) clearances with respect to those products. If current or future products that we seek to commercialize are determined to require a PMA or De Novo 510(k) clearance, FDA may require evidence from clinical trials conducted under an investigational device exemption (“IDE”).</w:t>
      </w:r>
      <w:r>
        <w:rPr>
          <w:color w:val="000000"/>
        </w:rPr>
        <w:t xml:space="preserve"> </w:t>
      </w:r>
      <w:r>
        <w:rPr>
          <w:rFonts w:ascii="Times New Roman;serif" w:hAnsi="Times New Roman;serif"/>
          <w:b w:val="false"/>
          <w:color w:val="000000"/>
          <w:sz w:val="20"/>
        </w:rPr>
        <w:t xml:space="preserve">Trials conducted under an IDE and a PMA or De Novo 510(k) submission to the FDA can be lengthy and costly processes, which could delay and add to the cost of commercializing our products, which could adversely affect our financial results. </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FDA can delay, limit or deny clearance or approval of a device for many reasons, including:</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we may not be able to demonstrate to the FDA’s satisfaction that our products are safe and effective for their intended uses;</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the data from our pre-clinical studies and clinical trials may be insufficient to support clearance or approval, where required; and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the manufacturing process or facilities we use may not meet applicable requirements.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delay in, or failure to receive or maintain, clearance or approval for our products under development could prevent us from generating revenue from these products or achieving profitability.</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even after we have obtained the proper regulatory clearance or approval to market a product, the FDA has the power to require us to conduct post-marketing studies. These studies can be very expensive and time 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United States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EU, the Medical Device Regulation became applicable on May 26, 2021, repealing and replacing the MDD. The Medical Device Regulation establishes transitional provisions that are subject to strict conditions. The changes to the regulatory system implemented in the EU by the Medical Device Regulation include stricter requirements for clinical evidence and pre-market assessment of safety and performance, new classifications to indicate risk levels, requirements for third party testing by Notified Bodies, tightened and streamlined QMS assessment procedures and additional requirements for the QMS, additional requirements for traceability of products and transparency as well a refined responsibility of economic operators. We are also required to provide clinical data in the form of a clinical evaluation report. Fulfillment of the obligations imposed by the Medical Device Regulation may cause us to incur substantial costs. We may be unable to fulfil these obligations, or our Notified Body may consider that we have not adequately demonstrated compliance with our related obligations to merit a CE Certificate of Conformity on the basis of the Medical Device Regulation. In addition, in July 2024, Regulation (EU) 2024/1860 entered into application. The Regulation imposes new manufacturer obligations, including mandatory pre</w:t>
        <w:noBreakHyphen/>
        <w:t xml:space="preserve">notification of supply interruptions starting January 10, 2025, and introduces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99085"/>
                <wp:effectExtent l="0" t="0" r="0" b="0"/>
                <wp:wrapNone/>
                <wp:docPr id="43" name="Frame4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gradual rollout of EUDAMED, the EU’s central database for medical devices and diagnostics. Starting from May 28, 2026, the use of the first four modules will become mandatory - actor registration, UDI/Devices registration, notified bodies and certificates, and Market Surveillance. Compliance with these new and expanded EU regulatory requirements may require investment in additional personnel, systems, and processes, including modifications to our supply</w:t>
        <w:noBreakHyphen/>
        <w:t>chain monitoring, quality</w:t>
        <w:noBreakHyphen/>
        <w:t>management systems, and regulatory</w:t>
        <w:noBreakHyphen/>
        <w:t>IT infrastructure to ensure timely and accurate EUDAMED reporting. Moreover, the evolving nature of the EU regulatory environment creates uncertainty, and additional amendments or guidance could further increase compliance burden or disrupt market access for certain products.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FDA and other regulatory authorities, including foreign authorities, have broad enforcement powers. Regulatory enforcement or inquiries, or other increased scrutiny on us, could dissuade some physicians from using our products and adversely affect our reputation and the perceived safety and effectiveness of our products.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Failure to comply with applicable regulations could jeopardize our ability to sell our products and result in enforcement actions such as: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warning letters;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fines;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injunctions;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civil penalties;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termination of distribution;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recalls or seizures of products;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delays in the introduction of products into the market;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total or partial suspension of production;</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facility closures;</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refusal of the FDA or our Notified Body or other regulator to grant future clearances or approvals or to issue CE Certificates of Conformity;</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withdrawals, variation, or suspensions of current clearances or approvals and CE Certificates of Conformity, resulting in prohibitions on sales of our products; and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in the most serious cases, criminal penalties.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Adverse action by an applicable regulatory authority,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99085"/>
                <wp:effectExtent l="0" t="0" r="0" b="0"/>
                <wp:wrapNone/>
                <wp:docPr id="44" name="Frame4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and our sales representatives must comply with U.S. federal and state fraud and abuse laws, including those relating to healthcare provider kickbacks and false claims for reimbursement, and other applicable federal and state healthcare laws, as well as equivalent foreign laws, and failure to comply could negatively affect our business.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Healthcare providers, third-party sales agents and resellers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sales agents and resellers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coding of claims for reimbursement for medical procedures submitted to private and governmental payors and reporting of other financial information or data, other commercial or regulatory laws or requirements, and equivalent foreign rules.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and government authorities may conclude that our business practices do not comply with applicable fraud and abuse or other healthcare laws and regulations or guidance despite our good faith efforts to comply.</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are numerous U.S. federal and state laws pertaining to healthcare fraud and abuse, including anti-kickback and false claims laws. Our relationships and our third-party sales agents and resellers’ relationships with physicians, other healthcare professionals, and hospitals are subject to scrutiny under these laws. For example, we are subject to the federal health-care Anti-Kickback Statute, the federal civil False Claims Act, the Health Insurance Portability and Accountability Act (“HIPAA”) and the federal Physician Payment Sunshine Act, each of which is described in detail in "Item 1. Business - Healthcare Fraud and Abuse” and “Data Privacy and Security Laws”.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states and countries also have enacted analogous state and foreign law equivalents of each of the above federal laws and may also mandate implementation of corporate compliance programs, require compliance with the industry’s voluntary compliance guidelines, impose restrictions on device manufacturer marketing practices, and/or require tracking and reporting of gifts, compensation, and other remuneration to healthcare professionals and entities. Many of these state and foreign laws differ from each other in significant ways and may not have the same effect, thus complicating compliance efforts.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we or our employees are found to have violated any of the above laws we may be subject to significant administrative, civil and criminal penalties, including imprisonment, exclusion from participation in federal healthcare programs, such as Medicare, Medicaid, and equivalent foreign programs, significant fines, monetary penalties and damages, imposition of compliance obligations and monitoring, the curtailment or restructuring of our operations, and damage to our reputation.</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entered into consulting agreements and royalty agreements with physicians and healthcare executives, including some who are customers. We also engage in co-marketing arrangements with certain physicians who use our products. In addition, prior to our IPO, a small number of our current customer surgeons acquired from us less than 1.0% of our current outstanding common stock, which they either purchased in an arm’s length transaction on terms identical to those offered to others or received from us as fair market value consideration for consulting services performed. While all of these transactions were structured to comply with applicable laws, including the federal Anti-Kickback Statute, state anti-kickback laws and other applicable laws, it is possible that regulatory agencies may view these transactions as prohibited arrangements that must be restructured, or discontinued, or for which we could be subject to significant penalties and criminal, civil and administrative liability. We would be materially and adversely affected if regulatory agencies interpret our financial relationships with physicians who order our products to be in violation of applicable laws and we were unable to comply with such laws, which could subject us to, among other things, monetary penalties for non-compliance, the cost of which could be substantial.</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Various state and federal regulatory and enforcement agencies, and foreign equivalents, continue actively to investigate violations of health-care laws and regulations, and the U.S. Congress continues to strengthen the arsenal of enforcement tools. To enforce compliance with the federal laws, the U.S. Department of Justice has continued its scrutiny of interactions between healthcare companies and healthcare providers, which has led to a number of investigations, prosecutions, convictions and settlements in the healthcare industry. For example, in October 2024, we received a civil investigative demand (“CID”) from the U.S. Department of Justice, Civil Division, in connection with an investigation under the federal Anti-Kickback Statute and Civil False Claims Act (the “Investigation”). The CID requests information and documents primarily relating to meals and consulting service payments provided to health-care professionals. Responding to this Investigation and other investigations may be time- and resource-consuming and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 Additionally, if we settle the current Investigation, or any potential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99085"/>
                <wp:effectExtent l="0" t="0" r="0" b="0"/>
                <wp:wrapNone/>
                <wp:docPr id="45" name="Frame4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investigation with the Department of Justice or other law enforcement agencies, we may need to agree to additional onerous compliance and reporting requirements as part of a consent decree, deferred or non-prosecution agreement, or corporate integrity agreement. The current Investigation and any new investigation or settlement could increase our costs, deplete our cash or otherwise have an adverse effect on our business.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scope and enforcement of these laws is uncertain and subject to rapid change. The shifting compliance environment and the need to build and maintain robust and expandable systems and processes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and the third parties with whom we work are subject to stringent and evolving U.S. and foreign laws, regulations, and rules, contractual obligations, industry standards, policies and other obligations related to data privacy and security. Our (and the third parties with whom we work) actual or perceived failure to comply with such obligations, or the inadvertent compromise of sensitive personal information held by us,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our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sensitive third-party data, data we collect about trial participants in connection with clinical trials, and health/medical data (collectively, "sensitive information"). We process data of our employees, consultants, certain individuals who may be affiliated with our customers, including physician users of our products and, in the context of clinical investigations, patients. We collect this kind of information for several purposes, such as billing, reimbursement support, marketing purposes, post-marketing safety vigilance, servicing potential warranty claims and during the course of clinical trials.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Such obligations include laws that protect the confidentiality of certain sensitive information including patient health information, such as patient medical records, and restrict the use and disclosure of patient health information by healthcare providers, such as HIPAA in the United States and regulations in the European Union (“EU”), which are described in detail in "Item 1. Business - Data Privacy and Security Laws.”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Many U.S. states have enacted laws regulating the collection, use and disclosure of sensitive information and requiring that companies implement reasonable data security measures. Applicable data privacy and security obligations require us, or we may voluntarily choose, to notify affected individuals, customers, governmental entities and/or credit reporting agencies of certain security breaches affecting personal data or to take other actions, such as providing credit monitoring and identity theft protection services. These laws are not consistent, and increase our compliance costs and potential liability in the event of a data breach.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imposes specific requirements relating to the privacy, security, and transmission of individually identifiable protected health information.</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past few years,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(“CPRA”), (collectively,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Although the CCPA and other comprehensive U.S. state privacy laws include exemptions for certain clinical trials data, and protected health information governed by HIPAA, the law may increase our compliance costs and potential liability with respect to other personal data we collect about California and other applicable residents. Similar laws are being considered in several other states, as well as at the federal and local levels, and we expect more states to pass similar laws in the future. While these states, like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99085"/>
                <wp:effectExtent l="0" t="0" r="0" b="0"/>
                <wp:wrapNone/>
                <wp:docPr id="46" name="Frame4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CCPA, also exempt some data processed in the context of clinical trials, these developments further complicate compliance efforts, and increase legal risk and compliance costs for us, the third parties with whom we work, and our customers.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states have also enacted consumer health data privacy laws or medical information privacy laws, or amended existing consumer protection laws, to further regulate the collection, use, and sharing of consumer health data and medical information. These laws further complicate compliance, and many provide a private right of action through which individuals can seek statutory damages for actual or perceived violations. We may be subject to laws governing the privacy of consumer health data, including reproductive, sexual orientation, and gender identity privacy rights. For example, Washington’s My Health My Data Act (“MHMD”) broadly defines consumer health data, places restrictions on processing consumer health data (including imposing stringent requirements for consents), provides consumers certain rights with respect to their health data, and creates a private right of action to allow individuals to sue for violations of the law. Other states have passed, are considering, and may adopt similar laws.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enter into certain transactions or agreements.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Outside the United States, an increasing number of laws, regulations, and industry standards govern data privacy and security. For example, the GDPR impose strict requirements for processing personal data. The GDPR imposes onerous accountability obligations requiring data controllers and processors to maintain a record of their data processing and policies. It requires data controllers to, among others, be transparent and to disclose to data subjects (in a concise, intelligible and easily accessible form) how their personal data is to be used, imposes limitations on retention of information, increases requirements pertaining to pseudonymized (i.e., key-coded) data, introduces mandatory data breach notification requirements and sets higher standards for data controllers to demonstrate that they have obtained valid consent for certain data processing activities.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("Data Privacy Framework") (which allows for transfers to relevant U.S.-based organizations who self-certify compliance and participate in the Data Privacy Framework), these mechanisms are subject to legal challenges, and there is no assurance that we can satisfy or rely on these measures to lawfully transfer personal data to the United States.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99085"/>
                <wp:effectExtent l="0" t="0" r="0" b="0"/>
                <wp:wrapNone/>
                <wp:docPr id="47" name="Frame4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groups. Some European regulators have ordered certain companies to suspend or permanently cease certain transfers out of Europe for allegedly violating the GDPR’s cross-border data transfer limitations.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Europe, the Network and Information Security Directive (“NIS2”) regulates resilience and incident response capabilities of entities operating in a number of sectors, including the health sector. Non-compliance with NIS2 may lead up to administrative fines of a maximum of 10 million Euros or up to 2% of the total worldwide revenue of the preceding fiscal year.</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data privacy and security laws, we are contractually subject to industry standards adopted by industry groups and, we are, and may become subject to such obligations in the future.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 We also rely on vendors to process payment card data, who may be subject to PCI DSS, and our business may be negatively affected if our vendors are fined or suffer other consequences as a result of PCI DSS noncompliance.</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depend on a number of third parties in relation to the provision of our services, a number of which process personal data on our behalf. These third party service providers may breach their contractual or legal obligations, which could negatively affect our business and/or our reputation.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publish privacy policies, marketing materials and other statements, such as statements related to compliance with certain certifications or self-regulatory principles, concerning data privacy and security, and artificial intelligence.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in the past, and could be in the future, subject to data breaches. Our failure (or perceived failure) to comply with applicable data privacy and security obligations, or to protect sensitive information, could result in significant consequences to us, including government enforcement actions (e.g., investigations, fines, penalties, audits, inspections, and similar), additional reporting requirements and/or oversight; bans or restrictions on processing personal data; orders to destroy or not use personal data, imprisonment of company officials and public censure, claims for damages by end-customers, and other affected individuals, and the imposition of integrity obligations and agency oversight, damage to our reputation, and loss of goodwill, any of which could harm our operations, financial performance, and business. Moreover, despite our efforts, our personnel or third parties with whom we work may fail to comply with such obligations.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Evolving and changing definitions of personal data, within the European Union, the United States, and elsewhere, may limit or inhibit our ability to operate or expand our business, including limiting strategic partnerships that may involve the sharing of data. Moreover, if the relevant laws and regulations change, or are interpreted and applied in a manner that is inconsistent with our data practices or the operation of our products, or if we expand into new regions and are required to comply with new requirements, we may need to expend resources in order to change our business operations, data practices, or the manner in which our products operate. Even the perception of privacy concerns, whether or not valid, may harm our reputation and inhibit adoption of our products.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are subject to risks associated with our non-U.S.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99085"/>
                <wp:effectExtent l="0" t="0" r="0" b="0"/>
                <wp:wrapNone/>
                <wp:docPr id="48" name="Frame4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FCPA prohibits companies and their intermediaries from making improper payments to foreign officials for the purpose of obtaining or retaining business. Other anti-corruption or anti-bribery laws, such as the UKBA, prohibit companies and their intermediaries from making improper payments for the purpose of obtaining or retaining business in foreign countries.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United States are with governmental entities and are therefore subject to such anti-bribery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Furthermore, we are subject to anti-boycott laws, anti-money laundering laws, and the export controls and economic embargo rules and regulations of the United States,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pStyle w:val="TextBody"/>
        <w:bidi w:val="0"/>
        <w:spacing w:lineRule="auto" w:line="288" w:before="0" w:after="240"/>
        <w:ind w:left="0" w:right="0" w:firstLine="540"/>
        <w:jc w:val="both"/>
        <w:rPr/>
      </w:pPr>
      <w:r>
        <w:rPr>
          <w:rFonts w:ascii="Times New Roman;serif" w:hAnsi="Times New Roman;serif"/>
          <w:b w:val="false"/>
          <w:color w:val="000000"/>
          <w:sz w:val="20"/>
        </w:rPr>
        <w:t>For any product for which we obtain regulatory clearance or approval, or a CE Certificate of Conformity, or which we CE mark,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Management System Regulations (“QMSR”) and EU QMS requirements applicable to medical device</w:t>
      </w:r>
      <w:r>
        <w:rPr>
          <w:rFonts w:ascii="sans-serif" w:hAnsi="sans-serif"/>
          <w:b w:val="false"/>
          <w:color w:val="000000"/>
          <w:sz w:val="20"/>
        </w:rPr>
        <w:t xml:space="preserve">s </w:t>
      </w:r>
      <w:r>
        <w:rPr>
          <w:rFonts w:ascii="Times New Roman;serif" w:hAnsi="Times New Roman;serif"/>
          <w:b w:val="false"/>
          <w:color w:val="000000"/>
          <w:sz w:val="20"/>
        </w:rPr>
        <w:t>for the manufacture of our products and other regulations which cover the methods and documentation of the design, testing, production, control, quality assurance, labeling, packaging, storage, and shipping of any product for which we obtain regulatory clearance or approval, or CE mark.</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untitled letters, warning letters, fines, injunctions, consent, and civil penalties;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unanticipated expenditures to address or defend such actions;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customer notifications for repair, replacement, refunds;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recall, detention, or seizure of our products;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operating restrictions or partial suspension or total shutdown of production;</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refusing or delaying our requests for 510(k) clearance or premarket approval and applications for or conduct of conformity assessments of new products or modified products;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limitations on the intended uses for which the product may be marketed;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operating restrictions;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withdrawing 510(k) clearances or PMA approvals that have already been granted;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suspension, variation or withdrawal of CE Certificates of Conformity;</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refusal to grant export approval for our products; and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criminal prosecution.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99085"/>
                <wp:effectExtent l="0" t="0" r="0" b="0"/>
                <wp:wrapNone/>
                <wp:docPr id="49" name="Frame4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such as QMS,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 xml:space="preserve">Our employees, independent contractors, consultants, manufacturers, and third-party sales agents and resellers may engage in misconduct or other improper activities, relating to regulatory standards and requirements.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exposed to the risk that our employees, independent contractors, consultants, manufacturers, and third-party sales agents and resellers may engage in fraudulent conduct or other illegal activity. Misconduct by these parties could include intentional, reckless and/or negligent conduct that violates applicable laws and regulations, such as FDA reporting requirements, manufacturing standards, federal, state and foreign healthcare laws and regulations including those related to fraud and abuse, data privacy laws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may be subject to enforcement action, including fines, penalties or injunctions, if we are determined to be engaging in the off-label promotion of our products.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promotional materials and training methods must comply with FDA and other applicable national and foreign laws and regulations, including the prohibition of the promotion of off-label use. Physicians may use our products off-label, as the FDA and equivalent third country authorities do not restrict or regulate a physician’s choice of treatment within the practice of medicine.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believe that the specific surgical procedures for which our products are marketed fall within the scope of the surgical applications that have been cleared by the FDA and our Notified Body. However, if the FDA or an equivalent foreign regulatory authority determines that our promotional materials or training constitutes promotion of an off-label use, it could request that we modify our training or promotional materials, require us to stop promoting our products for those specific procedures until we obtain FDA or foreign regulatory authority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authority could disagree and conclude that we have engaged in off-label promotion. In addition, the off-label use of our products may increase the risk of injury to patients, and, in turn, the risk of product liability claims.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99085"/>
                <wp:effectExtent l="0" t="0" r="0" b="0"/>
                <wp:wrapNone/>
                <wp:docPr id="50" name="Frame5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Product liability claims are expensive to defend and could divert our management’s attention, result in substantial damage awards against us and harm our reputation.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required to report certain malfunctions, deaths, and serious injuries associated with our products, which can result in voluntary corrective actions or agency enforcement actions.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FDA’s medical device reporting, regulations, and equivalent rules of other countries we are required to report to the FDA and comparable foreign regulatory authorities, any information that our product may have caused or contributed to a death or serious injury or in which our product malfunctioned and, if the malfunction were to recur, would likely cause or contribute to death or serious injury. In the EEA, we must report serious incidents, field safety corrective actions and trend reports through the European Database on Medical Devices ("EUDAMED") module on vigilance and post-market surveillance. However, the EUDAMED module on vigilance and post-market surveillance is not available yet. Until this module is available, serious incidents and field safety corrective actions must be reported to the national competent authorities through national systems.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we fail to report these events to the FDA or comparable foreign regulatory authorities within the required timeframes, or at all, FDA, or the competent foreign regulatory authority could take enforcement action against us. Any such adverse event involving our products or repeated product malfunctions may result in voluntary or involuntary corrective actions, such as recalls or customer notifications, or action by competent regulatory authorities,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adverse event involving our products, whether in the United States or abroad could result in future voluntary corrective actions, such as recalls, including corrections, or customer notifications, or action by competent regulatory authorities, such as inspection or enforcement actions. If malfunctions do occur, we may be unable to correct the malfunctions adequately or prevent further malfunctions, in which case we may need to cease manufacture and distribution of the affected products, initiate voluntary recalls, and redesign the products. Regulatory authorities may also take actions against us, such as ordering recalls, imposing fines, or seizing the affected products. Any corrective action, whether voluntary or involuntary, will require the dedication of our time and capital, distract management from operating our business, and may harm our reputation and financial results.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A recall of our products, either voluntarily or at the direction of the FDA or another regulatory authority, including foreign regulatory authorities, or the discovery of serious safety issues or malfunctions with our products, can result in voluntary corrective actions or regulatory enforcement actions, which could have a significant adverse impact on us.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FDA and similar foreign regulatory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sales agents or resellers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FDA requires that certain classifications of recalls be reported to FDA within 10 working days after the recall is initiated. Companies are required to maintain certain records of recalls, even if they are not reportable to the FDA. We have in the past, and may in the future, initiate voluntary recalls involving our products in the future that we determine do not require notification of the FDA. If the FDA disagrees with our determinations, they could require us to report those actions as recalls. A future recall announcement could harm our reputation with customers and negatively affect our sales. In addition, the FDA could take enforcement action for failing to report the recalls when they were conducted. Equivalent procedures and penalties have been established in other countries including EU Member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99085"/>
                <wp:effectExtent l="0" t="0" r="0" b="0"/>
                <wp:wrapNone/>
                <wp:docPr id="51" name="Frame5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modified some of our 510(k) cleared products and have determined based on our review of the applicable FDA guidance that in certain instances new 510(k) clearances or PMAs are not required. If the FDA 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In these circumstances, we may be subject to significant enforcement actions, regulatory fines, or penalties, which could require us to redesign our products and harm our operating results.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EEA, we must inform the Notified Body that carried out the conformity assessment of the medical devices we market or sell in the EEA of any planned significant changes are made to the products or if there are substantial changes to our quality assurance systems affecting those products. The Notified Body will then assess the changes and determine whether additional audits or actions are required prior to their implementation. Obtaining variation of existing CE Certificates of Conformity or a new CE Certificate of Conformity can be a time-consuming process, and delays in obtaining required future clearances, certifications or approvals would adversely affect our ability to introduce new or enhanced products in a timely manner, which in turn would harm our future growth.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business prospects.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in the process of developing our regulatory strategies for obtaining clearance approval or CE Certificates of Conformity for future products and affixing the CE mark. Some of them may require 510(k) clearance by the FDA or a new CE Certificate of Conformity by a Notified Body. Other future products may require premarket approval. In addition, some of our new products may require clinical trials or significant clinical evidence to support regulatory approval and we may not successfully complete these clinical trials. Obtaining regulatory clearances or approvals and CE Certificates of Conformity can be a time-consuming process, and delays in obtaining required future regulatory clearances or approvals, and CE Certificates of Conformity would adversely affect our ability to introduce new or enhanced products in a timely manner, which in turn would adversely affect our business prospects.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and our Notified Body may refuse to issue new CE Certificates of Conformity. Failure to receive clearance, approval, or CE Certificates of Conformity for our new products would have an adverse effect on our ability to expand our business.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fail to obtain or maintain foreign regulatory approvals to market our products in other countries.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currently market our products internationally and intend to expand our international marketing. International jurisdictions require separate regulatory approvals and compliance with numerous and varying regulatory requirements.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99085"/>
                <wp:effectExtent l="0" t="0" r="0" b="0"/>
                <wp:wrapNone/>
                <wp:docPr id="52" name="Frame5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Clearance or approval by the FDA or obtaining a CE Certificate of Conformity and affixing the CE mark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The foreign regulatory approval or certification process may include all of the risks associated with obtaining FDA 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results of our clinical trials may not support our product candidate claims or may result in the occurrence of adverse events.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Even if our clinical trials are completed as planned, or on a delayed basis,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events that are not currently part of the product candidate’s profile.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Inadequate funding for the FDA and other government agencies, disruptions or diminishment of the workforces of these government agencies, or a work slowdown or stoppage at those agencies as part of a broader federal government shutdown, or comparable scenarios with foreign regulatory authorities,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ability of the FDA to review and approve or clear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Disruptions at FDA and other agencies may also slow the time necessary for new product applications to be reviewed and/or approved by necessary government agencies, which could adversely affect our business. For example, in recent years, including in October 2025 and December 2018, the U.S. government has shut down, and during such shutdowns, certain regulatory agencies, such as the FDA, have in the past furloughed, and may in the future furlough critical employees and stop critical activities. Average review times at FDA have fluctuated in recent years as a result. In addition, funding of other government agencies on which our operations may rely is subject to the political process, which is inherently fluid and unpredictable. More recently, the FDA and other governmental agencies in the United States have been subject to sudden and dramatic reductions in the workforces due to termination of probationary employees, broad-based offers of early retirement to government employees and other efforts led by the current presidential administration. The impact of these reductions to the federal workforce on our business remains to be seen.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a prolonged government shutdown or continued reductions in the U.S. governmental workforces occur, or if global health concerns or other political or world events prevent the FDA or other regulatory authorities from conducting their regular reviews or other regulatory activities, it could significantly impact the ability of the FDA to timely review and process our regulatory submissions, which could have a material adverse effect on our business. Future government shutdowns or delays could also impact our ability to access the public markets and obtain capital to fund the growth of our operations. Similar considerations and concerns apply to foreign regulatory authorities.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incur product liability losses, and insurance coverage may be inadequate or unavailable to cover these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99085"/>
                <wp:effectExtent l="0" t="0" r="0" b="0"/>
                <wp:wrapNone/>
                <wp:docPr id="53" name="Frame5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business exposes us to potential product liability claims that are inherent in the testing, design, manufacture, and sale of surgical devices. Sacroiliac joint and other orthopedic spine surgeries involve significant risk of serious complications, including bleeding, nerve injury, paralysis, and even death. Physicians may misuse or ineffectively use our products, which may result in unsatisfactory patient outcomes or patient injury. In addition, if longer-term patient results and experience indicate that our products or any component of a product cause tissue damage, motor impairment, or other adverse effects, we could be subject to significant liability.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are subject to environmental laws and regulations that can impose significant costs and expose us to potential financial liabilities.</w:t>
      </w:r>
    </w:p>
    <w:p>
      <w:pPr>
        <w:pStyle w:val="TextBody"/>
        <w:bidi w:val="0"/>
        <w:spacing w:lineRule="auto" w:line="288" w:before="0" w:after="240"/>
        <w:ind w:left="0" w:right="0" w:firstLine="540"/>
        <w:jc w:val="both"/>
        <w:rPr/>
      </w:pPr>
      <w:r>
        <w:rPr>
          <w:rFonts w:ascii="Times New Roman;serif" w:hAnsi="Times New Roman;serif"/>
          <w:b w:val="false"/>
          <w:color w:val="000000"/>
          <w:sz w:val="20"/>
        </w:rPr>
        <w:t>The manufacture of certain of our products, including our implants and products, and the handling of materials used in the product testing process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We own and operate certain x-ray equipment at our facilities which requires adoption of a radiation safety plan.</w:t>
      </w:r>
      <w:r>
        <w:rPr>
          <w:color w:val="000000"/>
        </w:rPr>
        <w:t xml:space="preserve"> </w:t>
      </w:r>
      <w:r>
        <w:rPr>
          <w:rFonts w:ascii="Times New Roman;serif" w:hAnsi="Times New Roman;serif"/>
          <w:b w:val="false"/>
          <w:color w:val="000000"/>
          <w:sz w:val="20"/>
        </w:rPr>
        <w:t>Our failure to follow such safety plan or otherwise use this equipment properly could be hazardous to our employees and expose us to liability as the employer.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Certain of the products we market are derived from human tissue and are or could be subject to additional regulations and requirements.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iFuse INTRA/INTRA X implants are derived from human bone tissue, and as a result are subject to FDA and certain state regulations regarding human cells, tissues and cellular or tissue-based products, or HCT/Ps. Currently, our iFuse INTRA/INTRA X implants are manufactured and distributed by a third-party as HCT/P products, and are regulated under Section 361 of the Public Health Service Act; as such, neither we nor the tissue bank from which we obtain these products have been required to file a 510(k) with respect to these products. However, the FDA could require the tissue bank from which we obtain these products to obtain a 510(k) clearance for future tissue products not regulated as 361 HCT/Ps. The process of obtaining a 510(k) clearance could take time and consume resources, and failing to receive such a clearance would render us unable to market and sell such products, which could have a material and adverse effect on our business.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procurement of certain human organs and tissue for transplantation is subject to the National Organ Transplant Act ("NOTA"), which prohibits the transfer of certain human organs, including skin and related tissue, for valuable consideration, but permits the reasonable payment for costs associated with the removal, transportation, implantation, processing, preservation, quality control, and storage of human tissue and skin. We reimburse tissue banks for their expenses associated with the recovery, storage, and transportation of donated human tissue they provide to use for processing. We include in our pricing structure amounts paid to tissue banks to reimburse them for their expenses associated with the recovery and transportation of the tissue, in addition to certain costs associated with processing, preservation, quality control, and storage of the tissue, marketing and medical education expenses, and costs associated with development of tissue processing technologies. NOTA payment allowances may be interpreted to limit the amount of costs and expenses we can recover in our pricing for our products, thereby reducing our future revenue and profitability. If we were to be found to have violated NOTA's prohibition on the sale or transfer of human tissue for valuable consideration, we would potentially be subject to criminal enforcement sanctions, which could materially and adversely affect our results of operations.</w:t>
      </w:r>
    </w:p>
    <w:p>
      <w:pPr>
        <w:pStyle w:val="TextBody"/>
        <w:bidi w:val="0"/>
        <w:spacing w:before="0" w:after="24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99085"/>
                <wp:effectExtent l="0" t="0" r="0" b="0"/>
                <wp:wrapNone/>
                <wp:docPr id="54" name="Frame5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as of December 31, 2025, we are licensed or have permits for tissue banking in California and Maryland, and to the extent that we conduct any tissue banking activities, we may be subject to ongoing compliance requirements in connection with such approvals. If we (to the extent that we conduct any tissue banking activities) or the tissue bank from which we obtain these products fail to comply with such state licensure requirements, or any others that may apply to us, we could be subject to significant penalties, including the revocation or suspension of the licenses or subject us to plans of correction, monitoring, or other restrictions that may curtail our business.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pStyle w:val="TextBody"/>
        <w:bidi w:val="0"/>
        <w:spacing w:lineRule="auto" w:line="288" w:before="0" w:after="24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rely primarily on patent, copyright, trademark and trade secret laws, as well as confidentiality and nondisclosure agreements and other methods, to protect our proprietary technologies and know-how. </w:t>
      </w:r>
    </w:p>
    <w:p>
      <w:pPr>
        <w:pStyle w:val="TextBody"/>
        <w:bidi w:val="0"/>
        <w:spacing w:lineRule="auto" w:line="288" w:before="0" w:after="24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December 31, 2025, we owned 49 issued U.S. patents and had 24 pending U.S. patent applications, and we owned 23 issued foreign patents and had 23 pending foreign patent applications. We have focused the majority of our foreign patent efforts in Australia, Europe, and Japan. Our U.S. patents on iFuse, including the triangular shape, are expected to expire by August 2028. Our current U.S. patents on iFuse 3D, including the fenestrated design, are expected to expire in September 2035. Our current U.S. patents on the triangular cutting tool used to place our implants are expected to expire in February 2034. Our current U.S. patents on iFuse Bedrock Granite are expected to expire in February 2039. Our current U.S. patents on iFuse TORQ are expected to expire in February 2041. Our current foreign patents are expected to expire by September 2035. Competitors may be able to market similar products upon the expiration of relevant patents.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have 24 registered trademarks in the United States and have three pending trademark applications in the United States. We have registrations for 24 of these trademarks in 58 countries including the 27 European Union member countries.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applied for patent protection relating to certain existing and proposed products and processes. While we generally apply for patents in those countries where we intend to make, have made, use, or sell our products, we may not accurately predict all of the countries where patent protection will ultimately be desirable. If we fail to timely file a patent application in any such country, we may be precluded from doing so at a later date. Furthermore, we cannot assure investors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that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the United States, effective enforcement in those countries may not be available. Since most of our issued patents are for the United States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rely on our trademarks, trade names and brand names to distinguish our products from the products of our competitors and have registered or applied to register many of these trademarks. We cannot assure investors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investors that competitors will not infringe upon our trademarks, or that we will have adequate resources to enforce our trademarks.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99085"/>
                <wp:effectExtent l="0" t="0" r="0" b="0"/>
                <wp:wrapNone/>
                <wp:docPr id="55" name="Frame5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may be subject to damages resulting from claims that we, our employees, or our third-party sales agents or resellers have wrongfully used or disclosed alleged trade secrets of our competitors or are in breach of non-competition or non-solicitation agreements with our competitors.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Many of our employees were previously employed at other medical device companies, including our competitors or potential competitors, in some cases until recently. Some of our third-party sales agents or resellers sell, or in the past have sold, products of our competitors. We may be subject to claims that we, our employees, or our third-party sales agents or resellers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occur,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commercial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 or defending a patent infringement lawsuit.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99085"/>
                <wp:effectExtent l="0" t="0" r="0" b="0"/>
                <wp:wrapNone/>
                <wp:docPr id="56" name="Frame5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we generally indemnify our customers and third-party sales agents and resellers with respect to infringement by our products of the proprietary rights of third parties. Third parties may assert infringement claims against our customers or third-party sales agents and resellers. These claims may require us to initiate or defend protracted and costly litigation on behalf of our customers or third-party sales agents and resellers, regardless of the merits of these claims. Such claims may in some instances require us to advance or indemnify the customer, sales agent or reseller for the cost of the defense, regardless of the plaintiff's ultimate success in the matter. If any of these claims succeed, we may be forced to pay damages on behalf of our customers or third-party sales agents and resellers or may be required to obtain licenses to intellectual property owned by such third parties. If we cannot obtain all necessary licenses on commercially reasonable terms, our customers and third-party sales agents and resellers may be forced to stop using or selling our products.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Risks Related to Ownership of Our Common Stock</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price of our common stock may be volatile, and the value of an investment in our common stock could decline.</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Medical device stocks have historically experienced volatility, and the trading price of our common stock may fluctuate substantially. These fluctuations could cause our stockholders to lose all or part of their investment in our common stock. Factors that could cause fluctuations in the trading price of our common stock include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changes in interest rates, tariff policy, investor risk appetite and other macroeconomic factors impacting the market for securities issued by medical device companies;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risk of inflation, interest rate increases, economic downturn or instability and other macroeconomic factors impacting patients’ economic ability and likelihood of undergoing elective procedures, whether real or as perceived by investors;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actual or anticipated changes or fluctuations in our results of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impact of infectious diseases, and measures taken to combat them, on our business;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results of our clinical trials and that of our competitors’ products;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regulatory actions with respect to our products or our competitor’s products;</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announcements of new offerings, products, services or technologies, commercial relationships, acquisitions, or other events by us or our competitors;</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 xml:space="preserve">price and volume fluctuations in the overall stock market from time to time; </w:t>
      </w:r>
    </w:p>
    <w:p>
      <w:pPr>
        <w:pStyle w:val="TextBody"/>
        <w:bidi w:val="0"/>
        <w:spacing w:lineRule="auto" w:line="288" w:before="0" w:after="120"/>
        <w:ind w:left="0" w:right="0" w:hanging="360"/>
        <w:jc w:val="both"/>
        <w:rPr>
          <w:color w:val="000000"/>
        </w:rPr>
      </w:pPr>
      <w:r>
        <w:rPr>
          <w:color w:val="000000"/>
        </w:rPr>
        <w:t>•    </w:t>
      </w:r>
      <w:r>
        <w:rPr>
          <w:rFonts w:ascii="Times New Roman;serif" w:hAnsi="Times New Roman;serif"/>
          <w:b w:val="false"/>
          <w:color w:val="000000"/>
          <w:sz w:val="20"/>
        </w:rPr>
        <w:t>significant volatility in the market price and trading volume of healthcare companies, in general, and of companies in the medical device industry in particular;</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fluctuations in the trading volume of our shares or the size of our public float;</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negative publicity;</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whether our results of operations meet the expectations of securities analysts or investors or those expectations change;</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litigation involving us, our industry, or both;</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regulatory developments in the United States, foreign countries, or both;</w:t>
      </w:r>
    </w:p>
    <w:p>
      <w:pPr>
        <w:pStyle w:val="TextBody"/>
        <w:bidi w:val="0"/>
        <w:spacing w:lineRule="auto" w:line="288" w:before="0" w:after="120"/>
        <w:ind w:left="0" w:right="0" w:hanging="360"/>
        <w:jc w:val="left"/>
        <w:rPr/>
      </w:pPr>
      <w:r>
        <w:rPr>
          <w:color w:val="000000"/>
        </w:rPr>
        <w:t>•    </w:t>
      </w:r>
      <w:r>
        <w:rPr>
          <w:rFonts w:ascii="Times New Roman;serif" w:hAnsi="Times New Roman;serif"/>
          <w:b w:val="false"/>
          <w:color w:val="000000"/>
          <w:sz w:val="20"/>
        </w:rPr>
        <w:t>lock-up releases and sales of large blocks of our common stock;</w:t>
      </w:r>
      <w:r>
        <w:rPr>
          <w:color w:val="000000"/>
        </w:rPr>
        <w:t> </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additions or departures of key employees or scientific personnel; and</w:t>
      </w:r>
    </w:p>
    <w:p>
      <w:pPr>
        <w:pStyle w:val="TextBody"/>
        <w:bidi w:val="0"/>
        <w:spacing w:lineRule="auto" w:line="288" w:before="0" w:after="120"/>
        <w:ind w:left="0" w:right="0" w:hanging="360"/>
        <w:jc w:val="left"/>
        <w:rPr>
          <w:color w:val="000000"/>
        </w:rPr>
      </w:pPr>
      <w:r>
        <w:rPr>
          <w:color w:val="000000"/>
        </w:rPr>
        <w:t>•    </w:t>
      </w:r>
      <w:r>
        <w:rPr>
          <w:rFonts w:ascii="Times New Roman;serif" w:hAnsi="Times New Roman;serif"/>
          <w:b w:val="false"/>
          <w:color w:val="000000"/>
          <w:sz w:val="20"/>
        </w:rPr>
        <w:t>general economic conditions and trends.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if the market for healthcare stocks or the stock market, in general, experience a further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sales volumes and our operating results may fluctuate over the course of the year, which could affect the price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99085"/>
                <wp:effectExtent l="0" t="0" r="0" b="0"/>
                <wp:wrapNone/>
                <wp:docPr id="57" name="Frame5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experienced and continue to experience meaningful variability in our sales and gross profit from quarter to quarter, as well as within each quarter. Our sales and results of operations will be affected by numerous factors, including, among other things: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payor coverage and reimbursement;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number of products sold in the quarter and our ability to drive increased sales of our products;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establish and maintain an effective and dedicated sales force;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pricing pressure applicable to our products, including adverse third-party coverage and reimbursement outcomes;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impact of infectious disease outbreaks on our business;</w:t>
      </w:r>
      <w:r>
        <w:rPr>
          <w:color w:val="000000"/>
        </w:rPr>
        <w:t xml:space="preserve">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results of clinical research and trials on our existing products and products in development;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mix of our products sold because profit margins differ amongst our products;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timing of new product offerings, acquisitions, licenses or other significant events by us or our competitors;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ability of our suppliers to timely provide us with an adequate supply of materials and components;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evolving product offerings of our competitors;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demand for, and pricing of, our products and the products of our competitors;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factors that may affect the sale of our products, including seasonality and budgets of our customers;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domestic and international regulatory clearances or approvals, or CE Certificates of Conformity, and legislative changes affecting the products we may offer or those of our competitors;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interruption in the manufacturing or distribution of our products;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effect of competing technological, industry and market developments;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our ability to expand the geographic reach of our sales and marketing efforts;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costs of maintaining adequate insurance coverage, including product liability insurance;</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availability and cost of components and materials;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number of selling days in the quarter;</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fluctuation in foreign currency exchange rates;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impairment and other special charges.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Some of the products we may seek to develop and introduce in the future will require FDA clearance or approval before commercialization in the United States, and commercialization of such products outside of the United States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We may be unable to utilize our federal and state net operating loss carryforwards to reduce our income taxes.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net operating loss (“NOL”) carryforwards of $357.0 million and $274.4 million available to reduce future taxable income, if any, for U.S. federal income tax and state income tax purposes, respectively. If not utilized, our federal NOL carryforwards begin to expire in 2029. Our state NOL began to expire in 2025. Unused U.S. federal NOLs generated in tax years beginning after December 31, 2017, will not expire and may be carried forward indefinitely, but the deductibility of such federal NOL is limited to 80% of taxable income. At the state level, there may be periods during which the use of NOL is suspended or otherwise limited. For example, California imposed limits on the usability of California state net operating losses to offset taxable income in tax years beginning after 2023 and before 2027. In addition, under Section 382 of the Code, and corresponding provisions of state law, if a corporation undergoes an “ownership change,” which generally occurs if the percentage of the corporation’s stock owned by 5% stockholders increases by more than 50% over a three-year period, the corporation’s ability to use its pre-change NOL carryforwards and other pre-change tax attributes to offset its post-change income may be limited. We updated our Section 382 ownership change analysis through December 31, 2020. The analysis determined that we have experienced Section 382 ownership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99085"/>
                <wp:effectExtent l="0" t="0" r="0" b="0"/>
                <wp:wrapNone/>
                <wp:docPr id="58" name="Frame5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changes in 2010 and 2020. A total of $1.4 million of our NOLs and tax credit carryforwards are subject to limitation as a result of the ownership change. </w:t>
      </w:r>
    </w:p>
    <w:p>
      <w:pPr>
        <w:pStyle w:val="TextBody"/>
        <w:bidi w:val="0"/>
        <w:spacing w:lineRule="auto" w:line="288" w:before="0" w:after="240"/>
        <w:jc w:val="left"/>
        <w:rPr/>
      </w:pPr>
      <w:r>
        <w:rPr>
          <w:rFonts w:ascii="Times New Roman;serif" w:hAnsi="Times New Roman;serif"/>
          <w:b/>
          <w:i/>
          <w:color w:val="000000"/>
          <w:sz w:val="20"/>
        </w:rPr>
        <w:t>Our charter documents</w:t>
      </w:r>
      <w:r>
        <w:rPr>
          <w:color w:val="000000"/>
          <w:shd w:fill="FFFFFF" w:val="clear"/>
        </w:rPr>
        <w:t xml:space="preserve"> </w:t>
      </w:r>
      <w:r>
        <w:rPr>
          <w:rFonts w:ascii="Times New Roman;serif" w:hAnsi="Times New Roman;serif"/>
          <w:b/>
          <w:i/>
          <w:color w:val="000000"/>
          <w:sz w:val="20"/>
          <w:shd w:fill="FFFFFF" w:val="clear"/>
        </w:rPr>
        <w:t>and Delaware law could discourage takeover attempts and lead to management entrenchment.</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pStyle w:val="TextBody"/>
        <w:bidi w:val="0"/>
        <w:spacing w:lineRule="auto" w:line="288" w:before="0" w:after="240"/>
        <w:ind w:left="0" w:right="0" w:hanging="360"/>
        <w:jc w:val="both"/>
        <w:rPr>
          <w:color w:val="000000"/>
        </w:rPr>
      </w:pPr>
      <w:r>
        <w:rPr>
          <w:color w:val="000000"/>
        </w:rPr>
        <w:t>•    </w:t>
      </w:r>
      <w:r>
        <w:rPr>
          <w:rFonts w:ascii="Times New Roman;serif" w:hAnsi="Times New Roman;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88" w:before="0" w:after="240"/>
        <w:ind w:left="0" w:right="0" w:hanging="360"/>
        <w:jc w:val="both"/>
        <w:rPr>
          <w:color w:val="000000"/>
        </w:rPr>
      </w:pPr>
      <w:r>
        <w:rPr>
          <w:color w:val="000000"/>
        </w:rPr>
        <w:t>•    </w:t>
      </w:r>
      <w:r>
        <w:rPr>
          <w:rFonts w:ascii="Times New Roman;serif" w:hAnsi="Times New Roman;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pStyle w:val="TextBody"/>
        <w:bidi w:val="0"/>
        <w:spacing w:lineRule="auto" w:line="288" w:before="0" w:after="240"/>
        <w:ind w:left="0" w:right="0" w:hanging="360"/>
        <w:jc w:val="both"/>
        <w:rPr>
          <w:color w:val="000000"/>
        </w:rPr>
      </w:pPr>
      <w:r>
        <w:rPr>
          <w:color w:val="000000"/>
        </w:rPr>
        <w:t>•    </w:t>
      </w:r>
      <w:r>
        <w:rPr>
          <w:rFonts w:ascii="Times New Roman;serif" w:hAnsi="Times New Roman;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88" w:before="0" w:after="240"/>
        <w:ind w:left="0" w:right="0" w:hanging="360"/>
        <w:jc w:val="both"/>
        <w:rPr>
          <w:color w:val="000000"/>
        </w:rPr>
      </w:pPr>
      <w:r>
        <w:rPr>
          <w:color w:val="000000"/>
        </w:rPr>
        <w:t>•    </w:t>
      </w:r>
      <w:r>
        <w:rPr>
          <w:rFonts w:ascii="Times New Roman;serif" w:hAnsi="Times New Roman;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0" w:after="240"/>
        <w:ind w:left="0" w:right="0" w:hanging="360"/>
        <w:jc w:val="both"/>
        <w:rPr>
          <w:color w:val="000000"/>
        </w:rPr>
      </w:pPr>
      <w:r>
        <w:rPr>
          <w:color w:val="000000"/>
        </w:rPr>
        <w:t>•    </w:t>
      </w:r>
      <w:r>
        <w:rPr>
          <w:rFonts w:ascii="Times New Roman;serif" w:hAnsi="Times New Roman;serif"/>
          <w:b w:val="false"/>
          <w:color w:val="000000"/>
          <w:sz w:val="20"/>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pStyle w:val="TextBody"/>
        <w:bidi w:val="0"/>
        <w:spacing w:lineRule="auto" w:line="288" w:before="0" w:after="240"/>
        <w:ind w:left="0" w:right="0" w:hanging="360"/>
        <w:jc w:val="both"/>
        <w:rPr>
          <w:color w:val="000000"/>
        </w:rPr>
      </w:pPr>
      <w:r>
        <w:rPr>
          <w:color w:val="000000"/>
        </w:rPr>
        <w:t>•    </w:t>
      </w:r>
      <w:r>
        <w:rPr>
          <w:rFonts w:ascii="Times New Roman;serif" w:hAnsi="Times New Roman;serif"/>
          <w:b w:val="false"/>
          <w:color w:val="000000"/>
          <w:sz w:val="20"/>
        </w:rPr>
        <w:t>the requirement for the affirmative vote of holders of at least 66 2/3%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pStyle w:val="TextBody"/>
        <w:bidi w:val="0"/>
        <w:spacing w:lineRule="auto" w:line="288" w:before="0" w:after="240"/>
        <w:ind w:left="0" w:right="0" w:hanging="360"/>
        <w:jc w:val="both"/>
        <w:rPr/>
      </w:pPr>
      <w:r>
        <w:rPr>
          <w:color w:val="000000"/>
        </w:rPr>
        <w:t>•    </w:t>
      </w:r>
      <w:r>
        <w:rPr>
          <w:rFonts w:ascii="Times New Roman;serif" w:hAnsi="Times New Roman;serif"/>
          <w:b w:val="false"/>
          <w:color w:val="000000"/>
          <w:sz w:val="20"/>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r>
        <w:rPr>
          <w:color w:val="000000"/>
        </w:rPr>
        <w:t>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We regularly review these defensive provisions with our Board of Directors and our larger stockholders but have thus far elected not to remove any of these provisions as we believe they enable our Board of Directors to plan and manage the business with a longer time horizon in mind. The existence of these provisions could negatively affect the price of our common stock and limit opportunities for our stockholders to realize value in a corporate transaction.</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amended and restated certificate of incorporation provides that the Court of Chancery of the State of Delaware and the U.S. federal district courts are the exclusive forums for substantially all disputes between us and our stockholders, which restricts our stockholders’ ability to bring a lawsuit against us or our directors, officers, or employees in jurisdictions other than Delaware and federal district courts.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99085"/>
                <wp:effectExtent l="0" t="0" r="0" b="0"/>
                <wp:wrapNone/>
                <wp:docPr id="59" name="Frame5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amended and restated certificate of incorporation provides that the Court of Chancery of the State of Delaware is the exclusive forum for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 would not apply to suits brought to enforce a duty or liability created by the Exchange Act. This choice of forum provision may limit a stockholder's ability to bring a claim in a judicial forum that it finds favorable for these types of disputes with us or our directors, officers, or other employees.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amended and restated certificate of incorporation also provides that the U.S. federal district courts are the exclusive forum for resolving any complaint asserting a cause of action arising under the Securities Act. </w:t>
      </w:r>
    </w:p>
    <w:p>
      <w:pPr>
        <w:pStyle w:val="TextBody"/>
        <w:bidi w:val="0"/>
        <w:spacing w:lineRule="auto" w:line="288" w:before="0" w:after="240"/>
        <w:jc w:val="both"/>
        <w:rPr/>
      </w:pPr>
      <w:r>
        <w:rPr>
          <w:rFonts w:ascii="Times New Roman;serif" w:hAnsi="Times New Roman;serif"/>
          <w:b/>
          <w:i/>
          <w:color w:val="000000"/>
          <w:sz w:val="20"/>
        </w:rPr>
        <w:t>Adverse developments affecting the banking industry or the broader financial services industry, such as actual events or concerns involving liquidity, defaults or non-performance, could adversely affect our operations and liquidity</w:t>
      </w:r>
      <w:r>
        <w:rPr>
          <w:rFonts w:ascii="Times New Roman;serif" w:hAnsi="Times New Roman;serif"/>
          <w:b/>
          <w:i/>
          <w:color w:val="008080"/>
          <w:sz w:val="24"/>
        </w:rPr>
        <w:t>.</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Actual events involving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liquidity problems. For example, on March 10, 2023, Silicon Valley Bank, a California corporation ("SVB"), was closed by the California Department of Financial Protection and Innovation, which appointed the Federal Deposit Insurance Corporation ("FDIC"), as receiver.</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Although a statement by the U.S. Department of the Treasury, the Federal Reserve and the FDIC stated that all depositors of SVB would have access to all of their money after only one business day following the date of closure and we and other depositors with SVB received such access on March 13, 2023, uncertainty and liquidity concerns in the broader financial services industry remain. Inflation and rapid increases in interest rates have led to a decline in the trading value of previously issued government securities with interest rates below current market interest rates. The U.S. Department of Treasury, FDIC and Federal Reserve Board announced a program to provide up to $25 billion of loans to financial institutions secured by such government securities held by financial institutions to mitigate the risk of potential losses on the sale of such instruments. However, widespread demands for customer withdrawals or other needs of financial institutions for immediate liquidity may exceed the capacity of such program. There is no guarantee that the U.S. Department of Treasury, FDIC and Federal Reserve Board will provide access to uninsured funds in the future in the event of the closure of other banks or financial institutions in a timely fashion or at all.</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access to our cash and cash equivalents in amounts adequate to finance our operations could be significantly impaired by the financial institutions with which we have arrangements directly facing liquidity constraints or failures. 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material decline in available funding or our ability to access our cash and cash equivalents could adversely impact our ability to meet our operating expenses, result in breaches of our contractual obligations or result in violations of federal or state wage and hour laws, any of which could have material adverse impacts on our operations and liquidity.</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if any parties with whom we conduct business are unable to access funds held in uninsured deposit accounts or pursuant to lending arrangements with a financial institution that is placed in receivership by the FDIC, such parties’ ability to pay their obligations to us or to enter into new commercial arrangements requiring additional payments to us could be adversely affected.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loan and security agreement contains covenants that may restrict our business and financing activities.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Loan and Security Agreement (as amended, the "Amended Loan Agreement") with Silicon Valley Bank, a division of First-Citizens Bank &amp; Trust Company (“First-Citizens”) contains customary events of default, including bankruptcy, the failure to make payments when due, the occurrence of a material impairment on First-Citizens security interest over the collateral, a material adverse change, the occurrence of a default under certain other indebtedness incurred by us or our subsidiaries, the rendering of certain types of judgments against us and our subsidiaries, the revocation of certain government approvals, violation of covenants, and incorrectness of representations and warranties in any material respect.</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Amended Loan Agreement is secured by substantially all our assets other than our intellectual property, which intellectual property is subject to a negative pledge under the terms of the Amended Loan Agreement. The Amended Loan Agreement includes affirmative and negative covenants applicable to us and certain of our foreign subsidiaries. The affirmative covenants include, among others, covenants requiring us to maintain our legal existence and governmental compliance, deliver certain financial reports, and maintain insurance coverage. The negative covenants include, among others, restrictions regarding transferring collateral, pledging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99085"/>
                <wp:effectExtent l="0" t="0" r="0" b="0"/>
                <wp:wrapNone/>
                <wp:docPr id="60" name="Frame6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intellectual property to other parties, engaging in mergers or acquisitions, paying dividends or making other distributions, incurring indebtedness, transacting with affiliates, and entering into certain investments, in each case subject to certain exceptions.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covenants in the Amended Loan Agreement, as well as any future financing agreements that we may enter into, may restrict our ability to finance our operations, engage in, expand, or otherwise pursue our business activities and strategies. Our ability to comply with these covenants may be affected by events beyond our control, and future breaches of any of these covenants could result in a default under our credit facility agreements. If not waived, future defaults could cause all of the outstanding indebtedness under the Amended Loan Agreement to become immediately due and payable.</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Our ability to access credit on favorable terms, if necessary, for the funding of our operations and capital projects may be limited due to changes in credit markets.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past, the credit markets and the financial services industry have experienced disruption characterized by the bankruptcy, failure, collapse or sale of various financial institutions, increased volatility in securities prices, diminished liquidity and credit availability and intervention from the U.S. and other governments. Continued concerns about the systemic impact of potential long-term or widespread downturn, energy costs, geopolitical issues, tariff policy and potential trade wars, the availability and cost of credit, the global commercial and residential real estate markets and related mortgage markets and reduced consumer confidence have contributed to increased market volatility. The cost and availability of credit has been and may continue to be adversely affected by these conditions. We cannot be certain that funding for our capital needs will be available from our existing financial institutions and the credit markets if needed, and if available, to the extent required and on acceptable terms. On August 12, 2021, we entered into a Loan and Security Agreement with Silicon Valley Bank ("SVB"), a division of First-Citizens Bank &amp; Trust Company (“First-Citizens”) (the "Original Loan Agreement"). On January 6, 2023, we entered into a First Amendment to the Loan and Security Agreement with SVB (the "First Amendment Loan Agreement"). On January 25, 2024, we entered into a Second Amendment to the Loan and Security Agreement with SVB (the "Second Amendment Loan Agreement"). On November 8, 2024, we entered into a Third Amendment to the Loan and Security Agreement with SVB (the "Third Amendment Loan Agreement"). On September 25, 2025, we entered into a Fourth Amendment to Loan and Security Agreement (the “Fourth Amendment Loan Agreement”) with SVB, which amends our Original Loan Agreement, as amended by the First Amendment Loan Agreement, Second Amendment Loan Agreement and Third Amendment Loan Agreement. The Third Amendment Term Loan extended by First-Citizens to us pursuant to the Third Amended Loan Agreement terminates and matures on September 1, 2029, and if we cannot renew or refinance this Third Amendment Term Loan, if needed at such time, or obtain funding when needed, in each case on acceptable terms, such conditions may have an adverse effect on our ability to operate our business. The Fourth Amendment Loan Agreement revised the periods in which the financial covenants applied. See “Note 7. Borrowings” to the “Notes to Consolidated Financial Statements” included in this report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Risk management and strategy</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the importance of protecting our critical information technology (“IT”) systems and data from material risks from cybersecurity threats. Risk management for cybersecurity threats is integrated into our overall enterprise risk management system. We consider cybersecurity risks alongside other business risks. Our risk management framework includes risk assessments, internal controls, and systems monitoring mechanisms. We have implemented and maintain various processes designed to assess, identify, and manage material risks from cybersecurity threats to our IT systems and critical data, including intellectual property, confidential information, that is proprietary, strategic or competitive in nature, health and medical data, clinical trial data, and personal data (“Information Systems and Data”). Third parties also play a role in our cybersecurity efforts. We engage third-party services to assist us from time to time to identify, assess, and manage material risks from cybersecurity threats, including for example through penetration testing, independent audits or consulting on practices to address new challenges. We conduct audits and evaluations of our IT infrastructure, network architecture, and software applications to help us identify vulnerabilities, potential entry points, and areas for improvement. We perform assessments considering principles from the National Institute of Standards and Technology Cybersecurity Framework and by using an external third-party security assessor from time to time.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99085"/>
                <wp:effectExtent l="0" t="0" r="0" b="0"/>
                <wp:wrapNone/>
                <wp:docPr id="61" name="Frame6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Depending on the environment, systems, and data, we employ strategies and practices designed to protect and mitigate cybersecurity material risks to our Information Systems and Data, including but not limited to:</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utilizing third-party tools to monitor threats and cybersecurity vulnerabilities, reduce risk, and enhance governance, risk, and compliance management;</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engaging a managed cybersecurity service provider to monitor and assess cybersecurity threats, serve as a point of contact for incident notification, and collaborate with our in-house IT team;</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 xml:space="preserve">maintaining security policies, procedures, and standards considering evolving threats and industry standards; </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engaging external subject matter experts and advisors to inform us of current cyber practices, policies, and programs;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conducting tabletop exercises focused on scenarios such as ransomware, disaster recovery, and business continuity;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providing mandatory annual security and privacy awareness training to all employees who have access to company email and connected devices;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conducting phishing simulations and cyber hygiene training sessions to educate employees and promote responsible cybersecurity practices; and</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maintaining an incident response plan.</w:t>
      </w:r>
    </w:p>
    <w:p>
      <w:pPr>
        <w:pStyle w:val="TextBody"/>
        <w:bidi w:val="0"/>
        <w:spacing w:lineRule="auto" w:line="288" w:before="0" w:after="240"/>
        <w:ind w:left="0" w:right="0" w:firstLine="540"/>
        <w:jc w:val="both"/>
        <w:rPr/>
      </w:pPr>
      <w:r>
        <w:rPr>
          <w:rFonts w:ascii="Times New Roman;serif" w:hAnsi="Times New Roman;serif"/>
          <w:b w:val="false"/>
          <w:color w:val="000000"/>
          <w:sz w:val="20"/>
        </w:rPr>
        <w:t>We have established an incident response team, which is led by our IT, legal, and compliance leaders and is comprised of stakeholders from various departments in the Company.</w:t>
      </w:r>
      <w:r>
        <w:rPr>
          <w:color w:val="000000"/>
        </w:rPr>
        <w:t xml:space="preserve"> </w:t>
      </w:r>
      <w:r>
        <w:rPr>
          <w:rFonts w:ascii="Times New Roman;serif" w:hAnsi="Times New Roman;serif"/>
          <w:b w:val="false"/>
          <w:color w:val="000000"/>
          <w:sz w:val="20"/>
        </w:rPr>
        <w:t xml:space="preserve">A designated member from our IT team is responsible for conducting incident assessments, determining severity levels, informing relevant stakeholder, such as the incident response team and senior management, and maintaining documentation of the remediation activity.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of a security incident, our incident response processes are designed to escalate certain cybersecurity incidents to senior leadership, the audit committee and the board of directors, as deemed appropriate. </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Governance</w:t>
      </w:r>
    </w:p>
    <w:p>
      <w:pPr>
        <w:pStyle w:val="TextBody"/>
        <w:bidi w:val="0"/>
        <w:spacing w:lineRule="auto" w:line="288" w:before="0" w:after="240"/>
        <w:ind w:left="0" w:right="0" w:firstLine="540"/>
        <w:jc w:val="both"/>
        <w:rPr/>
      </w:pPr>
      <w:r>
        <w:rPr>
          <w:rFonts w:ascii="Times New Roman;serif" w:hAnsi="Times New Roman;serif"/>
          <w:b w:val="false"/>
          <w:color w:val="000000"/>
          <w:sz w:val="20"/>
        </w:rPr>
        <w:t>Our audit committee is responsible for overseeing our cybersecurity risk management processes, including regarding cybersecurity threats.</w:t>
      </w:r>
      <w:r>
        <w:rPr>
          <w:color w:val="000000"/>
        </w:rPr>
        <w:t xml:space="preserve"> </w:t>
      </w:r>
      <w:r>
        <w:rPr>
          <w:rFonts w:ascii="Times New Roman;serif" w:hAnsi="Times New Roman;serif"/>
          <w:b w:val="false"/>
          <w:color w:val="000000"/>
          <w:sz w:val="20"/>
        </w:rPr>
        <w:t>Our Chief Operating Officer and CFO, Anshul Maheshwari, and Vice President of Information Technology, Michael Vedda, provide briefings to our audit committee on the effectiveness and progress of our cybersecurity risk management program on regular basis.</w:t>
      </w:r>
      <w:r>
        <w:rPr>
          <w:color w:val="000000"/>
        </w:rPr>
        <w:t xml:space="preserve"> </w:t>
      </w:r>
      <w:r>
        <w:rPr>
          <w:rFonts w:ascii="Times New Roman;serif" w:hAnsi="Times New Roman;serif"/>
          <w:b w:val="false"/>
          <w:color w:val="000000"/>
          <w:sz w:val="20"/>
        </w:rPr>
        <w:t>Mr. Vedda has more than 20 years of experience and engages with trusted third-party experts for support and guidance when additional guidance is required. Prior to joining SI-BONE, he managed cybersecurity functions, where he was responsible for overseeing cybersecurity strategy and operations, including incident response, threat intelligence, security awareness training programs, risk assessments and remediation, and regulatory and compliance matters. Our board of directors receives regular reports from our audit committee chair regarding our cyber risk management programs, potential cybersecurity risks, efforts to mitigate such risks, and the audit committee’s oversight of these activities.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a description of the risks from cybersecurity threats that may materially affect the Company and how they may do so, see Item 1A. “Risk Factors”, including “If we experience significant disruptions in our information technology systems, our business, results of operations, and financial condition could be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0" w:after="240"/>
        <w:ind w:left="0" w:right="0" w:firstLine="540"/>
        <w:jc w:val="both"/>
        <w:rPr/>
      </w:pPr>
      <w:r>
        <w:rPr>
          <w:rFonts w:ascii="Times New Roman;serif" w:hAnsi="Times New Roman;serif"/>
          <w:b w:val="false"/>
          <w:color w:val="000000"/>
          <w:sz w:val="20"/>
          <w:shd w:fill="FFFFFF" w:val="clear"/>
        </w:rPr>
        <w:t xml:space="preserve">Our leased headquarters in Santa Clara, California, comprises approximately 21,848 square feet, and the lease for this space will expire in July 2026. </w:t>
      </w:r>
      <w:r>
        <w:rPr>
          <w:rFonts w:ascii="Times New Roman;serif" w:hAnsi="Times New Roman;serif"/>
          <w:b w:val="false"/>
          <w:color w:val="000000"/>
          <w:sz w:val="20"/>
        </w:rPr>
        <w:t xml:space="preserve">We also lease research and development and warehouse space in another building in Santa Clara, California under a lease that will expire in October 2026. </w:t>
      </w:r>
      <w:r>
        <w:rPr>
          <w:rFonts w:ascii="Times New Roman;serif" w:hAnsi="Times New Roman;serif"/>
          <w:b w:val="false"/>
          <w:color w:val="000000"/>
          <w:sz w:val="20"/>
          <w:shd w:fill="FFFFFF" w:val="clear"/>
        </w:rPr>
        <w:t xml:space="preserve">In February 2026, we entered into a lease agreement for approximately 50,485 square feet of office and warehouse space in San Jose, California, which is expected to commence in October 2026. We intend to use the space for our new corporate headquarters, research and development, and warehouse space, after the current two leases in Santa Clara expire. </w:t>
      </w:r>
    </w:p>
    <w:p>
      <w:pPr>
        <w:pStyle w:val="TextBody"/>
        <w:bidi w:val="0"/>
        <w:spacing w:lineRule="auto" w:line="288" w:before="0" w:after="240"/>
        <w:ind w:left="0" w:right="0" w:firstLine="540"/>
        <w:jc w:val="both"/>
        <w:rPr/>
      </w:pPr>
      <w:r>
        <w:rPr>
          <w:rFonts w:ascii="Times New Roman;serif" w:hAnsi="Times New Roman;serif"/>
          <w:b w:val="false"/>
          <w:color w:val="000000"/>
          <w:sz w:val="20"/>
        </w:rPr>
        <w:t xml:space="preserve">We also lease office spaces in Gallarate, Italy which will expire in August 2027 to accommodate our European sales and marketing team. </w:t>
      </w:r>
      <w:r>
        <w:rPr>
          <w:rFonts w:ascii="Times New Roman;serif" w:hAnsi="Times New Roman;serif"/>
          <w:b w:val="false"/>
          <w:color w:val="000000"/>
          <w:sz w:val="20"/>
          <w:shd w:fill="FFFFFF" w:val="clear"/>
        </w:rPr>
        <w:t xml:space="preserve">We believe our facilities are adequate and suitable for our current needs but in the future we may need additional space.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99085"/>
                <wp:effectExtent l="0" t="0" r="0" b="0"/>
                <wp:wrapNone/>
                <wp:docPr id="62" name="Frame6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may be subject to legal proceedings and claims in the ordinary course of business. We cannot predict the results of any such disputes, and despite the potential outcomes, the existence thereof may have an adverse material impact on us due to diversion of management time and attention as well as the financial costs related to resolving such disputes.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99085"/>
                <wp:effectExtent l="0" t="0" r="0" b="0"/>
                <wp:wrapNone/>
                <wp:docPr id="63" name="Frame6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24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Market Price of Common Stock</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Market under the symbol “SIBN”.</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Holders of Record</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February 18, 2026, we had 99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0" w:after="24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never declared or paid any cash dividends on our capital stock, and we do not currently intend to pay any cash dividends on our capital stock in the foreseeable future.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graph compares the cumulative total stockholder return data on our common stock with the cumulative return of three indices: (i) The Nasdaq Stock Market Composite Index, (ii) The Nasdaq Medical Equipment Index, and (iii) The S&amp;P 500 Healthcare Index over the five-year period ending December 31, 2025. The graph assumes that $100 was invested on December 31, 2020 in our common stock and in each of the comparative indices, and the reinvestment of any dividends. The stock performance on the following graph is not necessarily indicative of future stock price performance.</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graph and related information shall not be deemed "soliciting material" or deemed to be "filed" with the SEC, nor shall such information be incorporated by reference into any future filing, except to the extent that we specifically incorporate it by reference into such filing. </w:t>
      </w:r>
    </w:p>
    <w:p>
      <w:pPr>
        <w:pStyle w:val="TextBody"/>
        <w:bidi w:val="0"/>
        <w:spacing w:before="0" w:after="240"/>
        <w:ind w:left="0" w:right="0" w:firstLine="450"/>
        <w:jc w:val="both"/>
        <w:rPr/>
      </w:pPr>
      <w:r>
        <w:rPr/>
        <w:drawing>
          <wp:inline distT="0" distB="0" distL="0" distR="0">
            <wp:extent cx="5838825" cy="3619500"/>
            <wp:effectExtent l="0" t="0" r="0" b="0"/>
            <wp:docPr id="6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 descr=""/>
                    <pic:cNvPicPr>
                      <a:picLocks noChangeAspect="1" noChangeArrowheads="1"/>
                    </pic:cNvPicPr>
                  </pic:nvPicPr>
                  <pic:blipFill>
                    <a:blip r:embed="rId2"/>
                    <a:stretch>
                      <a:fillRect/>
                    </a:stretch>
                  </pic:blipFill>
                  <pic:spPr bwMode="auto">
                    <a:xfrm>
                      <a:off x="0" y="0"/>
                      <a:ext cx="5838825" cy="3619500"/>
                    </a:xfrm>
                    <a:prstGeom prst="rect">
                      <a:avLst/>
                    </a:prstGeom>
                  </pic:spPr>
                </pic:pic>
              </a:graphicData>
            </a:graphic>
          </wp:inline>
        </w:drawing>
      </w:r>
      <w:bookmarkStart w:id="0" w:name="i-1"/>
      <w:bookmarkEnd w:id="0"/>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99085"/>
                <wp:effectExtent l="0" t="0" r="0" b="0"/>
                <wp:wrapNone/>
                <wp:docPr id="65" name="Frame6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44"/>
        <w:gridCol w:w="601"/>
        <w:gridCol w:w="605"/>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744"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SI-BONE,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 Composite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 Medical Equipment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500 Healthcare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180" w:after="180"/>
        <w:ind w:left="0" w:right="0" w:firstLine="54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99085"/>
                <wp:effectExtent l="0" t="0" r="0" b="0"/>
                <wp:wrapNone/>
                <wp:docPr id="66" name="Frame6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240"/>
        <w:ind w:left="0" w:right="0" w:firstLine="540"/>
        <w:jc w:val="both"/>
        <w:rPr/>
      </w:pPr>
      <w:r>
        <w:rPr>
          <w:rFonts w:ascii="Times New Roman;serif" w:hAnsi="Times New Roman;serif"/>
          <w:b w:val="false"/>
          <w:i/>
          <w:color w:val="000000"/>
          <w:sz w:val="20"/>
        </w:rPr>
        <w:t xml:space="preserve">The following discussion and analysis of our financial condition and results of operations should be read in conjunction with our financial statements and the related notes to those statements included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important factors, including those set forth in the </w:t>
      </w:r>
      <w:r>
        <w:rPr>
          <w:color w:val="000000"/>
        </w:rPr>
        <w:t>“</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i/>
          <w:color w:val="000000"/>
          <w:sz w:val="20"/>
        </w:rPr>
        <w:t>section of this Annual Report on Form 10-K, our actual results could differ materially from the results described in, or implied, by these forward-looking statements.</w:t>
      </w:r>
    </w:p>
    <w:p>
      <w:pPr>
        <w:pStyle w:val="TextBody"/>
        <w:bidi w:val="0"/>
        <w:spacing w:lineRule="auto" w:line="288" w:before="0" w:after="240"/>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The following generally compares our results of operations for the years ended December 31, 2025 and 2024. A detailed discussion comparing our results of operations for the years ended December 31, 2024 and 2023 can be found in Part II, Item 7. “Management’s Discussion and Analysis of Financial Condition and Results of Operations” of our Annual Report on Form 10-K for the year ended December 31, 2024 filed with the SEC on February 25,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a leader in developing innovative procedural solutions for compromised bone, grounded in expertise in biomechanical design and anatomy-specific innovation. As pioneers of minimally invasive treatment for sacroiliac joint dysfunction and degeneration, we developed a deep competency in addressing the challenges of low-density bone in the sacrum. With our additive manufacturing, or 3D-printing, experience developed in sacroiliac fusion, we have established a technology platform that now extends to meet critical unmet needs in thoracolumbar fixation and fusion and pelvic trauma.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market our products primarily with a direct sales force as well as a number of third-party sales agents in the United States, and with a combination of a direct sales force and sales agents in other countries. As of December 31, 2025, more than 140,000 procedures have been performed since we introduced iFuse in 2009.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Factors Affecting Results of Operations and Key Performance Indicators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monitor certain key performance indicators that we believe provide us and our investors indications of conditions that may affect results of our operations. Our revenue growth rate and commercial progress is impacted by, among other things, our key performance indicators, including our ability to expand access to solutions, increase physician penetration, launch new products, address human capital needs and gain operational efficiencies.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Introduce Solutions Addressing New Markets</w:t>
      </w:r>
    </w:p>
    <w:p>
      <w:pPr>
        <w:pStyle w:val="TextBody"/>
        <w:bidi w:val="0"/>
        <w:spacing w:lineRule="auto" w:line="288" w:before="0" w:after="240"/>
        <w:ind w:left="0" w:right="0" w:firstLine="540"/>
        <w:jc w:val="both"/>
        <w:rPr/>
      </w:pPr>
      <w:r>
        <w:rPr>
          <w:rFonts w:ascii="Times New Roman;serif" w:hAnsi="Times New Roman;serif"/>
          <w:b w:val="false"/>
          <w:color w:val="000000"/>
          <w:sz w:val="20"/>
        </w:rPr>
        <w:t>We believe we are the industry leader in pioneering anatomy-specific solutions that are grounded in our biomechanical design expertise and backed by strong clinical evidence. As pioneers of minimally invasive treatment for sacroiliac joint dysfunction and degeneration, we developed a deep competency in addressing the challenges of low-density bone in the sacrum. Over the years, we have expanded our platform of solutions to address spinopelvic fixation and pelvic trauma. Our focus on innovation has resulted in three of our platform technologies being designated as breakthrough devices by the FDA.</w:t>
      </w:r>
      <w:r>
        <w:rPr>
          <w:color w:val="000000"/>
        </w:rPr>
        <w:t xml:space="preserve"> </w:t>
      </w:r>
    </w:p>
    <w:p>
      <w:pPr>
        <w:pStyle w:val="TextBody"/>
        <w:bidi w:val="0"/>
        <w:spacing w:lineRule="auto" w:line="288" w:before="0" w:after="240"/>
        <w:ind w:left="0" w:right="0" w:firstLine="540"/>
        <w:jc w:val="both"/>
        <w:rPr/>
      </w:pPr>
      <w:r>
        <w:rPr>
          <w:rFonts w:ascii="Times New Roman;serif" w:hAnsi="Times New Roman;serif"/>
          <w:b w:val="false"/>
          <w:color w:val="000000"/>
          <w:sz w:val="20"/>
        </w:rPr>
        <w:t>We continue to focus on the development of products and techniques to help physicians improve the treatment of their patients with compromised bone. We continue to invest in research and development initiatives to bring new and differentiated solutions to the market that deliver on our vision of improving patient quality of life through differentiated solutions to target new segments with a clear unmet clinical need. Robust clinical evidence is central to drive adoption and favorable reimbursement, and we remain focused on continuing to set the industry standard in delivering evidence-based care through best-in-class clinical trials that demonstrate the efficacy, safety, and economic benefit of our solutions.</w:t>
      </w:r>
      <w:r>
        <w:rPr>
          <w:color w:val="000000"/>
        </w:rPr>
        <w:t xml:space="preserve"> </w:t>
      </w:r>
      <w:r>
        <w:rPr>
          <w:rFonts w:ascii="Times New Roman;serif" w:hAnsi="Times New Roman;serif"/>
          <w:b w:val="false"/>
          <w:color w:val="000000"/>
          <w:sz w:val="20"/>
        </w:rPr>
        <w:t>In 2025, we spent $17.4 million on research and development, equating to 9% of our 2025 revenue.</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Expand Access to Solutions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we expand our portfolio, the experience, caliber, and strong clinician relationships of our sales force, including our network of third-party sales agents, will be crucial to drive adoption of our future products and procedures. Since our initial public offering in 2018, we have made significant investments in our commercial infrastructure to build a valuable sales team to expand the market, drive physician engagement and deliver revenue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99085"/>
                <wp:effectExtent l="0" t="0" r="0" b="0"/>
                <wp:wrapNone/>
                <wp:docPr id="67" name="Frame6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While we will continue to selectively expand our sales force, we are also focused on increasing our sales managers' capacity and driving sales force productivity by adding more clinical support specialists and implementing hybrid models, including selectively adding third-party sales agents for case coverage, and by placing instrument trays and implants at select sites of service. This expansion of our sales force is one aspect of increasing the overall number of procedures in a given period that we can support with products, which is what we call “surgical capacity.” Our surgical capacity is also limited by the volume of implant inventory and the number of instrument trays held ready for surgery, either at our headquarters facility, forward deployed with our sales force or placed at customer facilities. As we grow, and as adoption of our solutions continues to mature, our overall surgical capacity may become an important driver of the amount of revenue that we can generate.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our U.S. sales force consisted of 89 territory sales managers and 83 clinical support specialists directly employed by us and 320 third-party sales agents, compared to 87 territory sales managers and 71 clinical support specialists directly employed by us and 252 third-party sales agents as of December 31, 2024. As of December 31, 2025, our international sales force consisted of 11 sales representatives directly employed by us and 28 third-party sales agents and resellers, compared to 9 sales representatives directly employed by us and 31 third-party sales agents and resellers as of December 31, 2024.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fiscal year ended December 31, 2025, over 33% of our procedures for sacroiliac joint dysfunction were performed at ASCs and OBLs. With the steady increase in the numbers of minimally invasive procedures, including sacroiliac joint fusion procedures, being performed at ASCs, we continue to actively engage with these facilities to educate their management groups on our clinical evidence, exclusive commercial payor coverage and focus on driving improved education and pathways between pain physicians and surgeons.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Engage and Educate Physicians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Engaging and educating physician and other healthcare professionals about the clinical merits and patient benefits of our solutions is important to growing physician adoption and utilization of our solutions. Our medical affairs team works closely with our sales team to increase physician engagement and activation. Physician activity includes both the number of physicians performing our procedures as well as the number of procedures performed per physician. In addition to training new physicians and working with our existing physician customers to grow their use of our products, we have several initiatives to re-engage inactive physicians.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utilize a combination of hands-on cadaveric and dry-lab training, as well as SI-BONE SImulator - a portable, radiation-free, haptics and computer-based simulator - for training purposes, and optimize our programs to improve adoption rate, time to first case and ultimately physician productivity.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Enhance Employee Experience and Engagement</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recruit, develop and retain highly skilled talent is a significant determinant of our success. To attract, retain, and develop our talent, we seek to create a diverse and inclusive workplace with opportunities for our employees to thrive and advance in their careers. We support this with market-competitive compensation, comprehensive benefits, and health and well-being programs.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ensuring workforce diversity and equitable compensation for our employees, we maintain a strong focus on enhancing employee retention and job satisfaction. To achieve this, we have established a feedback mechanism to continually monitor and respond to employee sentiment. Using this feedback, we deploy strategies that enhance the skills of our people managers and improve internal communications with employees. Furthermore, we provide ongoing learning and leadership training opportunities to support professional growth.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2025, we conducted instructor-led trainings designed to build people leadership capabilities and train managers on delivering actionable feedback. We have also adopted a goal for each of our managers to have regular check-ins with employees to discuss their personal goals and career plans in furtherance of our commitment to career and professional development.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Gain Operational Efficiency</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 support our growing portfolio of solutions, we continue to evolve our business processes to identify, measure and improve operational efficiency. The information developed will allow us to optimize processes, increase sales force productivity and improve asset utilization.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focused on increasing our territory sales managers and sales representatives capacity, efficiency and productivity. We may do this by adding more clinical support specialists and third-party sales agents as part of hybrid arrangements for case coverage, and by consigning instrument trays and implants at selective sites of service. Our average revenue per territory sales manager has increased to approximately $2.1 million in fiscal year 2025, from $1.8 million in fiscal year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99085"/>
                <wp:effectExtent l="0" t="0" r="0" b="0"/>
                <wp:wrapNone/>
                <wp:docPr id="68" name="Frame6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540"/>
        <w:jc w:val="both"/>
        <w:rPr/>
      </w:pPr>
      <w:r>
        <w:rPr>
          <w:rFonts w:ascii="Times New Roman;serif" w:hAnsi="Times New Roman;serif"/>
          <w:b w:val="false"/>
          <w:color w:val="000000"/>
          <w:sz w:val="20"/>
        </w:rPr>
        <w:t>We have made significant investments in instrument trays used to perform surgeries. Our goal is to deploy instrument trays to the market where the demand exists to increase our asset utilization rates over time and use capital more effectively by having our instrument trays used in more surgeries in any given time period. Given supply chain disruptions impacting the industry, we are working closely with our suppliers to reduce lead time for our implants to ensure we can support our expanding physician footprint and over time build the resilience in our supply chain to reduce our cash investment in inventory. Additionally, we are partnering with our suppliers around design for manufacturing, specifically for newer products, to reduce the overall cost of the implants as we scale, and reduce waste and rework.</w:t>
      </w:r>
      <w:r>
        <w:rPr>
          <w:color w:val="000000"/>
        </w:rPr>
        <w:t xml:space="preserve"> </w:t>
      </w:r>
      <w:r>
        <w:rPr>
          <w:rFonts w:ascii="Times New Roman;serif" w:hAnsi="Times New Roman;serif"/>
          <w:b w:val="false"/>
          <w:color w:val="000000"/>
          <w:sz w:val="20"/>
        </w:rPr>
        <w:t>Lastly, we are integrating our demand planning and manufacturing systems, to ensure we leverage actual usage trends as we build surgical capacity to support our growth.</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99085"/>
                <wp:effectExtent l="0" t="0" r="0" b="0"/>
                <wp:wrapNone/>
                <wp:docPr id="69" name="Frame6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Components of Results of Operations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40"/>
        <w:ind w:left="0" w:right="0" w:firstLine="540"/>
        <w:jc w:val="both"/>
        <w:rPr/>
      </w:pPr>
      <w:r>
        <w:rPr>
          <w:rFonts w:ascii="Times New Roman;serif" w:hAnsi="Times New Roman;serif"/>
          <w:b w:val="false"/>
          <w:color w:val="000000"/>
          <w:sz w:val="20"/>
        </w:rPr>
        <w:t>Our revenue from sales of implants fluctuates based on volume of cases (procedures performed), discounts, mix of international and U.S. sales, different implant pricing and the number of implants used for a particular patient. Similar to other orthopedic companies, our case volume can vary from quarter to quarter due to a variety of factors including reimbursement, sales force changes, physician activities, product launches, and seasonality.</w:t>
      </w:r>
      <w:r>
        <w:rPr>
          <w:color w:val="000000"/>
        </w:rPr>
        <w:t xml:space="preserve"> </w:t>
      </w:r>
      <w:r>
        <w:rPr>
          <w:rFonts w:ascii="Times New Roman;serif" w:hAnsi="Times New Roman;serif"/>
          <w:b w:val="false"/>
          <w:color w:val="000000"/>
          <w:sz w:val="20"/>
        </w:rPr>
        <w:t>In addition, our revenue is impacted by changes in average selling price as we respond to the competitive landscape and price differences at different medical facilities, such as hospitals, ASCs and OBLs. Further, revenue results can differ based upon the mix of business between U.S. and international sales mix of our products used, and the sales channel through which each procedure is supported. Our revenue from international sales is impacted by fluctuations in foreign currency exchange rates between the U.S. dollar (our reporting currency) and the local currency.</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business is affected by seasonal variations. For instance, we have historically experienced lower sales in the summer months and higher sales in the last quarter of the fiscal year as patients have more time in the winter months to have the procedure completed or want to take advantage of their annual limits on deductibles, co-payments and other out-of-pocket payments specified in their insurance plans. However, taken as a whole, seasonality does not have a material impact on our financial results from year to year.</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Cost of Goods Sold, Gross Profit, and Gross Margin</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utilize third-party manufacturers for production of our implants and instrument trays. Cost of goods sold consists primarily of costs of the components of implants and instruments, instrument tray depreciation, royalties, scrap and inventory obsolescence, as well as distribution-related expenses such as logistics and shipping costs. Our cost of goods sold has historically increased as case levels increase and from changes in our product mix.</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40"/>
        <w:ind w:left="0" w:right="0" w:firstLine="540"/>
        <w:jc w:val="both"/>
        <w:rPr/>
      </w:pPr>
      <w:r>
        <w:rPr>
          <w:rFonts w:ascii="Times New Roman;serif" w:hAnsi="Times New Roman;serif"/>
          <w:b w:val="false"/>
          <w:color w:val="000000"/>
          <w:sz w:val="20"/>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intend to make investments to execute our strategic plans and operational initiatives. We anticipate certain operating expenses will continue to increase to support our growth.</w:t>
      </w:r>
      <w:r>
        <w:rPr>
          <w:color w:val="000000"/>
        </w:rPr>
        <w:t xml:space="preserve">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Sales and Marketing Expenses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Sales and marketing expenses primarily consist of salaries, stock-based compensation expense, and other compensation related costs, for personnel employed in sales, marketing, medical affairs, reimbursement and professional education departments. In addition, our sales and marketing expenses include commissions and bonuses, generally based on a percentage of sales, as well as certain commission guarantees paid to our senior sales management, territory sales managers, clinical support specialists and third-party sales agents.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expenses primarily consist of engineering, product development, clinical and regulatory expenses (including clinical study expenses), consulting services, outside prototyping services, outside research activities, materials, depreciation, and other costs associated with development of our products. Research and development expenses also include related personnel compensation and stock-based compensation expense. We expense research and development costs as they are incurred.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for engineering projects fluctuate with project timing. Based upon our broader set of product development initiatives and the stage of the underlying projects, we expect to continue to make investments in research and development. As such, we anticipate that research and development expenses will continue to increase in the future.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primarily consist of salaries, stock-based compensation expense, and other costs for finance, accounting, legal, insurance, compliance, and administrative matters.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Interest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99085"/>
                <wp:effectExtent l="0" t="0" r="0" b="0"/>
                <wp:wrapNone/>
                <wp:docPr id="70" name="Frame6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Interest income is primarily related to our investments of excess cash in money market funds and marketable securities.</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is primarily related to borrowings, amortization of debt issuance costs, and accretion of final fees on the First-Citizens Fourth Amended Loan Agreement. </w:t>
      </w:r>
    </w:p>
    <w:p>
      <w:pPr>
        <w:pStyle w:val="TextBody"/>
        <w:bidi w:val="0"/>
        <w:spacing w:lineRule="auto" w:line="288" w:before="0" w:after="240"/>
        <w:jc w:val="both"/>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income (expense), net consists primarily of net foreign exchange gains and losses on foreign transactions.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99085"/>
                <wp:effectExtent l="0" t="0" r="0" b="0"/>
                <wp:wrapNone/>
                <wp:docPr id="71" name="Frame7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 xml:space="preserve">Comparison of the years ended December 31, 2025 and 2024 </w:t>
      </w:r>
    </w:p>
    <w:p>
      <w:pPr>
        <w:pStyle w:val="TextBody"/>
        <w:bidi w:val="0"/>
        <w:spacing w:lineRule="auto" w:line="288" w:before="0" w:after="0"/>
        <w:ind w:left="0" w:right="0" w:firstLine="540"/>
        <w:jc w:val="both"/>
        <w:rPr/>
      </w:pPr>
      <w:r>
        <w:rPr>
          <w:rFonts w:ascii="Times New Roman;serif" w:hAnsi="Times New Roman;serif"/>
          <w:b/>
          <w:i/>
          <w:color w:val="000000"/>
          <w:sz w:val="20"/>
        </w:rPr>
        <w:t>Revenue, Cost of Goods Sold, Gross Profit, and Gross Margin</w:t>
      </w:r>
      <w:r>
        <w:rPr>
          <w:rFonts w:ascii="Times New Roman;serif" w:hAnsi="Times New Roman;serif"/>
          <w:b w:val="false"/>
          <w:color w:val="000000"/>
          <w:sz w:val="20"/>
        </w:rPr>
        <w:t>:</w:t>
      </w:r>
    </w:p>
    <w:tbl>
      <w:tblPr>
        <w:tblW w:w="7398" w:type="dxa"/>
        <w:jc w:val="center"/>
        <w:tblInd w:w="0" w:type="dxa"/>
        <w:tblLayout w:type="fixed"/>
        <w:tblCellMar>
          <w:top w:w="28" w:type="dxa"/>
          <w:left w:w="28" w:type="dxa"/>
          <w:bottom w:w="28" w:type="dxa"/>
          <w:right w:w="28" w:type="dxa"/>
        </w:tblCellMar>
      </w:tblPr>
      <w:tblGrid>
        <w:gridCol w:w="591"/>
        <w:gridCol w:w="521"/>
        <w:gridCol w:w="523"/>
        <w:gridCol w:w="211"/>
        <w:gridCol w:w="826"/>
        <w:gridCol w:w="271"/>
        <w:gridCol w:w="109"/>
        <w:gridCol w:w="109"/>
        <w:gridCol w:w="109"/>
        <w:gridCol w:w="211"/>
        <w:gridCol w:w="826"/>
        <w:gridCol w:w="271"/>
        <w:gridCol w:w="109"/>
        <w:gridCol w:w="109"/>
        <w:gridCol w:w="109"/>
        <w:gridCol w:w="211"/>
        <w:gridCol w:w="721"/>
        <w:gridCol w:w="109"/>
        <w:gridCol w:w="109"/>
        <w:gridCol w:w="109"/>
        <w:gridCol w:w="109"/>
        <w:gridCol w:w="255"/>
        <w:gridCol w:w="256"/>
        <w:gridCol w:w="614"/>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for percentages)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159,879 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2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derive the majority of our revenue from sales to customers in the United States. Revenue by geography is based on billing address of the customer. The table below summarizes our revenue by geography:</w:t>
      </w:r>
    </w:p>
    <w:tbl>
      <w:tblPr>
        <w:tblW w:w="8766" w:type="dxa"/>
        <w:jc w:val="center"/>
        <w:tblInd w:w="0" w:type="dxa"/>
        <w:tblLayout w:type="fixed"/>
        <w:tblCellMar>
          <w:top w:w="28" w:type="dxa"/>
          <w:left w:w="28" w:type="dxa"/>
          <w:bottom w:w="28" w:type="dxa"/>
          <w:right w:w="28" w:type="dxa"/>
        </w:tblCellMar>
      </w:tblPr>
      <w:tblGrid>
        <w:gridCol w:w="435"/>
        <w:gridCol w:w="381"/>
        <w:gridCol w:w="383"/>
        <w:gridCol w:w="211"/>
        <w:gridCol w:w="826"/>
        <w:gridCol w:w="109"/>
        <w:gridCol w:w="109"/>
        <w:gridCol w:w="109"/>
        <w:gridCol w:w="109"/>
        <w:gridCol w:w="232"/>
        <w:gridCol w:w="234"/>
        <w:gridCol w:w="271"/>
        <w:gridCol w:w="109"/>
        <w:gridCol w:w="109"/>
        <w:gridCol w:w="109"/>
        <w:gridCol w:w="211"/>
        <w:gridCol w:w="826"/>
        <w:gridCol w:w="109"/>
        <w:gridCol w:w="109"/>
        <w:gridCol w:w="109"/>
        <w:gridCol w:w="109"/>
        <w:gridCol w:w="232"/>
        <w:gridCol w:w="234"/>
        <w:gridCol w:w="271"/>
        <w:gridCol w:w="109"/>
        <w:gridCol w:w="109"/>
        <w:gridCol w:w="109"/>
        <w:gridCol w:w="211"/>
        <w:gridCol w:w="721"/>
        <w:gridCol w:w="109"/>
        <w:gridCol w:w="109"/>
        <w:gridCol w:w="109"/>
        <w:gridCol w:w="109"/>
        <w:gridCol w:w="255"/>
        <w:gridCol w:w="256"/>
        <w:gridCol w:w="61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for percentages)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68" w:before="0" w:after="240"/>
        <w:ind w:left="0" w:right="0" w:firstLine="540"/>
        <w:jc w:val="both"/>
        <w:rPr/>
      </w:pPr>
      <w:r>
        <w:rPr>
          <w:rFonts w:ascii="Times New Roman;serif" w:hAnsi="Times New Roman;serif"/>
          <w:b w:val="false"/>
          <w:i/>
          <w:color w:val="000000"/>
          <w:sz w:val="20"/>
        </w:rPr>
        <w:t xml:space="preserve">Revenue. </w:t>
      </w:r>
      <w:r>
        <w:rPr>
          <w:rFonts w:ascii="Times New Roman;serif" w:hAnsi="Times New Roman;serif"/>
          <w:b w:val="false"/>
          <w:color w:val="000000"/>
          <w:sz w:val="20"/>
        </w:rPr>
        <w:t>The increase in revenue for the year ended December 31, 2025 compared to the year ended December 31, 2024 comprised a $32.7 million increase in our U.S. revenue from increased case volumes due to our expanded portfolio and growing base of active physicians and an increase of $1.1 million i</w:t>
      </w:r>
      <w:r>
        <w:rPr>
          <w:rFonts w:ascii="Times New Roman;serif" w:hAnsi="Times New Roman;serif"/>
          <w:b w:val="false"/>
          <w:color w:val="000000"/>
          <w:sz w:val="20"/>
          <w:shd w:fill="FFFFFF" w:val="clear"/>
        </w:rPr>
        <w:t>n our international revenue due to the increase in case volumes.</w:t>
      </w:r>
    </w:p>
    <w:p>
      <w:pPr>
        <w:pStyle w:val="TextBody"/>
        <w:bidi w:val="0"/>
        <w:spacing w:lineRule="auto" w:line="288" w:before="0" w:after="240"/>
        <w:ind w:left="0" w:right="0" w:firstLine="540"/>
        <w:jc w:val="both"/>
        <w:rPr/>
      </w:pPr>
      <w:r>
        <w:rPr>
          <w:rFonts w:ascii="Times New Roman;serif" w:hAnsi="Times New Roman;serif"/>
          <w:b w:val="false"/>
          <w:i/>
          <w:color w:val="000000"/>
          <w:sz w:val="20"/>
          <w:shd w:fill="FFFFFF" w:val="clear"/>
        </w:rPr>
        <w:t>Gross Profit and Gross Margin.</w:t>
      </w:r>
      <w:r>
        <w:rPr>
          <w:color w:val="000000"/>
          <w:shd w:fill="FFFFFF" w:val="clear"/>
        </w:rPr>
        <w:t xml:space="preserve"> </w:t>
      </w:r>
      <w:r>
        <w:rPr>
          <w:rFonts w:ascii="Times New Roman;serif" w:hAnsi="Times New Roman;serif"/>
          <w:b w:val="false"/>
          <w:color w:val="000000"/>
          <w:sz w:val="20"/>
          <w:shd w:fill="FFFFFF" w:val="clear"/>
        </w:rPr>
        <w:t xml:space="preserve">Gross profit increased $27.8 million for the year ended December 31, 2025 compared to the year ended December 31, 2024 driven by higher revenue. Gross margin was 79.6% and </w:t>
      </w:r>
      <w:r>
        <w:rPr>
          <w:rFonts w:ascii="Times New Roman;serif" w:hAnsi="Times New Roman;serif"/>
          <w:b w:val="false"/>
          <w:color w:val="000000"/>
          <w:sz w:val="20"/>
        </w:rPr>
        <w:t xml:space="preserve">79.0% </w:t>
      </w:r>
      <w:r>
        <w:rPr>
          <w:rFonts w:ascii="Times New Roman;serif" w:hAnsi="Times New Roman;serif"/>
          <w:b w:val="false"/>
          <w:color w:val="000000"/>
          <w:sz w:val="20"/>
          <w:shd w:fill="FFFFFF" w:val="clear"/>
        </w:rPr>
        <w:t xml:space="preserve">for the years ended December 31, 2025 and December 31, 2024 respectively. </w:t>
      </w:r>
      <w:r>
        <w:rPr>
          <w:rFonts w:ascii="Times New Roman;serif" w:hAnsi="Times New Roman;serif"/>
          <w:b w:val="false"/>
          <w:color w:val="000000"/>
          <w:sz w:val="20"/>
        </w:rPr>
        <w:t xml:space="preserve">Gross margin increased from the prior year due to changes in product mix, partially offset by higher royalties and inventory reserves. </w:t>
      </w:r>
    </w:p>
    <w:p>
      <w:pPr>
        <w:pStyle w:val="TextBody"/>
        <w:bidi w:val="0"/>
        <w:spacing w:lineRule="auto" w:line="288" w:before="0" w:after="0"/>
        <w:ind w:left="0" w:right="0" w:firstLine="540"/>
        <w:jc w:val="left"/>
        <w:rPr/>
      </w:pPr>
      <w:r>
        <w:rPr>
          <w:rFonts w:ascii="Times New Roman;serif" w:hAnsi="Times New Roman;serif"/>
          <w:b/>
          <w:i/>
          <w:color w:val="000000"/>
          <w:sz w:val="20"/>
          <w:shd w:fill="FFFFFF" w:val="clear"/>
        </w:rPr>
        <w:t>Operating Expenses</w:t>
      </w:r>
      <w:r>
        <w:rPr>
          <w:rFonts w:ascii="Times New Roman;serif" w:hAnsi="Times New Roman;serif"/>
          <w:b w:val="false"/>
          <w:color w:val="000000"/>
          <w:sz w:val="20"/>
          <w:shd w:fill="FFFFFF" w:val="clear"/>
        </w:rPr>
        <w:t>:</w:t>
      </w:r>
    </w:p>
    <w:tbl>
      <w:tblPr>
        <w:tblW w:w="7749" w:type="dxa"/>
        <w:jc w:val="left"/>
        <w:tblInd w:w="0" w:type="dxa"/>
        <w:tblLayout w:type="fixed"/>
        <w:tblCellMar>
          <w:top w:w="28" w:type="dxa"/>
          <w:left w:w="28" w:type="dxa"/>
          <w:bottom w:w="28" w:type="dxa"/>
          <w:right w:w="28" w:type="dxa"/>
        </w:tblCellMar>
      </w:tblPr>
      <w:tblGrid>
        <w:gridCol w:w="835"/>
        <w:gridCol w:w="735"/>
        <w:gridCol w:w="74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5"/>
        <w:gridCol w:w="256"/>
        <w:gridCol w:w="614"/>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9"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for percentages)</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540"/>
        <w:jc w:val="both"/>
        <w:rPr/>
      </w:pPr>
      <w:r>
        <w:rPr>
          <w:rFonts w:ascii="Times New Roman;serif" w:hAnsi="Times New Roman;serif"/>
          <w:b w:val="false"/>
          <w:i/>
          <w:color w:val="000000"/>
          <w:sz w:val="20"/>
          <w:shd w:fill="FFFFFF" w:val="clear"/>
        </w:rPr>
        <w:t xml:space="preserve">Sales and Marketing Expenses. </w:t>
      </w:r>
      <w:r>
        <w:rPr>
          <w:rFonts w:ascii="Times New Roman;serif" w:hAnsi="Times New Roman;serif"/>
          <w:b w:val="false"/>
          <w:color w:val="000000"/>
          <w:sz w:val="20"/>
          <w:shd w:fill="FFFFFF" w:val="clear"/>
        </w:rPr>
        <w:t>The increase in sales and marketing expenses for the year ended December 31, 2025 as compared to the year ended December 31, 2024 was</w:t>
      </w:r>
      <w:r>
        <w:rPr>
          <w:color w:val="000000"/>
        </w:rPr>
        <w:t xml:space="preserve"> </w:t>
      </w:r>
      <w:r>
        <w:rPr>
          <w:rFonts w:ascii="Times New Roman;serif" w:hAnsi="Times New Roman;serif"/>
          <w:b w:val="false"/>
          <w:color w:val="000000"/>
          <w:sz w:val="20"/>
        </w:rPr>
        <w:t>primarily due to a $10.0 million increase in commissions and employee related costs driven by higher revenues, partially offset by a $3.1 million decrease in travel, training and stock-based compensation.</w:t>
      </w:r>
    </w:p>
    <w:p>
      <w:pPr>
        <w:pStyle w:val="TextBody"/>
        <w:bidi w:val="0"/>
        <w:spacing w:lineRule="auto" w:line="288" w:before="0" w:after="240"/>
        <w:ind w:left="0" w:right="0" w:firstLine="540"/>
        <w:jc w:val="both"/>
        <w:rPr/>
      </w:pPr>
      <w:r>
        <w:rPr>
          <w:rFonts w:ascii="Times New Roman;serif" w:hAnsi="Times New Roman;serif"/>
          <w:b w:val="false"/>
          <w:i/>
          <w:color w:val="000000"/>
          <w:sz w:val="20"/>
        </w:rPr>
        <w:t xml:space="preserve">Research and Development Expenses. </w:t>
      </w:r>
      <w:r>
        <w:rPr>
          <w:rFonts w:ascii="Times New Roman;serif" w:hAnsi="Times New Roman;serif"/>
          <w:b w:val="false"/>
          <w:color w:val="000000"/>
          <w:sz w:val="20"/>
        </w:rPr>
        <w:t>The increase in research and development expenses for the year ended December 31, 2025 as compared to the year ended December 31, 2024 was primarily due to a $0.4 million increase in employee related costs and stock-based compensation, and a $0.4 million increase in product development costs.</w:t>
      </w:r>
    </w:p>
    <w:p>
      <w:pPr>
        <w:pStyle w:val="TextBody"/>
        <w:bidi w:val="0"/>
        <w:spacing w:lineRule="auto" w:line="288" w:before="0" w:after="240"/>
        <w:ind w:left="0" w:right="0" w:firstLine="540"/>
        <w:jc w:val="both"/>
        <w:rPr/>
      </w:pPr>
      <w:r>
        <w:rPr>
          <w:rFonts w:ascii="Times New Roman;serif" w:hAnsi="Times New Roman;serif"/>
          <w:b w:val="false"/>
          <w:i/>
          <w:color w:val="000000"/>
          <w:sz w:val="20"/>
        </w:rPr>
        <w:t>General and Administrative Expenses</w:t>
      </w:r>
      <w:r>
        <w:rPr>
          <w:rFonts w:ascii="Times New Roman;serif" w:hAnsi="Times New Roman;serif"/>
          <w:b w:val="false"/>
          <w:color w:val="000000"/>
          <w:sz w:val="20"/>
        </w:rPr>
        <w:t>. The increase in general and administrative expenses for the year ended December 31, 2025 as compared to the year ended December 31, 2024 was primarily due to a $6.5 million increase in employee related costs, stock-based compensation, consulting, and legal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99085"/>
                <wp:effectExtent l="0" t="0" r="0" b="0"/>
                <wp:wrapNone/>
                <wp:docPr id="72" name="Frame7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i/>
          <w:color w:val="000000"/>
          <w:sz w:val="20"/>
          <w:shd w:fill="FFFFFF" w:val="clear"/>
        </w:rPr>
        <w:t>Interest and Other Income (Expense), Net</w:t>
      </w:r>
      <w:r>
        <w:rPr>
          <w:rFonts w:ascii="Times New Roman;serif" w:hAnsi="Times New Roman;serif"/>
          <w:b w:val="false"/>
          <w:color w:val="000000"/>
          <w:sz w:val="20"/>
          <w:shd w:fill="FFFFFF" w:val="clear"/>
        </w:rPr>
        <w:t>:</w:t>
      </w:r>
    </w:p>
    <w:tbl>
      <w:tblPr>
        <w:tblW w:w="8996" w:type="dxa"/>
        <w:jc w:val="left"/>
        <w:tblInd w:w="0" w:type="dxa"/>
        <w:tblLayout w:type="fixed"/>
        <w:tblCellMar>
          <w:top w:w="28" w:type="dxa"/>
          <w:left w:w="28" w:type="dxa"/>
          <w:bottom w:w="28" w:type="dxa"/>
          <w:right w:w="28" w:type="dxa"/>
        </w:tblCellMar>
      </w:tblPr>
      <w:tblGrid>
        <w:gridCol w:w="1386"/>
        <w:gridCol w:w="1214"/>
        <w:gridCol w:w="1225"/>
        <w:gridCol w:w="221"/>
        <w:gridCol w:w="647"/>
        <w:gridCol w:w="114"/>
        <w:gridCol w:w="114"/>
        <w:gridCol w:w="114"/>
        <w:gridCol w:w="114"/>
        <w:gridCol w:w="221"/>
        <w:gridCol w:w="647"/>
        <w:gridCol w:w="114"/>
        <w:gridCol w:w="109"/>
        <w:gridCol w:w="109"/>
        <w:gridCol w:w="109"/>
        <w:gridCol w:w="211"/>
        <w:gridCol w:w="691"/>
        <w:gridCol w:w="109"/>
        <w:gridCol w:w="109"/>
        <w:gridCol w:w="109"/>
        <w:gridCol w:w="109"/>
        <w:gridCol w:w="293"/>
        <w:gridCol w:w="293"/>
        <w:gridCol w:w="614"/>
      </w:tblGrid>
      <w:tr>
        <w:trPr/>
        <w:tc>
          <w:tcPr>
            <w:tcW w:w="138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for percentages)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and other income (expense), net</w:t>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4,335 </w:t>
            </w:r>
          </w:p>
        </w:tc>
        <w:tc>
          <w:tcPr>
            <w:tcW w:w="1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540"/>
        <w:jc w:val="both"/>
        <w:rPr/>
      </w:pPr>
      <w:r>
        <w:rPr>
          <w:rFonts w:ascii="Times New Roman;serif" w:hAnsi="Times New Roman;serif"/>
          <w:b w:val="false"/>
          <w:i/>
          <w:color w:val="000000"/>
          <w:sz w:val="20"/>
        </w:rPr>
        <w:t>Interest Income.</w:t>
      </w:r>
      <w:r>
        <w:rPr>
          <w:color w:val="000000"/>
        </w:rPr>
        <w:t xml:space="preserve"> </w:t>
      </w:r>
      <w:r>
        <w:rPr>
          <w:rFonts w:ascii="Times New Roman;serif" w:hAnsi="Times New Roman;serif"/>
          <w:b w:val="false"/>
          <w:color w:val="000000"/>
          <w:sz w:val="20"/>
        </w:rPr>
        <w:t>The decrease in interest income for the year ended December 31, 2025 as compared to the year ended December 31, 2024 was mainly due to lower interest earned on our investments in marketable securities, primarily as a result of lower interest rates.</w:t>
      </w:r>
    </w:p>
    <w:p>
      <w:pPr>
        <w:pStyle w:val="TextBody"/>
        <w:bidi w:val="0"/>
        <w:spacing w:lineRule="auto" w:line="288" w:before="0" w:after="240"/>
        <w:ind w:left="0" w:right="0" w:firstLine="540"/>
        <w:jc w:val="both"/>
        <w:rPr/>
      </w:pPr>
      <w:r>
        <w:rPr>
          <w:rFonts w:ascii="Times New Roman;serif" w:hAnsi="Times New Roman;serif"/>
          <w:b w:val="false"/>
          <w:i/>
          <w:color w:val="000000"/>
          <w:sz w:val="20"/>
        </w:rPr>
        <w:t>Interest Expense</w:t>
      </w:r>
      <w:r>
        <w:rPr>
          <w:rFonts w:ascii="Times New Roman;serif" w:hAnsi="Times New Roman;serif"/>
          <w:b w:val="false"/>
          <w:color w:val="000000"/>
          <w:sz w:val="20"/>
        </w:rPr>
        <w:t>. The decrease in interest expense for the year ended December 31, 2025 as compared to the year ended December 31, 2024 was primarily due to lower interest rates associated with the First-Citizens Fourth Amended Loan Agreement.</w:t>
      </w:r>
    </w:p>
    <w:p>
      <w:pPr>
        <w:pStyle w:val="TextBody"/>
        <w:bidi w:val="0"/>
        <w:spacing w:lineRule="auto" w:line="288" w:before="0" w:after="240"/>
        <w:ind w:left="0" w:right="0" w:firstLine="540"/>
        <w:jc w:val="both"/>
        <w:rPr/>
      </w:pPr>
      <w:r>
        <w:rPr>
          <w:rFonts w:ascii="Times New Roman;serif" w:hAnsi="Times New Roman;serif"/>
          <w:b w:val="false"/>
          <w:i/>
          <w:color w:val="000000"/>
          <w:sz w:val="20"/>
        </w:rPr>
        <w:t xml:space="preserve">Other Income (Expense), Net. </w:t>
      </w:r>
      <w:r>
        <w:rPr>
          <w:rFonts w:ascii="Times New Roman;serif" w:hAnsi="Times New Roman;serif"/>
          <w:b w:val="false"/>
          <w:color w:val="000000"/>
          <w:sz w:val="20"/>
        </w:rPr>
        <w:t>Other income (expense), net changed from income to expense for the year ended December 31, 2025 as compared to the year ended December 31, 2024 due to foreign currency fluctuations.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cash and marketable securities of $147.8 million compared to $150.0 million as of December 31, 2024. We have financed our operations primarily through our public offerings and debt financing arrangements. As of December 31, 2025 and 2024 we had $35.6 million and $35.5 million outstanding debt, respectively.</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an accumulated deficit of $450.3 million. During the years ended December 31, 2025 and 2024, we incurred a net loss of $18.9 million and $30.9 million, respectively, and expect to incur additional losses in the future. We have not achieved positive cash flow from operations to date. </w:t>
      </w:r>
    </w:p>
    <w:p>
      <w:pPr>
        <w:pStyle w:val="TextBody"/>
        <w:bidi w:val="0"/>
        <w:spacing w:lineRule="auto" w:line="288" w:before="0" w:after="240"/>
        <w:ind w:left="0" w:right="0" w:firstLine="540"/>
        <w:jc w:val="both"/>
        <w:rPr/>
      </w:pPr>
      <w:r>
        <w:rPr>
          <w:rFonts w:ascii="Times New Roman;serif" w:hAnsi="Times New Roman;serif"/>
          <w:b w:val="false"/>
          <w:color w:val="000000"/>
          <w:sz w:val="20"/>
        </w:rPr>
        <w:t>Based upon our current operating plan, we believe that our existing cash and marketable securities will enable us to fund our operating expenses and capital expenditure requirements over the next 12 months and beyond. However, the financial impact of a potential economic downturn or capital market disruptions pose risks and uncertainties in our future available capital resources. We may face challenges and uncertainties and, as a result, may need to raise additional capital as our available capital resources may be consumed more rapidly than currently expected due to, but not limited to (a) decreases in sales of our products and the uncertainty of future revenues from new products; (b) changes we may make to the business that affect ongoing operating expenses; (c) changes we may make in our business strategy; (d) regulatory and reimbursement developments affecting our existing products; (e) changes we may make in our research and development spending plans; and (f) other items affecting our forecasted level of expenditures and use of cash resources.</w:t>
      </w:r>
      <w:r>
        <w:rPr>
          <w:color w:val="000000"/>
        </w:rPr>
        <w:t xml:space="preserve"> </w:t>
      </w:r>
      <w:r>
        <w:rPr>
          <w:rFonts w:ascii="Times New Roman;serif" w:hAnsi="Times New Roman;serif"/>
          <w:b w:val="false"/>
          <w:color w:val="000000"/>
          <w:sz w:val="20"/>
        </w:rPr>
        <w:t>In addition, as we seek to deploy new product offerings, the need for additional capital to fund the purchase of inventories of implants and instrument trays may become more acute and may limit the number of revenue opportunities that we pursue.</w:t>
      </w:r>
      <w:r>
        <w:rPr>
          <w:color w:val="000000"/>
        </w:rPr>
        <w:t xml:space="preserve"> </w:t>
      </w:r>
      <w:r>
        <w:rPr>
          <w:rFonts w:ascii="Times New Roman;serif" w:hAnsi="Times New Roman;serif"/>
          <w:b w:val="false"/>
          <w:color w:val="000000"/>
          <w:sz w:val="20"/>
        </w:rPr>
        <w:t xml:space="preserve">Each new product family introduced typically requires the purchase of consumable implant inventory as well as investment in a fleet of instrument trays required to support procedures nationwide. </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Term Loan</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outstanding debt is related to a Loan and Security Agreement (the “Original Loan Agreement”) dated August 12, 2021 (the “Effective Date”), entered into by us and Silicon Valley Bank, a California corporation (“SVB”). Pursuant to the Original Loan Agreement, we borrowed a term loan in the aggregate principal amount of $35.0 million (the “Original Term Loan”).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6, 2023, we entered into a First Amendment to Loan and Security Agreement with SVB to amend our Original Loan Agreement (the “First Amendment”, and together with the Original Loan Agreement, collectively the “Amended Loan Agreement”). Upon entry into the Amended Loan Agreement, we borrowed a new term loan in the aggregate principal amount of $36.0 million (the “First Amendment Term Loan”), which was substantially used to repay in full the $35.0 million Original Term Loan outstanding under the Original Loan Agreement, and we also obtained a secured revolving credit facility in an aggregate principal amount of up to $15.0 million (the “Revolving Line"). The First Amendment also provided for a final payment fee payable to SVB of 2% of the original principal amount of the First Amendment Term Loan due upon the earlier of the First Amendment Term Loan Maturity Date, termination of the Amended Loan Agreement, acceleration by the Lender following an event of default, or prepayment of the First Amendment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99085"/>
                <wp:effectExtent l="0" t="0" r="0" b="0"/>
                <wp:wrapNone/>
                <wp:docPr id="73" name="Frame7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25, 2024, we entered into a Second Amendment to Loan and Security Agreement with Silicon Valley Bank, a division of First-Citizens Bank &amp; Trust Company, as successor in interest to SVB (“First-Citizens”) to further amend our Amended Loan Agreement (the “Second Amendment” and together with the Amended Loan Agreement, collectively, the “Second Amended Loan Agreement”). The Second Amendment revised certain provisions related to financial covenants and the periods in which such covenants applied.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November 8, 2024, we entered into a Third Amendment to Loan and Security Agreement with First-Citizens to further amend our Second Amended Loan Agreement (the “Third Amendment” and together with the Second Amended Loan Agreement, collectively, the “Third Amended Loan Agreement”). Upon entry into the Third Amended Loan Agreement, we borrowed a new term loan in the aggregate principal amount of $36.0 million (the “Third Amendment Term Loan”), which was substantially used to refinance and repay in full the then-outstanding $36.0 million First Amendment Term Loan. We also paid a certain final payment fee due related to such prior First Amendment Term Loan. The Third Amendment set the maturity date for the Third Amendment Term Loan to September 1, 2029 (the "Third Amendment Term Loan Maturity Date"), and set the first principal repayment due date for to the Third Amendment Term Loan to October 1, 2027, which date will, upon the achievement of the Performance Milestone (as defined in the Third Amendment), be October 1, 2028. Interest on the outstanding principal balance of the Third Amendment Term Loan is payable monthly at a floating rate per annum equal to the greater of 4.25% and the WSJ prime rate minus 0.5%. The Company may elect to prepay the Third Amendment Term Loan in whole prior to the Third Amendment Term Loan Maturity Date, subject to a prepayment fee equal to 1.5% of the original principal amount of the Third Amendment Term Loan if the loan is prepaid within 18 months following the closing of the Third Amendment. The Third Amendment revised certain provisions related to financial covenants and the periods in which such covenants apply, and First-Citizens and the Company also agreed to terminate the Revolving Line and an uncommitted accordion term loan provision.</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September 25, 2025, we entered into a Fourth Amendment to Loan and Security Agreement with First-Citizens to further amend our Third Amended Loan Agreement (the “Fourth Amendment” and together with the Third Amended Loan Agreement, collectively, the “Fourth Amended Loan Agreement”). The Fourth Amendment revised the periods in which the financial covenants applied.</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Cash Requirements</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material cash requirements include various contractual and other obligations consisting of long-term debt obligations with First-Citizens, operating lease obligations and purchase obligations with some of our suppliers. Expected timing of those payments are as follows: </w:t>
      </w:r>
    </w:p>
    <w:tbl>
      <w:tblPr>
        <w:tblW w:w="10205" w:type="dxa"/>
        <w:jc w:val="center"/>
        <w:tblInd w:w="0" w:type="dxa"/>
        <w:tblLayout w:type="fixed"/>
        <w:tblCellMar>
          <w:top w:w="28" w:type="dxa"/>
          <w:left w:w="28" w:type="dxa"/>
          <w:bottom w:w="28" w:type="dxa"/>
          <w:right w:w="28" w:type="dxa"/>
        </w:tblCellMar>
      </w:tblPr>
      <w:tblGrid>
        <w:gridCol w:w="1031"/>
        <w:gridCol w:w="904"/>
        <w:gridCol w:w="909"/>
        <w:gridCol w:w="218"/>
        <w:gridCol w:w="746"/>
        <w:gridCol w:w="112"/>
        <w:gridCol w:w="112"/>
        <w:gridCol w:w="112"/>
        <w:gridCol w:w="112"/>
        <w:gridCol w:w="303"/>
        <w:gridCol w:w="886"/>
        <w:gridCol w:w="156"/>
        <w:gridCol w:w="112"/>
        <w:gridCol w:w="112"/>
        <w:gridCol w:w="112"/>
        <w:gridCol w:w="218"/>
        <w:gridCol w:w="746"/>
        <w:gridCol w:w="112"/>
        <w:gridCol w:w="112"/>
        <w:gridCol w:w="112"/>
        <w:gridCol w:w="112"/>
        <w:gridCol w:w="218"/>
        <w:gridCol w:w="746"/>
        <w:gridCol w:w="112"/>
        <w:gridCol w:w="112"/>
        <w:gridCol w:w="112"/>
        <w:gridCol w:w="112"/>
        <w:gridCol w:w="392"/>
        <w:gridCol w:w="755"/>
        <w:gridCol w:w="297"/>
      </w:tblGrid>
      <w:tr>
        <w:trPr/>
        <w:tc>
          <w:tcPr>
            <w:tcW w:w="103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r>
      <w:tr>
        <w:trPr/>
        <w:tc>
          <w:tcPr>
            <w:tcW w:w="2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Payments Due By Period</w:t>
            </w:r>
          </w:p>
        </w:tc>
      </w:tr>
      <w:tr>
        <w:trPr/>
        <w:tc>
          <w:tcPr>
            <w:tcW w:w="2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Less than 1 year</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 years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 years</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More than 5 years</w:t>
            </w:r>
          </w:p>
        </w:tc>
      </w:tr>
      <w:tr>
        <w:trPr/>
        <w:tc>
          <w:tcPr>
            <w:tcW w:w="2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1" w:type="dxa"/>
            <w:gridSpan w:val="27"/>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2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obligations on long-term debt (1)</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obligations (2)</w:t>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6,178 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obligations</w:t>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obligations</w:t>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27,798 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(1) Represents the principal obligations at maturities of our First-Citizens Fourth Amended Loan Agreement.</w:t>
            </w:r>
          </w:p>
        </w:tc>
      </w:tr>
      <w:tr>
        <w:trPr/>
        <w:tc>
          <w:tcPr>
            <w:tcW w:w="10205" w:type="dxa"/>
            <w:gridSpan w:val="30"/>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(2) Represents the future interest obligations on our First-Citizens Fourth Amended Loan Agreement estimated using an interest rate of 6.25% as of December 31, 2025.</w:t>
            </w:r>
          </w:p>
        </w:tc>
      </w:tr>
    </w:tbl>
    <w:p>
      <w:pPr>
        <w:pStyle w:val="TextBody"/>
        <w:bidi w:val="0"/>
        <w:spacing w:lineRule="auto" w:line="288" w:before="0" w:after="240"/>
        <w:ind w:left="0" w:right="0" w:firstLine="5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primary sources and uses of cash for each of the periods presented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99085"/>
                <wp:effectExtent l="0" t="0" r="0" b="0"/>
                <wp:wrapNone/>
                <wp:docPr id="74" name="Frame7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tbl>
      <w:tblPr>
        <w:tblW w:w="9169" w:type="dxa"/>
        <w:jc w:val="left"/>
        <w:tblInd w:w="0" w:type="dxa"/>
        <w:tblLayout w:type="fixed"/>
        <w:tblCellMar>
          <w:top w:w="28" w:type="dxa"/>
          <w:left w:w="28" w:type="dxa"/>
          <w:bottom w:w="28" w:type="dxa"/>
          <w:right w:w="28" w:type="dxa"/>
        </w:tblCellMar>
      </w:tblPr>
      <w:tblGrid>
        <w:gridCol w:w="1868"/>
        <w:gridCol w:w="1639"/>
        <w:gridCol w:w="1652"/>
        <w:gridCol w:w="211"/>
        <w:gridCol w:w="616"/>
        <w:gridCol w:w="109"/>
        <w:gridCol w:w="109"/>
        <w:gridCol w:w="109"/>
        <w:gridCol w:w="109"/>
        <w:gridCol w:w="211"/>
        <w:gridCol w:w="796"/>
        <w:gridCol w:w="109"/>
        <w:gridCol w:w="109"/>
        <w:gridCol w:w="109"/>
        <w:gridCol w:w="109"/>
        <w:gridCol w:w="211"/>
        <w:gridCol w:w="721"/>
        <w:gridCol w:w="109"/>
        <w:gridCol w:w="109"/>
        <w:gridCol w:w="154"/>
      </w:tblGrid>
      <w:tr>
        <w:trPr/>
        <w:tc>
          <w:tcPr>
            <w:tcW w:w="1868"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3747" w:type="dxa"/>
            <w:gridSpan w:val="15"/>
            <w:tcBorders/>
            <w:tcMar>
              <w:top w:w="0" w:type="dxa"/>
              <w:left w:w="0" w:type="dxa"/>
              <w:bottom w:w="0" w:type="dxa"/>
              <w:right w:w="0" w:type="dxa"/>
            </w:tcMar>
            <w:vAlign w:val="center"/>
          </w:tcPr>
          <w:p>
            <w:pPr>
              <w:pStyle w:val="TableContents"/>
              <w:bidi w:val="0"/>
              <w:spacing w:lineRule="auto" w:line="240" w:before="0" w:after="283"/>
              <w:ind w:left="0" w:right="0" w:firstLine="360"/>
              <w:jc w:val="center"/>
              <w:rPr>
                <w:rFonts w:ascii="Times New Roman;serif" w:hAnsi="Times New Roman;serif"/>
                <w:b/>
                <w:color w:val="000000"/>
                <w:sz w:val="20"/>
              </w:rPr>
            </w:pPr>
            <w:r>
              <w:rPr>
                <w:rFonts w:ascii="Times New Roman;serif" w:hAnsi="Times New Roman;serif"/>
                <w:b/>
                <w:color w:val="000000"/>
                <w:sz w:val="20"/>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Effects of exchange rate changes on cash and cash equivalents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4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 xml:space="preserve">Cash Used in Operating Activities </w:t>
      </w:r>
    </w:p>
    <w:p>
      <w:pPr>
        <w:pStyle w:val="TextBody"/>
        <w:bidi w:val="0"/>
        <w:spacing w:lineRule="auto" w:line="288" w:before="0" w:after="240"/>
        <w:ind w:left="0" w:right="0" w:firstLine="540"/>
        <w:jc w:val="both"/>
        <w:rPr/>
      </w:pPr>
      <w:r>
        <w:rPr>
          <w:rFonts w:ascii="Times New Roman;serif" w:hAnsi="Times New Roman;serif"/>
          <w:b w:val="false"/>
          <w:color w:val="000000"/>
          <w:sz w:val="20"/>
        </w:rPr>
        <w:t>Net cash used in operating activities for the year ended December 31, 2025 of $0.7 million resulted from cash outflows due to net loss of $18.9 million, adjusted for $32.6 million of non-cash items and cash outflows from changes in operating assets and liabilities of $14.3 million. Net cash used in operation activities for the year ended December 31, 2024 of $12.4 million resulted from cash outflows due to net loss of $30.9 million, adjusted for $28.6 million of non-cash items and cash outflows from changes in operating assets and liabilities of $10.1 million. The decrease in net loss, net of non-cash items for the year ended December 31, 2025 compared to the year ended December 31, 2024 was mainly due to increased revenues. Net cash outflows from changes in operating assets and liabilities for year ended December 31, 2025 were primarily due to higher accounts receivable due to timing of collections and</w:t>
      </w:r>
      <w:r>
        <w:rPr>
          <w:color w:val="000000"/>
          <w:shd w:fill="FFFFFF" w:val="clear"/>
        </w:rPr>
        <w:t xml:space="preserve"> </w:t>
      </w:r>
      <w:r>
        <w:rPr>
          <w:rFonts w:ascii="Times New Roman;serif" w:hAnsi="Times New Roman;serif"/>
          <w:b w:val="false"/>
          <w:color w:val="000000"/>
          <w:sz w:val="20"/>
          <w:shd w:fill="FFFFFF" w:val="clear"/>
        </w:rPr>
        <w:t xml:space="preserve">the increase in revenue in the fourth quarter of 2025, </w:t>
      </w:r>
      <w:r>
        <w:rPr>
          <w:rFonts w:ascii="Times New Roman;serif" w:hAnsi="Times New Roman;serif"/>
          <w:b w:val="false"/>
          <w:color w:val="000000"/>
          <w:sz w:val="20"/>
        </w:rPr>
        <w:t xml:space="preserve">higher inventory due to build-up related to our newly introduced products, </w:t>
      </w:r>
      <w:r>
        <w:rPr>
          <w:rFonts w:ascii="Times New Roman;serif" w:hAnsi="Times New Roman;serif"/>
          <w:b w:val="false"/>
          <w:color w:val="000000"/>
          <w:sz w:val="20"/>
          <w:shd w:fill="FFFFFF" w:val="clear"/>
        </w:rPr>
        <w:t>an increase in account prepaid and other assets and a decrease in payable and accrued liabilities due to normal timing of expenses.</w:t>
      </w:r>
      <w:r>
        <w:rPr>
          <w:color w:val="000000"/>
        </w:rPr>
        <w:t xml:space="preserve"> </w:t>
      </w:r>
      <w:r>
        <w:rPr>
          <w:rFonts w:ascii="Times New Roman;serif" w:hAnsi="Times New Roman;serif"/>
          <w:b w:val="false"/>
          <w:color w:val="000000"/>
          <w:sz w:val="20"/>
        </w:rPr>
        <w:t xml:space="preserve">Net cash outflows from changes in operating assets and liabilities for the year ended December 31, 2024 </w:t>
      </w:r>
      <w:r>
        <w:rPr>
          <w:rFonts w:ascii="Times New Roman;serif" w:hAnsi="Times New Roman;serif"/>
          <w:b w:val="false"/>
          <w:color w:val="000000"/>
          <w:sz w:val="20"/>
          <w:shd w:fill="FFFFFF" w:val="clear"/>
        </w:rPr>
        <w:t xml:space="preserve">were primarily due to higher accounts receivable due to timing of collections and the increase in revenue in the fourth quarter of 2024, higher inventory build-up related to our implants, partially offset by a higher accounts payable and accrued liabilities attributable to the normal course timing of expenses. </w:t>
      </w:r>
    </w:p>
    <w:p>
      <w:pPr>
        <w:pStyle w:val="TextBody"/>
        <w:bidi w:val="0"/>
        <w:spacing w:lineRule="auto" w:line="288" w:before="0" w:after="24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Cash Used In and Provided by Investing Activities</w:t>
      </w:r>
    </w:p>
    <w:p>
      <w:pPr>
        <w:pStyle w:val="TextBody"/>
        <w:bidi w:val="0"/>
        <w:spacing w:lineRule="auto" w:line="288" w:before="0" w:after="240"/>
        <w:ind w:left="0" w:right="0" w:firstLine="540"/>
        <w:jc w:val="both"/>
        <w:rPr/>
      </w:pPr>
      <w:r>
        <w:rPr>
          <w:rFonts w:ascii="Times New Roman;serif" w:hAnsi="Times New Roman;serif"/>
          <w:b w:val="false"/>
          <w:color w:val="000000"/>
          <w:sz w:val="20"/>
        </w:rPr>
        <w:t>Net cash provided by investing activities in the year ended December 31, 2025 was $4.2 million compared to net cash used in investing activities of $12.6 million in the year ended December 31, 2024. Net cash provided by inves</w:t>
      </w:r>
      <w:r>
        <w:rPr>
          <w:rFonts w:ascii="Times New Roman;serif" w:hAnsi="Times New Roman;serif"/>
          <w:b w:val="false"/>
          <w:color w:val="000000"/>
          <w:sz w:val="20"/>
          <w:shd w:fill="FFFFFF" w:val="clear"/>
        </w:rPr>
        <w:t>ting activities for the year ended December 31, 2025 consisted of purchases of property and equipment of $8.4 million related to individual components in instrument trays to support increased case volumes and software, offset by maturities of our marketable securities, net of purchases, of $12.6 million. Net c</w:t>
      </w:r>
      <w:r>
        <w:rPr>
          <w:rFonts w:ascii="Times New Roman;serif" w:hAnsi="Times New Roman;serif"/>
          <w:b w:val="false"/>
          <w:color w:val="000000"/>
          <w:sz w:val="20"/>
        </w:rPr>
        <w:t>ash used in investing activities for the year ended December 31, 2024 consisted of purchases of property and equipment of $10.5 million related to individual components in instrument trays to support increased case volumes and capitalized costs related to the lease in Santa Clara and equipment and purchases of our marketable securities, net of maturities, of $23.1 million.</w:t>
      </w:r>
      <w:r>
        <w:rPr>
          <w:color w:val="000000"/>
          <w:shd w:fill="FFFFFF" w:val="clear"/>
        </w:rPr>
        <w:t xml:space="preserve"> </w:t>
      </w:r>
    </w:p>
    <w:p>
      <w:pPr>
        <w:pStyle w:val="TextBody"/>
        <w:bidi w:val="0"/>
        <w:spacing w:lineRule="auto" w:line="288" w:before="0" w:after="24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Cash Provided by Financing Activities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Cash provided by financing activities in the year ended December 31, 2025 was $3.4 million resulting from proceeds of the issuance of common stock under our stock-based incentive compensation plans. Cash provided by financing activities for the year ended December 31, 2024 was $2.0 million resulting from proceeds of $2.7 million from the issuance of common stock under our stock-based incentive compensation plans, and net proceeds of $0.7 million from the refinancing of our term loan with First-Citizens.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99085"/>
                <wp:effectExtent l="0" t="0" r="0" b="0"/>
                <wp:wrapNone/>
                <wp:docPr id="75" name="Frame7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Critical Accounting Policies, Significant Judgments, and Use of Estimates</w:t>
      </w:r>
    </w:p>
    <w:p>
      <w:pPr>
        <w:pStyle w:val="TextBody"/>
        <w:bidi w:val="0"/>
        <w:spacing w:lineRule="auto" w:line="288" w:before="0" w:after="240"/>
        <w:ind w:left="0" w:right="0" w:firstLine="540"/>
        <w:jc w:val="both"/>
        <w:rPr/>
      </w:pPr>
      <w:r>
        <w:rPr>
          <w:rFonts w:ascii="Times New Roman;serif" w:hAnsi="Times New Roman;serif"/>
          <w:b w:val="false"/>
          <w:color w:val="000000"/>
          <w:sz w:val="20"/>
        </w:rPr>
        <w:t xml:space="preserve">This discussion and analysis of our financial condition and results of operations is based on our consolidated financial statements, which have been prepared in accordance with generally accepted accounting principles in the United States of America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We base our estimates on our historical experience, current market conditions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We believe that the accounting policy discussed below is critical to understanding our historical and future performance, as it relates to the more significant area involving management's judgments. For more comprehensive discussion of our significant accounting policies, refer to “Note 2 </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 xml:space="preserve">Summary of Significant Account Policies” in the accompanying Notes to Consolidated Financial Statements in Item 8 of this Form 10-K. </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derive our revenue from the sale of our products to medical groups and hospitals through our direct sales force and third-party sales agents throughout the United States and Europe. We receive payment for the implants consumed during the surgery and do not receive additional or separate consideration for the use of the instrument tray furnished for the physicians’ use. We identify the instrument trays as a lease component and the implants as a non-lease component in our arrangements with our customers. We determine that the non-lease component is qualitatively predominant, and as such, elected the practical expedient to not separate the lease and non-lease components. Therefore, the overall arrangement is accounted for under Accounting Standards Codification (“ASC”) 606, Revenue from Contracts with Customers (“ASC 606”).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accordance with ASC 606, we recognize revenue when control is transferred to the customer, in an amount that reflects the consideration we expect to be entitled to in exchange for the goods or services. To recognize revenue, we apply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it relates to majority of our revenue consisting of product sales where our sales representative delivers the product at the point of implantation at hospital or medical facilities, we recognize the revenue upon completion of the procedure and authorization by the customer, net of rebates and price discounts. We also generate a small portion of our revenue from sale of products through third-party sales agents and hospital or medical facilities where the product is ordered in advance of a procedure. The performance obligation is the delivery of the product and therefore, we recognize revenue upon shipment to the customers, net of rebates and price discounts. We account for rebates and price discounts as a reduction to revenue, calculated based on the terms agreed to with the customer. Sales prices are specified in either customer contract, agreed price list, or purchase order, which is executed prior to the transfer of control to the customer. For certain hospitals and medical facilities, we have agreements in place consisting of either a master services agreement or an approved price list, which defines the terms and conditions of the arrangement, including the pricing information, payment terms and pertinent aspects of the relationship between the parties. We also have agreements in place with its third-party sales agents, which include standard terms that do not allow for payment contingent on resale of the product, obtaining financing, or other terms that could impact the distributor’s payment obligation. Our standard payment terms are generally net 30 to 90 days. We consider sales commissions and related expenses as incremental and recoverable costs of acquiring customer contracts. Our sales commissions are paid to our sales representatives in connection with each surgery performed. The period of benefit is concurrent when we recognize our revenue, as such, we also recognize sales commission as expense when incurred.</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grant restricted stock unit awards subject to market and service vesting conditions to certain executive officers. This type of grant consists of the right to receive shares of common stock, subject to achievement of time-based criteria and certain market-related performance goals over a specified period, as established by the Compensation Committee of the Company’s Board of Directors. The fair value of our market-related performance awards is estimated using a Monte-Carlo simulation, which incorporates the probability of the achievement of the market-related performance goals at the date of grant. If such performance goals are not ultimately met, the expense is not reversed. Stock-based compensation expense is recognized ratably over the requisite service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99085"/>
                <wp:effectExtent l="0" t="0" r="0" b="0"/>
                <wp:wrapNone/>
                <wp:docPr id="76" name="Frame7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2 of Notes to Consolidated Financial Statements for related discussions on recently adopted accounting standards and updates on recently issued accounting standards not yet effective, which information is incorporated by reference here.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risks, including changes to foreign currency exchange rates and interest rates.</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Foreign Currency Exchange Risk</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foreign currency risks related to our revenue and operating expenses denominated in currencies other than the U.S. dollar, primarily the Euro. Accordingly, changes in exchange rates, and in particular a strengthening of the U.S. dollar, have in the past, and may in the future, negatively affect our revenue and other operating results as expressed in U.S. dollars.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experienced and will continue to experience fluctuations in net loss as a result of transaction gains or losses related to remeasuring certain current asset and current liability balances denominated in currencies other than the functional currency of the entities in which they are recorded. At this time, we have not entered into, but in the future we may enter into, derivatives or other financial instruments in an attempt to hedge our foreign currency exchange risk. It is difficult to predict the effect hedging activities would have on our results of operations. Foreign currency gains or losses, net recognized in the years 2025, 2024 and 2023 were not material. A hypothetical 100 basis point increase or decrease in foreign exchange rates during any of the periods presented would not have had a material impact on our consolidated financial statements.</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exposure to changes in interest rates relates to interest earned and market value on our cash and cash equivalents and short-term investments. Our cash and cash equivalents and short-term investments consist of cash, money market funds, and U.S. government securities. The market value of our marketable securities may decline if current market interest rates rise. Our investment policy and strategy are focused on preservation of capital and supporting our liquidity requirements. We do not make investments for trading or speculative purposes. A hypothetical increase or decrease in interest rates by 100 basis points would not have resulted in a material impact in the fair value of our net investment position as of December 31, 2025. We do not utilize derivative financial instruments to manage our interest rate risks.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With the execution of the Fourth Amendment with First-Citizens relative to the Fourth Amendment Loan Agreement, interest is payable monthly at a floating annual rate set at the greater of the prime rate as published in the Wall Street Journal minus 0.5% or 4.25%. Rising interest rates will increase the amount of interest paid on this debt. A hypothetical increase or decrease in interest rate by 100 basis point would not have had a material increase or decrease in interest payment during any of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99085"/>
                <wp:effectExtent l="0" t="0" r="0" b="0"/>
                <wp:wrapNone/>
                <wp:docPr id="77" name="Frame7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40"/>
                        <w:ind w:left="0" w:right="0" w:firstLine="495"/>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6750" w:type="dxa"/>
        <w:jc w:val="center"/>
        <w:tblInd w:w="0" w:type="dxa"/>
        <w:tblLayout w:type="fixed"/>
        <w:tblCellMar>
          <w:top w:w="28" w:type="dxa"/>
          <w:left w:w="28" w:type="dxa"/>
          <w:bottom w:w="28" w:type="dxa"/>
          <w:right w:w="28" w:type="dxa"/>
        </w:tblCellMar>
      </w:tblPr>
      <w:tblGrid>
        <w:gridCol w:w="2275"/>
        <w:gridCol w:w="1999"/>
        <w:gridCol w:w="2010"/>
        <w:gridCol w:w="136"/>
        <w:gridCol w:w="136"/>
        <w:gridCol w:w="194"/>
      </w:tblGrid>
      <w:tr>
        <w:trPr/>
        <w:tc>
          <w:tcPr>
            <w:tcW w:w="2275"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145">
              <w:r>
                <w:rPr>
                  <w:rStyle w:val="InternetLink"/>
                  <w:rFonts w:ascii="Times New Roman;serif" w:hAnsi="Times New Roman;serif"/>
                  <w:b w:val="false"/>
                  <w:color w:val="0000FF"/>
                  <w:sz w:val="20"/>
                  <w:u w:val="single"/>
                </w:rPr>
                <w:t>Report of Independent Registered Public Accounting Firm</w:t>
              </w:r>
            </w:hyperlink>
            <w:r>
              <w:rPr>
                <w:color w:val="000000"/>
              </w:rPr>
              <w:t xml:space="preserve"> </w:t>
            </w:r>
            <w:r>
              <w:rPr>
                <w:rFonts w:ascii="Times New Roman;serif" w:hAnsi="Times New Roman;serif"/>
                <w:b w:val="false"/>
                <w:color w:val="000000"/>
                <w:sz w:val="20"/>
              </w:rPr>
              <w:t>(PCAOB ID 238)</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26cdde27c84ae5b4e55dcea4a9be6c_145">
              <w:r>
                <w:rPr>
                  <w:rStyle w:val="InternetLink"/>
                  <w:rFonts w:ascii="Times New Roman;serif" w:hAnsi="Times New Roman;serif"/>
                  <w:b w:val="false"/>
                  <w:color w:val="0000FF"/>
                  <w:sz w:val="20"/>
                  <w:u w:val="single"/>
                </w:rPr>
                <w:t>76</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148">
              <w:r>
                <w:rPr>
                  <w:rStyle w:val="InternetLink"/>
                  <w:rFonts w:ascii="Times New Roman;serif" w:hAnsi="Times New Roman;serif"/>
                  <w:b w:val="false"/>
                  <w:color w:val="0000FF"/>
                  <w:sz w:val="20"/>
                  <w:u w:val="single"/>
                </w:rPr>
                <w:t>Consolidated Balance Sheets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26cdde27c84ae5b4e55dcea4a9be6c_148">
              <w:r>
                <w:rPr>
                  <w:rStyle w:val="InternetLink"/>
                  <w:rFonts w:ascii="Times New Roman;serif" w:hAnsi="Times New Roman;serif"/>
                  <w:b w:val="false"/>
                  <w:color w:val="0000FF"/>
                  <w:sz w:val="20"/>
                  <w:u w:val="single"/>
                </w:rPr>
                <w:t>78</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151">
              <w:r>
                <w:rPr>
                  <w:rStyle w:val="InternetLink"/>
                  <w:rFonts w:ascii="Times New Roman;serif" w:hAnsi="Times New Roman;serif"/>
                  <w:b w:val="false"/>
                  <w:color w:val="0000FF"/>
                  <w:sz w:val="20"/>
                  <w:u w:val="single"/>
                </w:rPr>
                <w:t>Consolidated Statements of Operations and Comprehensive Loss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26cdde27c84ae5b4e55dcea4a9be6c_151">
              <w:r>
                <w:rPr>
                  <w:rStyle w:val="InternetLink"/>
                  <w:rFonts w:ascii="Times New Roman;serif" w:hAnsi="Times New Roman;serif"/>
                  <w:b w:val="false"/>
                  <w:color w:val="0000FF"/>
                  <w:sz w:val="20"/>
                  <w:u w:val="single"/>
                </w:rPr>
                <w:t>79</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154">
              <w:r>
                <w:rPr>
                  <w:rStyle w:val="InternetLink"/>
                  <w:rFonts w:ascii="Times New Roman;serif" w:hAnsi="Times New Roman;serif"/>
                  <w:b w:val="false"/>
                  <w:color w:val="0000FF"/>
                  <w:sz w:val="20"/>
                  <w:u w:val="single"/>
                </w:rPr>
                <w:t>Consolidated Statements of Changes in Stockholders' Equity</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26cdde27c84ae5b4e55dcea4a9be6c_154">
              <w:r>
                <w:rPr>
                  <w:rStyle w:val="InternetLink"/>
                  <w:rFonts w:ascii="Times New Roman;serif" w:hAnsi="Times New Roman;serif"/>
                  <w:b w:val="false"/>
                  <w:color w:val="0000FF"/>
                  <w:sz w:val="20"/>
                  <w:u w:val="single"/>
                </w:rPr>
                <w:t>80</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157">
              <w:r>
                <w:rPr>
                  <w:rStyle w:val="InternetLink"/>
                  <w:rFonts w:ascii="Times New Roman;serif" w:hAnsi="Times New Roman;serif"/>
                  <w:b w:val="false"/>
                  <w:color w:val="0000FF"/>
                  <w:sz w:val="20"/>
                  <w:u w:val="single"/>
                </w:rPr>
                <w:t>Consolidated Statements of Cash Flows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26cdde27c84ae5b4e55dcea4a9be6c_157">
              <w:r>
                <w:rPr>
                  <w:rStyle w:val="InternetLink"/>
                  <w:rFonts w:ascii="Times New Roman;serif" w:hAnsi="Times New Roman;serif"/>
                  <w:b w:val="false"/>
                  <w:color w:val="0000FF"/>
                  <w:sz w:val="20"/>
                  <w:u w:val="single"/>
                </w:rPr>
                <w:t>81</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160">
              <w:r>
                <w:rPr>
                  <w:rStyle w:val="InternetLink"/>
                  <w:rFonts w:ascii="Times New Roman;serif" w:hAnsi="Times New Roman;serif"/>
                  <w:b w:val="false"/>
                  <w:color w:val="0000FF"/>
                  <w:sz w:val="20"/>
                  <w:u w:val="single"/>
                </w:rPr>
                <w:t>Notes to Consolidated Financial 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26cdde27c84ae5b4e55dcea4a9be6c_160">
              <w:r>
                <w:rPr>
                  <w:rStyle w:val="InternetLink"/>
                  <w:rFonts w:ascii="Times New Roman;serif" w:hAnsi="Times New Roman;serif"/>
                  <w:b w:val="false"/>
                  <w:color w:val="0000FF"/>
                  <w:sz w:val="20"/>
                  <w:u w:val="single"/>
                </w:rPr>
                <w:t>82</w:t>
              </w:r>
            </w:hyperlink>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214">
              <w:r>
                <w:rPr>
                  <w:rStyle w:val="InternetLink"/>
                  <w:rFonts w:ascii="Times New Roman;serif" w:hAnsi="Times New Roman;serif"/>
                  <w:b w:val="false"/>
                  <w:color w:val="0000FF"/>
                  <w:sz w:val="20"/>
                  <w:u w:val="single"/>
                </w:rPr>
                <w:t>Supplementary Data</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a26cdde27c84ae5b4e55dcea4a9be6c_214">
              <w:r>
                <w:rPr>
                  <w:rStyle w:val="InternetLink"/>
                  <w:rFonts w:ascii="Times New Roman;serif" w:hAnsi="Times New Roman;serif"/>
                  <w:b w:val="false"/>
                  <w:color w:val="0000FF"/>
                  <w:sz w:val="20"/>
                  <w:u w:val="single"/>
                </w:rPr>
                <w:t>104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607060"/>
                <wp:effectExtent l="0" t="0" r="0" b="0"/>
                <wp:wrapNone/>
                <wp:docPr id="78" name="Frame77"/>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75</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Report of Independent Registered Public Accounting Firm </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To the Board of Directors and Stockholders of SI-BONE,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Opinions on the Financial Statements and Internal Control over Financial Reporting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have audited the accompanying consolidated balance sheets of SI-BONE, Inc. and its subsidiaries (the "Company") as of December 31, 2025 and 2024, and the related consolidated statements of operations and comprehensive loss, of changes in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the COSO.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Basis for Opinions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Critical Audit Matters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607060"/>
                <wp:effectExtent l="0" t="0" r="0" b="0"/>
                <wp:wrapNone/>
                <wp:docPr id="79" name="Frame78"/>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76</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 Recognition - U.S. Product Sales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described in Note 2 to the consolidated financial statements, the majority of the Company's consolidated revenue comes from product sales where the Company’s sales representative delivers the product at the point of implantation at the hospital or medical facilities. Management recognizes the revenue from these sales upon completion of the procedure and authorization by the customer, net of rebates and price discounts. The Company also generates a small portion of revenue from the sale of products through third-party sales agents and to certain hospitals or medical facilities where the products are ordered in advance of a procedure, and management recognizes revenue upon shipment to the customers, net of rebates and price discounts. The Company’s consolidated revenue was $200.9 million for the year ended December 31, 2025, of which $191.1 million related to the U.S. product sales.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principal consideration for our determination that performing procedures relating to revenue recognition for U.S. product sales is a critical audit matter is a high degree of auditor effort in performing procedures related to the Company’s revenue recognition for U.S. product sales.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(i) testing the completeness and accuracy of data provided by management; (ii) evaluating revenue transactions by testing the issuance and settlement of invoices and credit memos and tracing transactions not settled to a detailed listing of accounts receivable; and (iii) confirming a sample of outstanding customer invoice balances at December 31, 2025 and, for confirmations not returned, obtaining and inspecting source documents, such as invoices, sales contracts, and proof of implantation or shipment for unpaid invoices, and obtaining invoices and subsequent cash receipts for paid invoices.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/s/PricewaterhouseCoopers LLP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San Jose, California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February 24,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2013.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607060"/>
                <wp:effectExtent l="0" t="0" r="0" b="0"/>
                <wp:wrapNone/>
                <wp:docPr id="80" name="Frame79"/>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77</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750"/>
        <w:gridCol w:w="2169"/>
        <w:gridCol w:w="2177"/>
        <w:gridCol w:w="251"/>
        <w:gridCol w:w="986"/>
        <w:gridCol w:w="130"/>
        <w:gridCol w:w="109"/>
        <w:gridCol w:w="109"/>
        <w:gridCol w:w="109"/>
        <w:gridCol w:w="249"/>
        <w:gridCol w:w="980"/>
        <w:gridCol w:w="186"/>
      </w:tblGrid>
      <w:tr>
        <w:trPr/>
        <w:tc>
          <w:tcPr>
            <w:tcW w:w="2750"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7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7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42,240 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105,583 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115,094 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$1,013 and $588, respectively</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27,074 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216,115 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207,779 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ASSETS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238,555 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230,437 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LIABILITIES AND STOCKHOLDERS’ EQUITY </w:t>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other</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 portion</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5" w:type="dxa"/>
            <w:gridSpan w:val="3"/>
            <w:tcBorders/>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25,279 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27,132 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net of current portion</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63,473 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6)</w:t>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5,000,000 shares authorized; no shares issued and outstanding</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100,000,000 shares authorized; 43,647,131 and 42,086,477 shares issued and outstanding, respectively</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626,970 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598,070 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2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(450,258)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(431,354)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177,532 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166,964 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238,555 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230,437 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607060"/>
                <wp:effectExtent l="0" t="0" r="0" b="0"/>
                <wp:wrapNone/>
                <wp:docPr id="81" name="Frame80"/>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78</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OPERATIONS AND COMPREHENSIVE LOSS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and per share amounts) </w:t>
      </w:r>
    </w:p>
    <w:tbl>
      <w:tblPr>
        <w:tblW w:w="10205" w:type="dxa"/>
        <w:jc w:val="center"/>
        <w:tblInd w:w="0" w:type="dxa"/>
        <w:tblLayout w:type="fixed"/>
        <w:tblCellMar>
          <w:top w:w="28" w:type="dxa"/>
          <w:left w:w="28" w:type="dxa"/>
          <w:bottom w:w="28" w:type="dxa"/>
          <w:right w:w="28" w:type="dxa"/>
        </w:tblCellMar>
      </w:tblPr>
      <w:tblGrid>
        <w:gridCol w:w="2164"/>
        <w:gridCol w:w="1740"/>
        <w:gridCol w:w="1703"/>
        <w:gridCol w:w="109"/>
        <w:gridCol w:w="109"/>
        <w:gridCol w:w="109"/>
        <w:gridCol w:w="219"/>
        <w:gridCol w:w="862"/>
        <w:gridCol w:w="109"/>
        <w:gridCol w:w="109"/>
        <w:gridCol w:w="109"/>
        <w:gridCol w:w="109"/>
        <w:gridCol w:w="219"/>
        <w:gridCol w:w="862"/>
        <w:gridCol w:w="109"/>
        <w:gridCol w:w="109"/>
        <w:gridCol w:w="109"/>
        <w:gridCol w:w="109"/>
        <w:gridCol w:w="219"/>
        <w:gridCol w:w="862"/>
        <w:gridCol w:w="156"/>
      </w:tblGrid>
      <w:tr>
        <w:trPr/>
        <w:tc>
          <w:tcPr>
            <w:tcW w:w="2164"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156,351 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(46,931)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5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(43,233)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used to compute basic and diluted net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42,959,856 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41,466,564 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38,427,419 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consolidated financial statements. </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2"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share amounts) </w:t>
      </w:r>
    </w:p>
    <w:tbl>
      <w:tblPr>
        <w:tblW w:w="10205" w:type="dxa"/>
        <w:jc w:val="center"/>
        <w:tblInd w:w="0" w:type="dxa"/>
        <w:tblLayout w:type="fixed"/>
        <w:tblCellMar>
          <w:top w:w="28" w:type="dxa"/>
          <w:left w:w="28" w:type="dxa"/>
          <w:bottom w:w="28" w:type="dxa"/>
          <w:right w:w="28" w:type="dxa"/>
        </w:tblCellMar>
      </w:tblPr>
      <w:tblGrid>
        <w:gridCol w:w="662"/>
        <w:gridCol w:w="335"/>
        <w:gridCol w:w="336"/>
        <w:gridCol w:w="109"/>
        <w:gridCol w:w="109"/>
        <w:gridCol w:w="109"/>
        <w:gridCol w:w="548"/>
        <w:gridCol w:w="548"/>
        <w:gridCol w:w="211"/>
        <w:gridCol w:w="109"/>
        <w:gridCol w:w="109"/>
        <w:gridCol w:w="109"/>
        <w:gridCol w:w="268"/>
        <w:gridCol w:w="344"/>
        <w:gridCol w:w="139"/>
        <w:gridCol w:w="109"/>
        <w:gridCol w:w="109"/>
        <w:gridCol w:w="109"/>
        <w:gridCol w:w="211"/>
        <w:gridCol w:w="841"/>
        <w:gridCol w:w="109"/>
        <w:gridCol w:w="109"/>
        <w:gridCol w:w="109"/>
        <w:gridCol w:w="109"/>
        <w:gridCol w:w="344"/>
        <w:gridCol w:w="784"/>
        <w:gridCol w:w="178"/>
        <w:gridCol w:w="109"/>
        <w:gridCol w:w="109"/>
        <w:gridCol w:w="109"/>
        <w:gridCol w:w="211"/>
        <w:gridCol w:w="841"/>
        <w:gridCol w:w="109"/>
        <w:gridCol w:w="109"/>
        <w:gridCol w:w="109"/>
        <w:gridCol w:w="109"/>
        <w:gridCol w:w="212"/>
        <w:gridCol w:w="850"/>
        <w:gridCol w:w="162"/>
      </w:tblGrid>
      <w:tr>
        <w:trPr/>
        <w:tc>
          <w:tcPr>
            <w:tcW w:w="66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Accumulated </w:t>
              <w:br/>
              <w:t xml:space="preserve">Other </w:t>
              <w:br/>
              <w:t xml:space="preserve">Comprehensive </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Total </w:t>
              <w:br/>
              <w:t xml:space="preserve">Stockholders’ Equity </w:t>
            </w:r>
          </w:p>
        </w:tc>
      </w:tr>
      <w:tr>
        <w:trPr/>
        <w:tc>
          <w:tcPr>
            <w:tcW w:w="1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34,731,577</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455,172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(357,105)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98,302</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Issuance of common stock from public offerings, net of underwriting discounts, commissions and offering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4,068,497 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83,672 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 net of shares withheld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698,627 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178,918 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993,077 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warrant,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gain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40,693,299</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569,477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335</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(400,441)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169,375</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143,685 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176,787 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1,072,706 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42,086,477</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598,070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244</w:t>
            </w: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(431,354)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166,964</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stock options, net of shares withheld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205,722 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related to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192,350 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1,161,888 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warrant, net of shares withheld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43,647,131</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626,970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816</w:t>
            </w:r>
            <w:r>
              <w:rPr>
                <w:color w:val="000000"/>
              </w:rPr>
              <w:t>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(450,258)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177,532</w:t>
            </w:r>
            <w:r>
              <w:rPr>
                <w:color w:val="000000"/>
              </w:rPr>
              <w:t>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The accompanying notes are an integral part of these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607060"/>
                <wp:effectExtent l="0" t="0" r="0" b="0"/>
                <wp:wrapNone/>
                <wp:docPr id="83" name="Frame82"/>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80</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240" w:after="283"/>
        <w:jc w:val="center"/>
        <w:rPr/>
      </w:pPr>
      <w:r>
        <w:rPr>
          <w:color w:val="000000"/>
          <w:shd w:fill="FFFFFF" w:val="clear"/>
        </w:rPr>
        <w:t> </w:t>
      </w:r>
      <w:r>
        <w:rPr>
          <w:rFonts w:ascii="Times New Roman;serif" w:hAnsi="Times New Roman;serif"/>
          <w:b/>
          <w:color w:val="000000"/>
          <w:sz w:val="20"/>
          <w:shd w:fill="FFFFFF" w:val="clear"/>
        </w:rPr>
        <w:t>SI-BONE,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361"/>
        <w:gridCol w:w="2042"/>
        <w:gridCol w:w="2050"/>
        <w:gridCol w:w="196"/>
        <w:gridCol w:w="712"/>
        <w:gridCol w:w="109"/>
        <w:gridCol w:w="109"/>
        <w:gridCol w:w="109"/>
        <w:gridCol w:w="109"/>
        <w:gridCol w:w="196"/>
        <w:gridCol w:w="712"/>
        <w:gridCol w:w="109"/>
        <w:gridCol w:w="109"/>
        <w:gridCol w:w="109"/>
        <w:gridCol w:w="109"/>
        <w:gridCol w:w="196"/>
        <w:gridCol w:w="712"/>
        <w:gridCol w:w="156"/>
      </w:tblGrid>
      <w:tr>
        <w:trPr/>
        <w:tc>
          <w:tcPr>
            <w:tcW w:w="2361" w:type="dxa"/>
            <w:tcBorders/>
            <w:vAlign w:val="center"/>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6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(43,336)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loss to net cash used in operating activities</w:t>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Depreciation and amortization</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Accounts receivable credit losses</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 reserve</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Amortization of discount and premium on marketable securities</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debt issuance costs</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6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of property and equipment</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assets</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 and other</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(18,713)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0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Maturities of marketable securities</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137,500 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6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marketable securities</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(189,499)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property and equipment</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(7,799)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cash provided by (used in) investing activities</w:t>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(59,798)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follow-on public offering, net of underwriting discounts, commissions and offering costs</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debt financing, net of debt issuance cost</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debt financing</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(35,275)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6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Final payment fee related to debt</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exercise of common stock options</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issuance of common stock under employee stock purchase plan</w:t>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6453"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provided by financing activities</w:t>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90,933 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Effect of exchange rate changes on cash and cash equivalents</w:t>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Net increase in cash and cash equivalents</w:t>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and cash equivalents at</w:t>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Beginning of year</w:t>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End of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64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Noncash investing and financing activities</w:t>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 obtained in exchange for operating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information</w:t>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3"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64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Unpaid purchases of property and equipment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607060"/>
                <wp:effectExtent l="0" t="0" r="0" b="0"/>
                <wp:wrapNone/>
                <wp:docPr id="84" name="Frame83"/>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 The Company and Nature of Business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SI-BONE, Inc. (the “Company”) was incorporated in the state of Delaware on March 18, 2008 and is headquartered in Santa Clara, California. The Company is a leader in developing innovative procedural solutions for compromised bone, grounded in expertise in biomechanical design and anatomy-specific innovation. As pioneers of minimally invasive treatment for sacroiliac joint dysfunction and degeneration, the Company has developed a deep competency in addressing the challenges of low-density bone in the sacrum. With its additive manufacturing, or 3D-printing, experience developed in sacroiliac fusion, the Company has established a technology platform that now extends to meet critical unmet needs in thoracolumbar fixation and fusion and pelvic trauma.</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Since launching its first generation iFuse in 2009, the Company has launched multiple implant product lines, including iFuse 3D in 2017, iFuse TORQ in 2021, iFuse Bedrock Granite in 2022, and iFuse INTRA and iFuse TORQ TNT in 2024. In the United States, iFuse, iFuse 3D, iFuse TORQ and iFuse Bedrock Granite have clearances for applications in sacroiliac joint dysfunction, adult spinal deformity and pelvic trauma. iFuse TORQ TNT has clearances for applications in pelvic trauma and sacroiliac joint dysfunction. In Europe, iFuse, iFuse 3D and iFuse TORQ are approved for applications in sacroiliac fusion, adult spinal deformity and pelvic fracture fixation.</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Risks and Uncertainties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cash and cash equivalents are primarily invested in deposits and money market accounts with a single major financial institution in the U.S. Deposits in these banks may exceed the federally insured limits or any other insurance provided on such deposits, if any. As of the date of issuance of these consolidated financial statements, the extent to which the current macroeconomic environment may materially impact the Company's financial condition, liquidity, or results of operations remains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have been prepared in accordance with generally accepted accounting principles in the United States of America (“U.S. GAAP”). The consolidated financial statements include the Company's accounts, as well as those of the Company's wholly-owned international subsidiaries. All inter-company accounts and transactions have been eliminated.</w:t>
      </w:r>
    </w:p>
    <w:p>
      <w:pPr>
        <w:pStyle w:val="TextBody"/>
        <w:bidi w:val="0"/>
        <w:spacing w:lineRule="auto" w:line="288" w:before="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88" w:before="0" w:after="240"/>
        <w:ind w:left="0" w:right="0" w:firstLine="540"/>
        <w:jc w:val="both"/>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w:t>
      </w:r>
      <w:r>
        <w:rPr>
          <w:rFonts w:ascii="Times New Roman;serif" w:hAnsi="Times New Roman;serif"/>
          <w:b w:val="false"/>
          <w:color w:val="000000"/>
          <w:sz w:val="20"/>
          <w:shd w:fill="FFFFFF" w:val="clear"/>
        </w:rPr>
        <w:t xml:space="preserve">. Significant accounting estimates and management judgments reflected in the consolidated financial </w:t>
      </w:r>
      <w:r>
        <w:rPr>
          <w:rFonts w:ascii="Times New Roman;serif" w:hAnsi="Times New Roman;serif"/>
          <w:b w:val="false"/>
          <w:color w:val="000000"/>
          <w:sz w:val="20"/>
        </w:rPr>
        <w:t xml:space="preserve">statements primarily includes the fair value of performance-based restricted stock unit awards. Estimates are based on historical experience, where applicable and other assumptions believed to be reasonable by the management. Actual results could differ from those estimates. </w:t>
      </w:r>
    </w:p>
    <w:p>
      <w:pPr>
        <w:pStyle w:val="TextBody"/>
        <w:bidi w:val="0"/>
        <w:spacing w:lineRule="auto" w:line="288" w:before="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chief operating decision makers ("CODMs") are the Chief Executive Officer and Chief Financial Officer. The Company has determined that it has a single operating and reportable segment. The CODMs use revenue and net loss at the consolidated level to measure segment profit and loss, allocate resources, monitor plan versus actual results, and manage operations. Significant expenses within net loss include cost of goods sold, sales and marketing, research and development, and general and administrative at the consolidated level. Other segment items within net loss include interest income, interest expense, and other income (expense), net. </w:t>
      </w:r>
    </w:p>
    <w:p>
      <w:pPr>
        <w:pStyle w:val="TextBody"/>
        <w:bidi w:val="0"/>
        <w:spacing w:lineRule="auto" w:line="288" w:before="0" w:after="0"/>
        <w:ind w:left="0" w:right="0" w:firstLine="540"/>
        <w:jc w:val="both"/>
        <w:rPr/>
      </w:pPr>
      <w:r>
        <w:rPr>
          <w:rFonts w:ascii="Times New Roman;serif" w:hAnsi="Times New Roman;serif"/>
          <w:b w:val="false"/>
          <w:color w:val="000000"/>
          <w:sz w:val="20"/>
        </w:rPr>
        <w:t xml:space="preserve">Substantially all of the segment revenue is derived from sales to customers in the United States. Descriptions of segment products are included in </w:t>
      </w:r>
      <w:hyperlink w:anchor="i9a26cdde27c84ae5b4e55dcea4a9be6c_163">
        <w:r>
          <w:rPr>
            <w:rStyle w:val="InternetLink"/>
            <w:rFonts w:ascii="Times New Roman;serif" w:hAnsi="Times New Roman;serif"/>
            <w:b w:val="false"/>
            <w:strike w:val="false"/>
            <w:dstrike w:val="false"/>
            <w:color w:val="000000"/>
            <w:sz w:val="20"/>
            <w:u w:val="none"/>
            <w:effect w:val="none"/>
          </w:rPr>
          <w:t>Note 1. The Company and Nature of Business</w:t>
        </w:r>
      </w:hyperlink>
      <w:r>
        <w:rPr>
          <w:rFonts w:ascii="Times New Roman;serif" w:hAnsi="Times New Roman;serif"/>
          <w:b w:val="false"/>
          <w:color w:val="000000"/>
          <w:sz w:val="20"/>
        </w:rPr>
        <w:t xml:space="preserve">. Revenue by geography is based on billing address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607060"/>
                <wp:effectExtent l="0" t="0" r="0" b="0"/>
                <wp:wrapNone/>
                <wp:docPr id="85" name="Frame84"/>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customer. International revenue accounted for less than 10% of the total revenue during the periods presented. Long-lived assets held outside the United States are immaterial. The following table summarizes the Company's revenue by geography:</w:t>
      </w:r>
    </w:p>
    <w:tbl>
      <w:tblPr>
        <w:tblW w:w="5336" w:type="dxa"/>
        <w:jc w:val="center"/>
        <w:tblInd w:w="0" w:type="dxa"/>
        <w:tblLayout w:type="fixed"/>
        <w:tblCellMar>
          <w:top w:w="28" w:type="dxa"/>
          <w:left w:w="28" w:type="dxa"/>
          <w:bottom w:w="28" w:type="dxa"/>
          <w:right w:w="28" w:type="dxa"/>
        </w:tblCellMar>
      </w:tblPr>
      <w:tblGrid>
        <w:gridCol w:w="435"/>
        <w:gridCol w:w="381"/>
        <w:gridCol w:w="383"/>
        <w:gridCol w:w="211"/>
        <w:gridCol w:w="826"/>
        <w:gridCol w:w="109"/>
        <w:gridCol w:w="109"/>
        <w:gridCol w:w="109"/>
        <w:gridCol w:w="109"/>
        <w:gridCol w:w="211"/>
        <w:gridCol w:w="826"/>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(in thousands)</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138,886 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foreign subsidiaries use local currency as their functional currency. Assets and liabilities are translated at exchange rates prevailing at the balance sheet dates. Revenue, costs and expenses are translated into U.S. dollars using average exchange rates for the period. Gains and losses from foreign currency translation are recorded as a component of accumulated other comprehensive income (loss). Gains and losses from foreign currency transactions are recognized as a component of other income (expense), net.</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Concentration of Credit Risk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a concentration of credit risk consist of cash and marketable securities. The Company’s cash and marketable securities are deposited with financial institutions in the United States and in Europe. The majority of the Company’s cash and marketable securities are deposited with a single financial institution in the United States. Deposits in this institution exceed the amount of insurance provided on such deposits. The Company has not experienced any net losses on its deposits of cash and marketable securities.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revenue and accounts receivable are spread across a large number of customers, primarily in the United States, and no customer accounts for more than 10% of total revenue or gross accounts receivable in any period presented.</w:t>
      </w:r>
    </w:p>
    <w:p>
      <w:pPr>
        <w:pStyle w:val="TextBody"/>
        <w:bidi w:val="0"/>
        <w:spacing w:lineRule="auto" w:line="288" w:before="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Carrying amounts of certain of the Company’s financial instruments, including cash equivalents, accounts receivable, accounts payable, and accrued liabilities, approximate fair value due to their relatively short maturities and market interest rates, if applicable. The Company's marketable securities are classified as Level 1 or Level 2 of the fair value hierarchy as defined below. The carrying value of the Company’s long-term debt also approximates fair value based on management’s estimation that a current interest rate would not differ materially from the stated rate.</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discloses and recognizes the fair value of its assets and liabilities using a hierarchy that prioritizes the inputs to valuation techniques used to measure fair value.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value hierarchy has been established, which prioritizes the inputs used in measuring fair value as follows: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Level 1: Quoted prices (unadjusted) in active market that are accessible at measurement date for assets or liabilities. The fair value hierarchy gives the highest priority to Level 1 inputs.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Level 2: Observable prices that are based on inputs not quoted on active markets, but corroborated by market data.</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Level 3: Unobservable inputs are used when little or no market data is available. The fair value hierarchy gives the lowest priority to Level 3 inputs.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607060"/>
                <wp:effectExtent l="0" t="0" r="0" b="0"/>
                <wp:wrapNone/>
                <wp:docPr id="86" name="Frame85"/>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with remaining maturities at the date of purchase of three months or less to be cash equivalents.</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Marketable Securities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marketable securities primarily consist of investments in money market funds, U.S. treasury securities and U.S. agency bonds. All of the Company's marketable securities are available-for-sale debt securities and are classified based on their maturities. Marketable securities with remaining maturities at the date of purchase of three months or less are classified as cash equivalents. Short term investments are securities that original or remaining maturity is greater than three months and not more than twelve months. Long-term investments are securities that original or remaining maturity is more than twelve months. All marketable securities are recorded at their estimated fair value. When the fair value of a security is below its amortized cost, the amortized cost will be reduced to its fair value if it is more likely than not that the Company will be required to sell the potentially impaired security before recovery of its amortized cost basis, or the Company has the intention to sell the security. If neither of these conditions are met, the Company determines whether the impairment is due to credit losses by comparing the present value of the expected cash flows of the security with its amortized cost basis. The amount of impairment recognized is limited to the excess of the amortized cost over the fair value of the security. An allowance for credit losses for the excess of amortized cost over the expected cash flows is recorded in other income, net in the consolidated statements of operations. Impairment losses that are not credit-related are included in accumulated other comprehensive income (loss) in stockholders’ equity.</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Accounts Receivable and Allowance for Credit Losses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Trade accounts receivable are recorded at the invoiced amount, net of allowances for credit losses for any potential uncollectible amounts. The allowance for credit losses is based on our assessment of the collectability of accounts. Management elects the practical expedient that permits an entity to assume that current conditions as of the balance sheet date do not change for the remaining life of the asset. Management regularly reviews the adequacy of the allowance for credit losses on a collective basis by considering the age of each outstanding invoice, each customer’s expected ability to pay and collection history, current market conditions, and reasonable and supportable forecasts of future economic conditions to determine whether the allowance is appropriate. Accounts receivable are written-off and charged against an allowance for credit losses when the Company has exhausted collection efforts without success. </w:t>
      </w:r>
    </w:p>
    <w:p>
      <w:pPr>
        <w:pStyle w:val="TextBody"/>
        <w:bidi w:val="0"/>
        <w:spacing w:lineRule="auto" w:line="288" w:before="0" w:after="0"/>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movement in the allowance for credit losses was as follows:</w:t>
      </w:r>
    </w:p>
    <w:tbl>
      <w:tblPr>
        <w:tblW w:w="5967" w:type="dxa"/>
        <w:jc w:val="left"/>
        <w:tblInd w:w="0" w:type="dxa"/>
        <w:tblLayout w:type="fixed"/>
        <w:tblCellMar>
          <w:top w:w="28" w:type="dxa"/>
          <w:left w:w="28" w:type="dxa"/>
          <w:bottom w:w="28" w:type="dxa"/>
          <w:right w:w="28" w:type="dxa"/>
        </w:tblCellMar>
      </w:tblPr>
      <w:tblGrid>
        <w:gridCol w:w="891"/>
        <w:gridCol w:w="783"/>
        <w:gridCol w:w="786"/>
        <w:gridCol w:w="211"/>
        <w:gridCol w:w="616"/>
        <w:gridCol w:w="109"/>
        <w:gridCol w:w="109"/>
        <w:gridCol w:w="109"/>
        <w:gridCol w:w="109"/>
        <w:gridCol w:w="211"/>
        <w:gridCol w:w="616"/>
        <w:gridCol w:w="109"/>
        <w:gridCol w:w="109"/>
        <w:gridCol w:w="109"/>
        <w:gridCol w:w="109"/>
        <w:gridCol w:w="211"/>
        <w:gridCol w:w="616"/>
        <w:gridCol w:w="154"/>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(in thousands)</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Inventory is stated at lower of cost or net realizable value. The Company establishes the inventory basis by determining the cost based on standard costs approximating the purchase costs on a first-in, first-out basis. The excess and obsolete inventory is estimated based on future demand and market conditions. Inventory write-downs are charged to cost of goods sold. </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Property and equipment are stated at cost less accumulated depreciation and amortization. All property and equipment is depreciated on a straight-line basis over the estimated useful lives of the assets, which are as follows:</w:t>
      </w:r>
    </w:p>
    <w:tbl>
      <w:tblPr>
        <w:tblW w:w="7185" w:type="dxa"/>
        <w:jc w:val="center"/>
        <w:tblInd w:w="0" w:type="dxa"/>
        <w:tblLayout w:type="fixed"/>
        <w:tblCellMar>
          <w:top w:w="28" w:type="dxa"/>
          <w:left w:w="28" w:type="dxa"/>
          <w:bottom w:w="28" w:type="dxa"/>
          <w:right w:w="28" w:type="dxa"/>
        </w:tblCellMar>
      </w:tblPr>
      <w:tblGrid>
        <w:gridCol w:w="979"/>
        <w:gridCol w:w="859"/>
        <w:gridCol w:w="862"/>
        <w:gridCol w:w="1307"/>
        <w:gridCol w:w="1307"/>
        <w:gridCol w:w="1871"/>
      </w:tblGrid>
      <w:tr>
        <w:trPr/>
        <w:tc>
          <w:tcPr>
            <w:tcW w:w="97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Computer and office equipment</w:t>
            </w:r>
          </w:p>
        </w:tc>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 – 5 years</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 trays</w:t>
            </w:r>
          </w:p>
        </w:tc>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 – 5 years</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 years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Leasehold Improvement</w:t>
            </w:r>
          </w:p>
        </w:tc>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Lesser of estimated useful life or remaining lease term</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607060"/>
                <wp:effectExtent l="0" t="0" r="0" b="0"/>
                <wp:wrapNone/>
                <wp:docPr id="87" name="Frame86"/>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6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Construction in progress includes the cost of individual components of an instrument tray used for surgical placement of the Company's products that have not yet been placed into service. Once an instrument tray is placed into service, the Company transfers its carrying value into instrument trays and begins depreciating the cost of the instrument tray over its useful life. Individual components within an instrument tray may require replacement due to normal wear and tear or periodic loss. When an impairment or disposal of individual components or instrument trays occurs, the cost and related accumulated depreciation are removed from the consolidated balance sheet and the resulting gain or loss is recognized as a component of cost of goods sold in the consolidated statements of operations and comprehensive loss. Maintenance and repairs are charged to operations as incurred.</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reviews long-lived assets for impairment whenever events or changes in circumstances indicate that the carrying amount of the assets (or asset group) may not be fully recoverable. Whenever events or changes in circumstances suggest that the carrying amount of long-lived assets may not be recoverable, the Company estimates the future cash flows expected to be generated by the assets (or asset group) from its use or eventual disposition. If the sum of the expected future cash flows is less than the carrying amount of those assets, the Company recognizes an impairment loss based on the excess of the carrying amount over the fair value of the assets. Significant management judgment is required in the grouping of long-lived assets and forecasts of future operating results that are used in the discounted cash flow method of valuation. For the years ended December 31, 2025, 2024, and 2023 the Company has not experienced impairment losses on its long-lived assets.</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is a lease at inception. The classification of leases is evaluated at commencement and, as necessary, at modification. Operating leases are included in operating lease right-of-use assets and operating lease liabilities on the consolidated balance sheets. The Company does not have any material finance leases in any of the periods presented.</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Operating lease expense is recognized on a straight-line basis over the term of the lease. Variable lease payments are recognized as operating expenses in the period in which the obligation for those payments is incurred. Variable lease payments primarily include common area maintenance, utilities, real estate taxes and other operating costs that are passed on from the lessor in proportion to the space leased by the Company. The lease term represents the non-cancelable period of the lease. For certain leases, the Company has an option to extend the lease term. These renewal options are not considered in the remaining lease term unless it is reasonably certain that the Company will exercise such options.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elected certain practical expedients which are: (i) to not record leases with an initial term of twelve months or less on the balance sheet; (ii) to combine the lease and non-lease components in determining the lease liabilities and right-of-use assets, and (iii) to carry forward prior conclusions about lease identification and classification. The Company’s lease contracts do not provide an implicit borrowing rate; hence the Company determined the incremental borrowing rate based on information available at lease commencement to determine the present value of lease liability. The Company determines its incremental borrowing rate based on the rate of interest that the Company would have to pay to borrow on a collateralized basis over a similar term, an amount equal to the lease payments in a similar economic environment. The Company uses its headquarters in the United States ("parent entity")’s incremental borrowing rates as the treasury operations are managed centrally by the parent entity. </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revenue is derived from the sale of its products to medical groups and hospitals through its direct sales force and third-party sales agents and resellers throughout the United States and Europe. The Company receives payment for its implants consumed during the surgery and does not receive additional or separate consideration for the use of the instrument tray furnished by the Company for the physicians’ use. The Company identifies the instrument trays as a lease component and the implants as a non-lease component in its arrangements with its customers. The Company determines that the non-lease component is qualitatively predominant, and as such, elected the practical expedient to not separate the lease and non-lease components. Therefore, the overall arrangement is accounted for under Accounting Standards Codification (“ASC”) 606, Revenue from Contracts with Customers (“ASC 606”).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607060"/>
                <wp:effectExtent l="0" t="0" r="0" b="0"/>
                <wp:wrapNone/>
                <wp:docPr id="88" name="Frame87"/>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ind w:left="0" w:right="0" w:firstLine="540"/>
        <w:jc w:val="both"/>
        <w:rPr/>
      </w:pPr>
      <w:r>
        <w:rPr>
          <w:rFonts w:ascii="Times New Roman;serif" w:hAnsi="Times New Roman;serif"/>
          <w:b w:val="false"/>
          <w:color w:val="000000"/>
          <w:sz w:val="20"/>
        </w:rPr>
        <w:t>In accordance with ASC 606, the Company recognizes revenue when control is transferred to the customer, in an amount that reflects the consideration the Company expects to be entitled to in exchange for the goods or services. Under the revenue recognition standard, the Company applies the following five step approach: (1) identify the contract with a customer, (2) identify the performance obligations in the contract, (3) determine the transaction price, (4) allocate the transaction price to the performance obligations in the contract, and (5) recognize revenue when a performance obligation is satisfied. As it relates to product sales where the Company's sales representative delivers the product at the point of implantation at the hospital or medical facilities, the Company continues to recognize the revenue upon completion of the procedure and authorization by the customer, net of rebates and price discounts. This represents the majority of the Company's consolidated revenue. The Company also generates a small portion of revenue from the sale of products through third-party sales agents and to certain hospital or medical facilities where the products are ordered in advance of a procedure. The performance obligation is the delivery of the products and therefore, revenue is recognized upon shipment to the customers, net of re</w:t>
      </w:r>
      <w:r>
        <w:rPr>
          <w:rFonts w:ascii="Times New Roman;serif" w:hAnsi="Times New Roman;serif"/>
          <w:b w:val="false"/>
          <w:color w:val="000000"/>
          <w:sz w:val="20"/>
          <w:shd w:fill="FFFFFF" w:val="clear"/>
        </w:rPr>
        <w:t>bates and price discounts. The Company accounts for rebates and price discounts as a reduction to revenue, calculated based on the terms agreed to with the customer. Sales prices are specified in either the customer contract or agreed price list, which is executed prior to the transfer of control to the customer. For certain hospitals and medical facilities, the Company has agreements in place consists of either a master services agreement or an agreed price list, which defines the terms and conditions of the arrangement, including the pricing information, payment terms and pertinent aspects of the relationship between the parties. The Company also has agreements in place with its distributors, which include standard terms that do not allow for payment contingent on resale of the product, obtaining financing, or other terms that could impact the distributor’s payment obligation. The Company's standard payment terms are generally net 30 to 90 days.</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Shipping and Handling Costs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Shipping and handling costs are treated as fulfillment costs, which are expensed as incurred and are included in cost of goods sold. </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Costs to Obtain Customer Contracts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Sales commissions and related expenses are considered incremental and recoverable costs of acquiring customer contracts. The Company’s sales commissions paid to its sales representatives are generally based on the surgeries performed. The Company applied the practical expedient that permits an entity to expense the cost to obtain a contract as incurred when the expected amortization is one year or less. The period of benefit is concurrent with when the Company recognizes its revenue and as such, the Company recognizes sales commissions as expense when incurred. </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Warranty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a warranty program that provides a purchaser a one-time replacement of any iFuse implant at no additional cost for a revision procedure within a one-year period following the original procedure and is accounted for as a warranty accrual. The Company also provides a purchaser with a one-time credit equal to the purchase price paid for use on future purchases for any revision procedure within the one-year period following an original procedure where an implant is not required. The warranty is not priced or sold separately and is intended to safeguard the customer against defects and it does not provide incremental service to the customer. As such, it is considered an assurance type warranty and is not accounted as a service type warranty, which could represent a separate performance obligation. The Company accounts for these one-time credits as sales reserves and is included in accrued liabilities and other in the consolidated balance sheets. Sales and warranty reserves from the warranty program were immaterial as of December 31, 2025 and 2024.</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Research and development costs are charged to operations as incurred and consist of costs incurred by the Company for the development of the Company’s product which primarily include: (1) employee-related expenses, including salaries, benefits, travel and stock-based compensation expense; (2) external research and development expenses; and (3) other expenses, which include direct and allocated expenses for facilities and other costs.</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Advertising Expenditures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cost of advertising is expensed as incurred and is included under sales and marketing expense in the consolidated statements of operations. Advertising expenses were $0.5 million, $0.5 million and $1.1 million for the years ended December 31, 2025,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607060"/>
                <wp:effectExtent l="0" t="0" r="0" b="0"/>
                <wp:wrapNone/>
                <wp:docPr id="89" name="Frame88"/>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Loss Contingency</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various potential loss contingencies arising in the ordinary course of business. From time to time, the Company may be involved in certain proceedings, legal actions and claims. Such matters are subject to many uncertainties, and the outcomes of these matters are not within the Company's control and may not be known for prolonged periods of time. In some actions, the claimants may seek damages, as well as other relief, including injunctions which may prohibit the Company to engage in certain activities, which, if granted, could require significant expenditures and/or result in lost revenues. The Company records a liability in the consolidated financial statements when a loss is known or considered probable and the amount can be reasonably estimated. If the reasonable estimate of a known or probable loss is a range, and no amount within the range is a better estimate than any other, the minimum amount of the range is accrued. If a loss is reasonably possible but not known or probable, and can be reasonably estimated, the estimated loss or range of loss is disclosed. In most cases, significant judgment is required to estimate the amount and timing of a loss to be recorded. </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applies the fair value recognition provisions of stock-based compensation. Stock-based compensation expense is recognized over the requisite service period using the straight-line method and is based on the value of the portion of stock-based payment awards that is ultimately expected to vest. As such, the Company’s stock-based compensation is reduced for the estimated forfeitures at the date of grant and revised, if necessary, in subsequent periods if actual forfeitures differ from those estimates. The Company uses historical data to estimate pre-vesting forfeitures and record stock-based compensation expense only for those awards that are expected to vest. To the extent actual forfeitures differ from the estimates, the difference will be recorded as a cumulative adjustment in the period that the estimates are revised.</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estimates the grant date fair value of stock options using the Black-Scholes option valuation model. The model requires management to make a number of assumptions including expected volatility, expected term, risk-free interest rate and expected dividends. A number of these assumptions are subjective, and their determination generally require judgment.</w:t>
      </w:r>
    </w:p>
    <w:p>
      <w:pPr>
        <w:pStyle w:val="TextBody"/>
        <w:bidi w:val="0"/>
        <w:spacing w:lineRule="auto" w:line="288" w:before="0" w:after="240"/>
        <w:ind w:left="0" w:right="0" w:firstLine="540"/>
        <w:jc w:val="both"/>
        <w:rPr/>
      </w:pPr>
      <w:r>
        <w:rPr>
          <w:color w:val="000000"/>
        </w:rPr>
        <w:t>•</w:t>
      </w:r>
      <w:r>
        <w:rPr>
          <w:rFonts w:ascii="Times New Roman;serif" w:hAnsi="Times New Roman;serif"/>
          <w:b w:val="false"/>
          <w:i/>
          <w:color w:val="000000"/>
          <w:sz w:val="20"/>
        </w:rPr>
        <w:t xml:space="preserve">Expected Term - </w:t>
      </w:r>
      <w:r>
        <w:rPr>
          <w:rFonts w:ascii="Times New Roman;serif" w:hAnsi="Times New Roman;serif"/>
          <w:b w:val="false"/>
          <w:color w:val="000000"/>
          <w:sz w:val="20"/>
        </w:rPr>
        <w:t>The expected term represents the period that the share-based awards are expected to be outstanding. The Company uses the simplified method to determine the expected term as permitted by the guidance. The simplified method is calculated as the average of the time to vesting and the contractual life of the options.</w:t>
      </w:r>
    </w:p>
    <w:p>
      <w:pPr>
        <w:pStyle w:val="TextBody"/>
        <w:bidi w:val="0"/>
        <w:spacing w:lineRule="auto" w:line="288" w:before="0" w:after="240"/>
        <w:ind w:left="0" w:right="0" w:firstLine="540"/>
        <w:jc w:val="both"/>
        <w:rPr/>
      </w:pPr>
      <w:r>
        <w:rPr>
          <w:color w:val="000000"/>
        </w:rPr>
        <w:t>•</w:t>
      </w:r>
      <w:r>
        <w:rPr>
          <w:rFonts w:ascii="Times New Roman;serif" w:hAnsi="Times New Roman;serif"/>
          <w:b w:val="false"/>
          <w:i/>
          <w:color w:val="000000"/>
          <w:sz w:val="20"/>
        </w:rPr>
        <w:t xml:space="preserve">Expected Volatility - </w:t>
      </w:r>
      <w:r>
        <w:rPr>
          <w:rFonts w:ascii="Times New Roman;serif" w:hAnsi="Times New Roman;serif"/>
          <w:b w:val="false"/>
          <w:color w:val="000000"/>
          <w:sz w:val="20"/>
        </w:rPr>
        <w:t>The expected volatility is measured using the historical daily changes in the market price of the Company's common stock over a period consistent with the expected term.</w:t>
      </w:r>
    </w:p>
    <w:p>
      <w:pPr>
        <w:pStyle w:val="TextBody"/>
        <w:bidi w:val="0"/>
        <w:spacing w:lineRule="auto" w:line="288" w:before="0" w:after="240"/>
        <w:ind w:left="0" w:right="0" w:firstLine="540"/>
        <w:jc w:val="both"/>
        <w:rPr/>
      </w:pPr>
      <w:r>
        <w:rPr>
          <w:color w:val="000000"/>
        </w:rPr>
        <w:t>•</w:t>
      </w:r>
      <w:r>
        <w:rPr>
          <w:rFonts w:ascii="Times New Roman;serif" w:hAnsi="Times New Roman;serif"/>
          <w:b w:val="false"/>
          <w:i/>
          <w:color w:val="000000"/>
          <w:sz w:val="20"/>
        </w:rPr>
        <w:t xml:space="preserve">Risk-Free Interest Rate - </w:t>
      </w:r>
      <w:r>
        <w:rPr>
          <w:rFonts w:ascii="Times New Roman;serif" w:hAnsi="Times New Roman;serif"/>
          <w:b w:val="false"/>
          <w:color w:val="000000"/>
          <w:sz w:val="20"/>
        </w:rPr>
        <w:t>The risk-free interest rate is based on the U.S. Treasury zero coupon issued in effect at the time of grant for periods corresponding with the expected term of the option.</w:t>
      </w:r>
    </w:p>
    <w:p>
      <w:pPr>
        <w:pStyle w:val="TextBody"/>
        <w:bidi w:val="0"/>
        <w:spacing w:lineRule="auto" w:line="288" w:before="0" w:after="240"/>
        <w:ind w:left="0" w:right="0" w:firstLine="540"/>
        <w:jc w:val="both"/>
        <w:rPr/>
      </w:pPr>
      <w:r>
        <w:rPr>
          <w:color w:val="000000"/>
        </w:rPr>
        <w:t>•</w:t>
      </w:r>
      <w:r>
        <w:rPr>
          <w:rFonts w:ascii="Times New Roman;serif" w:hAnsi="Times New Roman;serif"/>
          <w:b w:val="false"/>
          <w:i/>
          <w:color w:val="000000"/>
          <w:sz w:val="20"/>
        </w:rPr>
        <w:t xml:space="preserve">Dividend Yield - </w:t>
      </w:r>
      <w:r>
        <w:rPr>
          <w:rFonts w:ascii="Times New Roman;serif" w:hAnsi="Times New Roman;serif"/>
          <w:b w:val="false"/>
          <w:color w:val="000000"/>
          <w:sz w:val="20"/>
        </w:rPr>
        <w:t>The Company has not paid any dividends and has no current plans to pay dividends on its common stock. As such, the Company uses expected dividend yield of zero.</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 of the restricted stock unit (“RSU”) grant is based on the market price of the Company’s common stock on the date of grant.</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grants restricted stock unit awards subject to market and service vesting conditions to certain executive officers. This type of grant consists of the right to receive shares of common stock, subject to achievement of time-based criteria and certain market-related performance goals over a specified period, as established by the Compensation Committee of the Company’s Board of Directors. For these awards that are subject to market-related performance, the fair value is determined based on the number of shares granted and a Monte Carlo valuation model, which incorporates the probability of the achievement of the market-related performance goals as part of the grant date fair value. If such performance goals are not ultimately met, the expense is not reversed. Stock-based compensation expense is recognized ratably over the requisite service period.</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event the underlying terms of stock awards are modified on which stock-based compensation was granted, additional expense is recognized for any modification that increases the total fair value of the share-based payment arrangement at the modification date.</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income taxes under the asset and liability method, whereby deferred tax assets and liabilities are determined based on the difference between the financial statement and tax bases of assets and liabilities using the enacted tax rates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607060"/>
                <wp:effectExtent l="0" t="0" r="0" b="0"/>
                <wp:wrapNone/>
                <wp:docPr id="90" name="Frame89"/>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effect for the year in which the differences are expected to affect taxable income. A valuation allowance is established when necessary to reduce deferred tax assets to the amounts expected to be realized.</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recognizes uncertain tax positions when it meets a more-likely-than-not threshold. The Company recognizes potential accrued interest and penalties related to unrecognized tax benefits as income tax expense. </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Net Loss per Share of Common Stock</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Basic net loss per common share is calculated by dividing the net loss by the weighted-average number of common shares outstanding during the period, without consideration for potentially dilutive securities. Diluted net loss per share is computed by dividing the net loss by the weighted-average number of common shares and potentially dilutive securities outstanding for the period. For purposes of the diluted net loss per share calculation, common stock options, restricted stock units, ESPP purchase rights and warrants are considered to be potentially dilutive securities. Because the Company has reported a net loss in all periods presented, common stock options, restricted stock units, ESPP purchase rights and warrants are anti-dilutive, therefore diluted net loss per common share is the same as basic net loss per common share for those periods.</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Comprehensive Loss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Comprehensive loss represents changes in the stockholders’ equity except those resulting from distributions to stockholders. The Company’s unrealized foreign currency translation income (losses) and unrealized gains (losses) on marketable securities represent the two components of other comprehensive income that are excluded from the reported net loss for each of the reporting periods and has been presented in the consolidated statements of operations and comprehensive loss.</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warrants for shares of common stock as equity in accordance with the accounting guidance for derivatives. The accounting guidance provides a scope exception from classifying and measuring as a financial liability a contract that would otherwise meet the definition of a derivative if the contract is both (i) indexed to the entity’s own stock and (ii) classified in the stockholders’ equity section of the consolidated balance sheet. The Company determined that the warrants for shares of common stock issued in connection with its prior debt arrangements are required to be classified in equity. Warrants classified as equity are recorded as additional paid-in capital on the consolidated balance sheet and no further adjustments to their valuation are made.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607060"/>
                <wp:effectExtent l="0" t="0" r="0" b="0"/>
                <wp:wrapNone/>
                <wp:docPr id="91" name="Frame90"/>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Recently Issued Accounting Standards Not Yet Adopted</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2025-12, Codification Improvements (“ASU 2025-12”). ASU 2025-12 provides updates for a broad range of Accounting Topics arising from technical corrections, unintended application of the Codification, clarifications, and other minor improvements. ASU 2025-12 is effective for fiscal years beginning after December 15, 2026 and for interim periods within fiscal years beginning after December 15, 2027. The Company is currently evaluating the impact of ASU 2025-12 on its disclosures.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2025, the FASB issued ASU 2025-11, Interim Reporting (Topic 270) (“ASU 2025-11”). ASU 2025-11 provides additional guidance on interim disclosure requirements and improves the navigability of the requirements. ASU 2025-11 is effective for fiscal years beginning after December 15, 2028 and for interim periods within fiscal years beginning after December 15, 2029. The Company is currently evaluating the impact of ASU 2025-11 on its disclosures.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Goodwill and Other-Internal-Use Software (Subtopic 350-40) - Targeted Improvements to the Accounting for Internal-Use Software (“ASU 2025-06”). ASU 2025-06 makes targeted improvements to the accounting for internal-use software. ASU 2025-06 is effective for fiscal years beginning after December 15, 2027 and for interim periods within fiscal years beginning after December 15, 2027. The Company is currently evaluating the impact of ASU 2025-06 on its accounting for internal developed software and related disclosures.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Disaggregation of Income Statement Expenses (“ASU 2024-03”). ASU 2024-03 requires disclosure in the notes to the financial statements of specified information about certain costs and expenses. ASU 2024-03 is effective for fiscal years beginning after December 15, 2026 and for interim periods within fiscal years beginning after December 15, 2027. ASU 2024-03 should be applied either prospectively to financial statements issued for reporting periods after the effective date of this ASU or retrospectively to any or all prior periods presented in the financial statements. The Company is currently evaluating the impact of ASU 2024-03 on its disclosures.</w:t>
      </w:r>
    </w:p>
    <w:p>
      <w:pPr>
        <w:pStyle w:val="TextBody"/>
        <w:bidi w:val="0"/>
        <w:spacing w:before="120" w:after="240"/>
        <w:ind w:left="0" w:right="0" w:firstLine="540"/>
        <w:jc w:val="both"/>
        <w:rPr/>
      </w:pPr>
      <w:r>
        <w:rPr/>
      </w:r>
    </w:p>
    <w:p>
      <w:pPr>
        <w:pStyle w:val="TextBody"/>
        <w:bidi w:val="0"/>
        <w:spacing w:before="180" w:after="240"/>
        <w:ind w:left="0" w:right="0" w:firstLine="49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607060"/>
                <wp:effectExtent l="0" t="0" r="0" b="0"/>
                <wp:wrapNone/>
                <wp:docPr id="92" name="Frame91"/>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89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3. Marketable Securities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All of the Company's marketable securities were available-for-sale debt securities and were classified based on their maturities. Marketable securities with remaining maturities at the date of purchase of three months or less are classified as cash equivalents. Short-term investments are securities that original maturity or remaining maturity is greater than three months and not more than twelve months. Long-term investments are securities for which the original maturity or remaining maturity is greater than twelve months.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summarizes the marketable securities: </w:t>
      </w:r>
    </w:p>
    <w:tbl>
      <w:tblPr>
        <w:tblW w:w="9302" w:type="dxa"/>
        <w:jc w:val="center"/>
        <w:tblInd w:w="0" w:type="dxa"/>
        <w:tblLayout w:type="fixed"/>
        <w:tblCellMar>
          <w:top w:w="28" w:type="dxa"/>
          <w:left w:w="28" w:type="dxa"/>
          <w:bottom w:w="28" w:type="dxa"/>
          <w:right w:w="28" w:type="dxa"/>
        </w:tblCellMar>
      </w:tblPr>
      <w:tblGrid>
        <w:gridCol w:w="834"/>
        <w:gridCol w:w="735"/>
        <w:gridCol w:w="740"/>
        <w:gridCol w:w="243"/>
        <w:gridCol w:w="952"/>
        <w:gridCol w:w="125"/>
        <w:gridCol w:w="109"/>
        <w:gridCol w:w="109"/>
        <w:gridCol w:w="109"/>
        <w:gridCol w:w="381"/>
        <w:gridCol w:w="843"/>
        <w:gridCol w:w="200"/>
        <w:gridCol w:w="109"/>
        <w:gridCol w:w="109"/>
        <w:gridCol w:w="109"/>
        <w:gridCol w:w="430"/>
        <w:gridCol w:w="829"/>
        <w:gridCol w:w="225"/>
        <w:gridCol w:w="109"/>
        <w:gridCol w:w="109"/>
        <w:gridCol w:w="109"/>
        <w:gridCol w:w="316"/>
        <w:gridCol w:w="1238"/>
        <w:gridCol w:w="230"/>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Fair Value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28,524 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33,524 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101,371 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101,471 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bonds</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105,480 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105,583 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139,003 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139,107 </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302" w:type="dxa"/>
        <w:jc w:val="center"/>
        <w:tblInd w:w="0" w:type="dxa"/>
        <w:tblLayout w:type="fixed"/>
        <w:tblCellMar>
          <w:top w:w="28" w:type="dxa"/>
          <w:left w:w="28" w:type="dxa"/>
          <w:bottom w:w="28" w:type="dxa"/>
          <w:right w:w="28" w:type="dxa"/>
        </w:tblCellMar>
      </w:tblPr>
      <w:tblGrid>
        <w:gridCol w:w="834"/>
        <w:gridCol w:w="735"/>
        <w:gridCol w:w="740"/>
        <w:gridCol w:w="243"/>
        <w:gridCol w:w="952"/>
        <w:gridCol w:w="125"/>
        <w:gridCol w:w="109"/>
        <w:gridCol w:w="109"/>
        <w:gridCol w:w="109"/>
        <w:gridCol w:w="413"/>
        <w:gridCol w:w="796"/>
        <w:gridCol w:w="215"/>
        <w:gridCol w:w="109"/>
        <w:gridCol w:w="109"/>
        <w:gridCol w:w="109"/>
        <w:gridCol w:w="430"/>
        <w:gridCol w:w="829"/>
        <w:gridCol w:w="225"/>
        <w:gridCol w:w="109"/>
        <w:gridCol w:w="109"/>
        <w:gridCol w:w="109"/>
        <w:gridCol w:w="316"/>
        <w:gridCol w:w="1238"/>
        <w:gridCol w:w="230"/>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Fair Value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27,326 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27,326 </w:t>
            </w:r>
          </w:p>
        </w:tc>
        <w:tc>
          <w:tcPr>
            <w:tcW w:w="2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112,649 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112,738 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bonds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115,004 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115,094 </w:t>
            </w:r>
          </w:p>
        </w:tc>
        <w:tc>
          <w:tcPr>
            <w:tcW w:w="2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142,330 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142,420 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amortized cost of the Company's available-for-sale securities approximates their fair value. Unrealized losses are generally due to interest rate fluctuations, as opposed to credit quality. However, the Company reviews individual securities that are in an unrealized loss position in order to evaluate whether or not they have experienced or are expected to experience credit losses. As of December 31, 2025 and 2024, unrealized gains and losses from the investments were not the result of a decline in credit quality. As a result, the Company did not recognize any credit losses related to its investments and that all unrealized gains and losses on available-for-sale securities are recorded in accumulated other comprehensive income (loss) on the consolidated balance sheets during the years ended December 31, 2025 and 2024. </w:t>
      </w:r>
    </w:p>
    <w:p>
      <w:pPr>
        <w:pStyle w:val="TextBody"/>
        <w:bidi w:val="0"/>
        <w:spacing w:lineRule="auto" w:line="288" w:before="0" w:after="240"/>
        <w:ind w:left="0" w:right="0" w:firstLine="540"/>
        <w:jc w:val="both"/>
        <w:rPr/>
      </w:pPr>
      <w:r>
        <w:rPr>
          <w:rFonts w:ascii="Times New Roman;serif" w:hAnsi="Times New Roman;serif"/>
          <w:b w:val="false"/>
          <w:color w:val="000000"/>
          <w:sz w:val="20"/>
        </w:rPr>
        <w:t>The Company elected to present accrued interest receivable separately from short-term investments on its consolidated balance sheets. Accrued interest rec</w:t>
      </w:r>
      <w:r>
        <w:rPr>
          <w:rFonts w:ascii="Times New Roman;serif" w:hAnsi="Times New Roman;serif"/>
          <w:b w:val="false"/>
          <w:color w:val="000000"/>
          <w:sz w:val="20"/>
          <w:shd w:fill="FFFFFF" w:val="clear"/>
        </w:rPr>
        <w:t xml:space="preserve">eivables were </w:t>
      </w:r>
      <w:r>
        <w:rPr>
          <w:rFonts w:ascii="Times New Roman;serif" w:hAnsi="Times New Roman;serif"/>
          <w:b w:val="false"/>
          <w:color w:val="000000"/>
          <w:sz w:val="20"/>
        </w:rPr>
        <w:t>$0.5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$0.3 million </w:t>
      </w:r>
      <w:r>
        <w:rPr>
          <w:rFonts w:ascii="Times New Roman;serif" w:hAnsi="Times New Roman;serif"/>
          <w:b w:val="false"/>
          <w:color w:val="000000"/>
          <w:sz w:val="20"/>
          <w:shd w:fill="FFFFFF" w:val="clear"/>
        </w:rPr>
        <w:t>as of December 31, 2025</w:t>
      </w:r>
      <w:r>
        <w:rPr>
          <w:color w:val="000000"/>
        </w:rPr>
        <w:t xml:space="preserve"> </w:t>
      </w:r>
      <w:r>
        <w:rPr>
          <w:rFonts w:ascii="Times New Roman;serif" w:hAnsi="Times New Roman;serif"/>
          <w:b w:val="false"/>
          <w:color w:val="000000"/>
          <w:sz w:val="20"/>
        </w:rPr>
        <w:t>and 2024, respectively, and were recorded in prepaid expenses and other current assets. The Company also elected to exclude accrued interest receivable from the estimation of expected credit losses on its marketable securities and reverse accrued interest receivable through interest income (expense) when amounts are determined to be uncollectible. The Company did not write off any accrued interest receivable during the years ended December 31, 2025,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607060"/>
                <wp:effectExtent l="0" t="0" r="0" b="0"/>
                <wp:wrapNone/>
                <wp:docPr id="93" name="Frame92"/>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4. Fair Value Measurement</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Carrying amounts of certain of the Company’s financial instruments, including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 from the stated rate. There were no other financial assets and liabilities that requires fair value hierarchy measurements and disclosures for the periods presented.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fair value of the Company’s marketable securities measured at fair value on a recurring basis based on the three-tier fair value hierarchy:</w:t>
      </w:r>
    </w:p>
    <w:tbl>
      <w:tblPr>
        <w:tblW w:w="7289" w:type="dxa"/>
        <w:jc w:val="center"/>
        <w:tblInd w:w="0" w:type="dxa"/>
        <w:tblLayout w:type="fixed"/>
        <w:tblCellMar>
          <w:top w:w="28" w:type="dxa"/>
          <w:left w:w="28" w:type="dxa"/>
          <w:bottom w:w="28" w:type="dxa"/>
          <w:right w:w="28" w:type="dxa"/>
        </w:tblCellMar>
      </w:tblPr>
      <w:tblGrid>
        <w:gridCol w:w="836"/>
        <w:gridCol w:w="734"/>
        <w:gridCol w:w="739"/>
        <w:gridCol w:w="211"/>
        <w:gridCol w:w="826"/>
        <w:gridCol w:w="109"/>
        <w:gridCol w:w="109"/>
        <w:gridCol w:w="109"/>
        <w:gridCol w:w="109"/>
        <w:gridCol w:w="211"/>
        <w:gridCol w:w="616"/>
        <w:gridCol w:w="109"/>
        <w:gridCol w:w="109"/>
        <w:gridCol w:w="109"/>
        <w:gridCol w:w="109"/>
        <w:gridCol w:w="211"/>
        <w:gridCol w:w="406"/>
        <w:gridCol w:w="109"/>
        <w:gridCol w:w="109"/>
        <w:gridCol w:w="109"/>
        <w:gridCol w:w="109"/>
        <w:gridCol w:w="211"/>
        <w:gridCol w:w="826"/>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bonds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Marketable securities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agency bonds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5. Balance Sheet Components</w:t>
      </w:r>
    </w:p>
    <w:p>
      <w:pPr>
        <w:pStyle w:val="TextBody"/>
        <w:bidi w:val="0"/>
        <w:spacing w:lineRule="auto" w:line="288" w:before="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Inventory</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inventory consisted of finished goods of $29.9 million and work-in-progress and components of $4.0 million. As of December 31, 2024, inventory consisted of finished goods of $24.0 million and work-in-progress and components of $3.1 million.</w:t>
      </w:r>
    </w:p>
    <w:p>
      <w:pPr>
        <w:pStyle w:val="TextBody"/>
        <w:bidi w:val="0"/>
        <w:spacing w:lineRule="auto" w:line="288" w:before="0" w:after="0"/>
        <w:ind w:left="0" w:right="0" w:firstLine="540"/>
        <w:jc w:val="left"/>
        <w:rPr/>
      </w:pPr>
      <w:r>
        <w:rPr>
          <w:rFonts w:ascii="Times New Roman;serif" w:hAnsi="Times New Roman;serif"/>
          <w:b/>
          <w:i/>
          <w:color w:val="000000"/>
          <w:sz w:val="20"/>
        </w:rPr>
        <w:t>Property and Equipment, net</w:t>
      </w:r>
      <w:r>
        <w:rPr>
          <w:rFonts w:ascii="Times New Roman;serif" w:hAnsi="Times New Roman;serif"/>
          <w:b w:val="false"/>
          <w:color w:val="000000"/>
          <w:sz w:val="20"/>
        </w:rPr>
        <w:t>:</w:t>
      </w:r>
    </w:p>
    <w:tbl>
      <w:tblPr>
        <w:tblW w:w="7616" w:type="dxa"/>
        <w:jc w:val="center"/>
        <w:tblInd w:w="0" w:type="dxa"/>
        <w:tblLayout w:type="fixed"/>
        <w:tblCellMar>
          <w:top w:w="28" w:type="dxa"/>
          <w:left w:w="28" w:type="dxa"/>
          <w:bottom w:w="28" w:type="dxa"/>
          <w:right w:w="28" w:type="dxa"/>
        </w:tblCellMar>
      </w:tblPr>
      <w:tblGrid>
        <w:gridCol w:w="1504"/>
        <w:gridCol w:w="1321"/>
        <w:gridCol w:w="1330"/>
        <w:gridCol w:w="313"/>
        <w:gridCol w:w="1070"/>
        <w:gridCol w:w="161"/>
        <w:gridCol w:w="109"/>
        <w:gridCol w:w="109"/>
        <w:gridCol w:w="109"/>
        <w:gridCol w:w="309"/>
        <w:gridCol w:w="1056"/>
        <w:gridCol w:w="225"/>
      </w:tblGrid>
      <w:tr>
        <w:trPr/>
        <w:tc>
          <w:tcPr>
            <w:tcW w:w="15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120" w:after="283"/>
              <w:ind w:left="0" w:right="0" w:hanging="18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Instrument trays</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25,733 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23,158 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Computer and office equipment</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39,915 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(19,541)</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20,374 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607060"/>
                <wp:effectExtent l="0" t="0" r="0" b="0"/>
                <wp:wrapNone/>
                <wp:docPr id="94" name="Frame93"/>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construction in progress pertains to cost of individual components of an instrument tray used for surgical placement of the Company's products that have not yet been placed into service of $5.8 million and software costs of $0.1 million. As of December 31, 2024, construction in progress pertains to cost of individual components of an instrument tray used for surgical placement of the Company's products that have not yet been placed into service of $5.6 million and software costs of $0.6 million. Depreciation expense was $5.8 million, $4.4 million and $5.4 million for the years ended December 31, 2025, 2024, and 2023, respectively.</w:t>
      </w:r>
    </w:p>
    <w:p>
      <w:pPr>
        <w:pStyle w:val="TextBody"/>
        <w:bidi w:val="0"/>
        <w:spacing w:lineRule="auto" w:line="288" w:before="0" w:after="0"/>
        <w:ind w:left="0" w:right="0" w:firstLine="540"/>
        <w:jc w:val="left"/>
        <w:rPr/>
      </w:pPr>
      <w:r>
        <w:rPr>
          <w:rFonts w:ascii="Times New Roman;serif" w:hAnsi="Times New Roman;serif"/>
          <w:b/>
          <w:i/>
          <w:color w:val="000000"/>
          <w:sz w:val="20"/>
        </w:rPr>
        <w:t>Accrued Liabilities and Other</w:t>
      </w:r>
      <w:r>
        <w:rPr>
          <w:rFonts w:ascii="Times New Roman;serif" w:hAnsi="Times New Roman;serif"/>
          <w:b w:val="false"/>
          <w:color w:val="000000"/>
          <w:sz w:val="20"/>
        </w:rPr>
        <w:t>:</w:t>
      </w:r>
    </w:p>
    <w:tbl>
      <w:tblPr>
        <w:tblW w:w="7166" w:type="dxa"/>
        <w:jc w:val="center"/>
        <w:tblInd w:w="0" w:type="dxa"/>
        <w:tblLayout w:type="fixed"/>
        <w:tblCellMar>
          <w:top w:w="28" w:type="dxa"/>
          <w:left w:w="28" w:type="dxa"/>
          <w:bottom w:w="28" w:type="dxa"/>
          <w:right w:w="28" w:type="dxa"/>
        </w:tblCellMar>
      </w:tblPr>
      <w:tblGrid>
        <w:gridCol w:w="1340"/>
        <w:gridCol w:w="1179"/>
        <w:gridCol w:w="1186"/>
        <w:gridCol w:w="313"/>
        <w:gridCol w:w="1070"/>
        <w:gridCol w:w="161"/>
        <w:gridCol w:w="109"/>
        <w:gridCol w:w="109"/>
        <w:gridCol w:w="109"/>
        <w:gridCol w:w="309"/>
        <w:gridCol w:w="1056"/>
        <w:gridCol w:w="225"/>
      </w:tblGrid>
      <w:tr>
        <w:trPr/>
        <w:tc>
          <w:tcPr>
            <w:tcW w:w="134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8"/>
              </w:rPr>
              <w:t>(in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compensation and related expenses</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royalty</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professional services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Accrued rebates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19,492 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6. Commitments and Contingencies</w:t>
      </w:r>
    </w:p>
    <w:p>
      <w:pPr>
        <w:pStyle w:val="TextBody"/>
        <w:bidi w:val="0"/>
        <w:spacing w:lineRule="auto" w:line="288" w:before="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Operating Leases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 non-cancelable operating lease for an office building space, located in Santa Clara, California, with an original lease period expiring in May 2025. On July 18, 2024, the Company extended the term of the lease for an additional period of fourteen months commencing on June 1, 2025 and expiring in July, 2026.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also has non-cancelable leases for a building used for research and development and warehouse space in Santa Clara, California which expires in October 2026, and office building space in Gallarate, Italy which expires in August 2027.</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leases vehicles under operating lease arrangements for certain of its personnel in Europe which expire at various times throughout 2026 to 2028.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Supplemental information related to lease expense and valuation of the lease assets and lease liabilities are as follows:</w:t>
      </w:r>
    </w:p>
    <w:tbl>
      <w:tblPr>
        <w:tblW w:w="10201" w:type="dxa"/>
        <w:jc w:val="left"/>
        <w:tblInd w:w="0" w:type="dxa"/>
        <w:tblLayout w:type="fixed"/>
        <w:tblCellMar>
          <w:top w:w="28" w:type="dxa"/>
          <w:left w:w="28" w:type="dxa"/>
          <w:bottom w:w="28" w:type="dxa"/>
          <w:right w:w="28" w:type="dxa"/>
        </w:tblCellMar>
      </w:tblPr>
      <w:tblGrid>
        <w:gridCol w:w="2401"/>
        <w:gridCol w:w="2108"/>
        <w:gridCol w:w="2121"/>
        <w:gridCol w:w="759"/>
        <w:gridCol w:w="392"/>
        <w:gridCol w:w="394"/>
        <w:gridCol w:w="109"/>
        <w:gridCol w:w="109"/>
        <w:gridCol w:w="109"/>
        <w:gridCol w:w="759"/>
        <w:gridCol w:w="392"/>
        <w:gridCol w:w="394"/>
        <w:gridCol w:w="154"/>
      </w:tblGrid>
      <w:tr>
        <w:trPr/>
        <w:tc>
          <w:tcPr>
            <w:tcW w:w="2401"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12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(in thousands)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operating lease liabilities</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Leased assets obtained in exchange for new operating lease liabilities</w:t>
            </w:r>
          </w:p>
          <w:p>
            <w:pPr>
              <w:pStyle w:val="TableContents"/>
              <w:bidi w:val="0"/>
              <w:spacing w:before="0" w:after="0"/>
              <w:jc w:val="left"/>
              <w:rPr/>
            </w:pPr>
            <w:r>
              <w:rPr/>
            </w:r>
          </w:p>
        </w:tc>
        <w:tc>
          <w:tcPr>
            <w:tcW w:w="7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3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non-cancelable operating leases as of December 31, 2025 was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607060"/>
                <wp:effectExtent l="0" t="0" r="0" b="0"/>
                <wp:wrapNone/>
                <wp:docPr id="95" name="Frame94"/>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3930" w:type="dxa"/>
        <w:jc w:val="left"/>
        <w:tblInd w:w="0" w:type="dxa"/>
        <w:tblLayout w:type="fixed"/>
        <w:tblCellMar>
          <w:top w:w="28" w:type="dxa"/>
          <w:left w:w="28" w:type="dxa"/>
          <w:bottom w:w="28" w:type="dxa"/>
          <w:right w:w="28" w:type="dxa"/>
        </w:tblCellMar>
      </w:tblPr>
      <w:tblGrid>
        <w:gridCol w:w="962"/>
        <w:gridCol w:w="845"/>
        <w:gridCol w:w="848"/>
        <w:gridCol w:w="274"/>
        <w:gridCol w:w="801"/>
        <w:gridCol w:w="200"/>
      </w:tblGrid>
      <w:tr>
        <w:trPr/>
        <w:tc>
          <w:tcPr>
            <w:tcW w:w="96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ind w:left="0" w:right="0" w:hanging="180"/>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Ending December 31,</w:t>
            </w:r>
          </w:p>
        </w:tc>
        <w:tc>
          <w:tcPr>
            <w:tcW w:w="12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payments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no operating lease liabilities that had not commenced.</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Purchase Commitments and Obligations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certain purchase commitments related to its inventory management with certain manufacturing suppliers based on the agreements or blanket purchase orders. The contractual obligations represent future cash commitments and liabilities under agreements with third parties and exclude orders for goods and services entered into in the normal course of business that are not enforceable or legally binding. These outstanding commitments amounted to $4.3 million and $0.4 million as of December 31, 2025 and 2024, respectively. </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not incurred costs to defend lawsuits or settle claims related to these indemnification agreements. No liability associated with such indemnifications has been recorded to date.</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Legal Contingencies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October 2024, the Company received a civil investigative demand (“CID”) from the U.S. Department of Justice, Civil Division, in connection with an investigation under the federal Anti-Kickback Statute and Civil False Claims Act (the “Investigation”). The CID requests information and documents primarily relating to meals and consulting service payments provided to health care professionals. The Company is cooperating with the Investigation but is currently unable to express a view regarding the likely duration, or ultimate outcome, of the Investigation or estimate the possibility of, or amount or range of, any possible financial impact. Depending on how the Investigation progresses, there may be a material impact on the Company’s business, results of operations, or financial condition.</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become involved in legal proceedings arising in the ordinary course of its business. Except in regard to the Investigation, the Company is not presently a party to any material legal proceedings that, if determined adversely to the Company, would have a material adverse effect on the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7. Borrowings</w:t>
      </w:r>
    </w:p>
    <w:p>
      <w:pPr>
        <w:pStyle w:val="TextBody"/>
        <w:bidi w:val="0"/>
        <w:spacing w:lineRule="auto" w:line="288" w:before="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607060"/>
                <wp:effectExtent l="0" t="0" r="0" b="0"/>
                <wp:wrapNone/>
                <wp:docPr id="96" name="Frame95"/>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before="0" w:after="24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outstanding borrowings from the term loan as of the periods presented:</w:t>
      </w:r>
    </w:p>
    <w:tbl>
      <w:tblPr>
        <w:tblW w:w="9820" w:type="dxa"/>
        <w:jc w:val="center"/>
        <w:tblInd w:w="0" w:type="dxa"/>
        <w:tblLayout w:type="fixed"/>
        <w:tblCellMar>
          <w:top w:w="28" w:type="dxa"/>
          <w:left w:w="28" w:type="dxa"/>
          <w:bottom w:w="28" w:type="dxa"/>
          <w:right w:w="28" w:type="dxa"/>
        </w:tblCellMar>
      </w:tblPr>
      <w:tblGrid>
        <w:gridCol w:w="2304"/>
        <w:gridCol w:w="2019"/>
        <w:gridCol w:w="2036"/>
        <w:gridCol w:w="313"/>
        <w:gridCol w:w="1070"/>
        <w:gridCol w:w="161"/>
        <w:gridCol w:w="109"/>
        <w:gridCol w:w="109"/>
        <w:gridCol w:w="109"/>
        <w:gridCol w:w="309"/>
        <w:gridCol w:w="1056"/>
        <w:gridCol w:w="225"/>
      </w:tblGrid>
      <w:tr>
        <w:trPr/>
        <w:tc>
          <w:tcPr>
            <w:tcW w:w="2304"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6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Principal outstanding</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 and lender fees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Outstanding debt, net of debt issuance costs and unaccreted value of final fee</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35,569 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Classified as:</w:t>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63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borrowings</w:t>
            </w:r>
          </w:p>
        </w:tc>
        <w:tc>
          <w:tcPr>
            <w:tcW w:w="3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35,569 </w:t>
            </w:r>
          </w:p>
        </w:tc>
        <w:tc>
          <w:tcPr>
            <w:tcW w:w="1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35,452 </w:t>
            </w:r>
          </w:p>
        </w:tc>
        <w:tc>
          <w:tcPr>
            <w:tcW w:w="2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outstanding debt is related to a Loan and Security Agreement dated August 12, 2021 (the "Original Loan Agreement") entered into by the Company with Silicon Valley Bank, a California corporation (“SVB”). Pursuant to the Original Loan Agreement, we borrowed a term loan in the aggregate principal amount of $35.0 million to the Company (the “Original Term Loan”).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6, 2023, the Company entered into a First Amendment to Loan and Security Agreement with SVB to amend our Original Loan Agreement (the "First Amendment" and with the Original Loan Agreement, collectively the "Amended Loan Agreement”). Upon entry into the Amended Loan Agreement, the Company borrowed a new term loan in the aggregate principal amount of $36.0 million(the "First Amendment Term Loan"), which was substantially used to repay in full the $35.0 million Original Term Loan outstanding under the Original Loan Agreement, and we also obtained a secured revolving credit facility in an aggregate principal amount of up to $15.0 million (the “Revolving Line”). The First Amendment also provided for a final payment fee payable to SVB of 2% of the original principal amount of the First Amendment Term Loan due upon the earlier of the First Amendment Term Loan Maturity Date, termination of the Amended Loan Agreement, acceleration by the Lender following an event of default, or prepayment of the First Amendment Term Loan.</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25, 2024, the Company entered into a Second Amendment to Loan and Security Agreement with Silicon Valley Bank, a division of First-Citizens Bank &amp; Trust Company, as successor in interest to SVB ("First Citizens") to further amend our Amended Loan Agreement (the “Second Amendment” and together with the Amended Loan Agreement, collectively, the “Second Amended Loan Agreement”). The Second Amendment revised certain provisions related to financial covenants and the periods in which such covenants applied.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8, 2024, the Company entered into a Third Amendment to the Loan and Security Agreement with First-Citizens to further amend our Second Amended Loan Agreement (the “Third Amendment” and together with the Second Amended Loan Agreement, collectively, the “Third Amended Loan Agreement”). Upon entry into the Third Amended Loan Agreement, we borrowed a new term loan in the aggregate principal amount of $36.0 million (the “Third Amendment Term Loan”), which was substantially used to refinance and repay in full the then-outstanding $36.0 million First Amendment Term Loan. The Company also paid a final payment fee of $0.7 million due related to such prior First Amendment Term Loan. The Third Amendment sets the maturity date for the Third Amendment Term Loan as September 1, 2029 (the “Third Amendment Term Loan Maturity Date”), set the first principal repayment due date for the Third Amendment Term Loan to October 1, 2027; which date will, upon the achievement of the Performance Milestone (as defined in the Third Amendment), become October 1, 2028. Interest on the Third Amendment Term Loan will be payable monthly at a floating rate per annum equal to the greater of 4.25% and the WSJ Prime Rate minus 0.5%. The Company may elect to prepay the Third Amendment Term Loan in whole prior to the Third Amendment Term Loan Term Loan Maturity Date, subject to a prepayment fee equal to 1.5% of the original principal amount of the Third Amendment Term Loan if the loan is prepaid within 18 months following the closing of the Third Amendment. The Third Amendment revised certain provisions related to financial covenants and the periods in which such covenants apply.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accounted for the Third Amended Loan Agreement as a debt modification. Accordingly, the remaining unamortized debt issuance costs related to the Second Amended Loan Agreement together with any lender fees incurred in connection with the entry of the Third Amended Loan Agreement are amortized to interest expense using the straight-line method over the new term of the loan through August 2029.</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September 25, 2025, the Company entered into a Fourth Amendment to Loan and Security Agreement with First-Citizens to further amend our Third Amended Loan Agreement (the “Fourth Amendment” and together with the Third Amended Loan Agreement, collectively, the “Fourth Amended Loan Agreement”). The Fourth Amendment revised the periods in which the financial covenants applied.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607060"/>
                <wp:effectExtent l="0" t="0" r="0" b="0"/>
                <wp:wrapNone/>
                <wp:docPr id="97" name="Frame96"/>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interest rates were 7.2%, 9.1% and 9.0% for the years ended December 31, 2025, 2024, and 2023 respectively.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future principal payments under the Fourth Amendment Loan Agreement as of December 31, 2025:</w:t>
      </w:r>
    </w:p>
    <w:tbl>
      <w:tblPr>
        <w:tblW w:w="3434" w:type="dxa"/>
        <w:jc w:val="center"/>
        <w:tblInd w:w="0" w:type="dxa"/>
        <w:tblLayout w:type="fixed"/>
        <w:tblCellMar>
          <w:top w:w="28" w:type="dxa"/>
          <w:left w:w="28" w:type="dxa"/>
          <w:bottom w:w="28" w:type="dxa"/>
          <w:right w:w="28" w:type="dxa"/>
        </w:tblCellMar>
      </w:tblPr>
      <w:tblGrid>
        <w:gridCol w:w="782"/>
        <w:gridCol w:w="688"/>
        <w:gridCol w:w="690"/>
        <w:gridCol w:w="247"/>
        <w:gridCol w:w="847"/>
        <w:gridCol w:w="180"/>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 ending December 31,</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principal payments</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36,000 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Fourth Amended Loan Agreement includes affirmative and negative covenants applicable to the Company and certain of its foreign subsidiaries. The affirmative covenants include, among others, covenants requiring the Company to maintain its legal existence and governmental compliance, deliver certain financial reports, and maintain insurance coverage. The negative covenants include, among others, restrictions regarding transferring collateral, pledging the Company's intellectual property to other parties, engaging in mergers or acquisitions, paying dividends or making other distributions, incurring indebtedness, transacting with affiliates, and entering into certain investments, in each case subject to certain exceptions. As of December 31, 2025, the Company was in compliance with all debt covenants.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8. Warrants</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2025, a warrant holder exercised warrants, and the Company issued 694 net shares of common stock through a cashless exercise of the warrants in accordance with the conversion terms. The table below summarizes common stock warrants issued and outstanding as of December 31, 2025:</w:t>
      </w:r>
    </w:p>
    <w:tbl>
      <w:tblPr>
        <w:tblW w:w="10205" w:type="dxa"/>
        <w:jc w:val="left"/>
        <w:tblInd w:w="0" w:type="dxa"/>
        <w:tblLayout w:type="fixed"/>
        <w:tblCellMar>
          <w:top w:w="28" w:type="dxa"/>
          <w:left w:w="28" w:type="dxa"/>
          <w:bottom w:w="28" w:type="dxa"/>
          <w:right w:w="28" w:type="dxa"/>
        </w:tblCellMar>
      </w:tblPr>
      <w:tblGrid>
        <w:gridCol w:w="293"/>
        <w:gridCol w:w="257"/>
        <w:gridCol w:w="259"/>
        <w:gridCol w:w="109"/>
        <w:gridCol w:w="109"/>
        <w:gridCol w:w="109"/>
        <w:gridCol w:w="312"/>
        <w:gridCol w:w="312"/>
        <w:gridCol w:w="313"/>
        <w:gridCol w:w="109"/>
        <w:gridCol w:w="109"/>
        <w:gridCol w:w="109"/>
        <w:gridCol w:w="398"/>
        <w:gridCol w:w="398"/>
        <w:gridCol w:w="399"/>
        <w:gridCol w:w="109"/>
        <w:gridCol w:w="109"/>
        <w:gridCol w:w="109"/>
        <w:gridCol w:w="260"/>
        <w:gridCol w:w="260"/>
        <w:gridCol w:w="261"/>
        <w:gridCol w:w="109"/>
        <w:gridCol w:w="109"/>
        <w:gridCol w:w="109"/>
        <w:gridCol w:w="294"/>
        <w:gridCol w:w="294"/>
        <w:gridCol w:w="295"/>
        <w:gridCol w:w="109"/>
        <w:gridCol w:w="109"/>
        <w:gridCol w:w="109"/>
        <w:gridCol w:w="459"/>
        <w:gridCol w:w="291"/>
        <w:gridCol w:w="292"/>
        <w:gridCol w:w="109"/>
        <w:gridCol w:w="109"/>
        <w:gridCol w:w="109"/>
        <w:gridCol w:w="476"/>
        <w:gridCol w:w="270"/>
        <w:gridCol w:w="271"/>
        <w:gridCol w:w="109"/>
        <w:gridCol w:w="109"/>
        <w:gridCol w:w="109"/>
        <w:gridCol w:w="362"/>
        <w:gridCol w:w="362"/>
        <w:gridCol w:w="528"/>
      </w:tblGrid>
      <w:tr>
        <w:trPr/>
        <w:tc>
          <w:tcPr>
            <w:tcW w:w="29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20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Outstanding Balance at December 31, 2024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Price per </w:t>
              <w:br/>
              <w:t>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Warrants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Warrant Exercised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Warrant Expired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Outstanding Balance at December 31, 2025</w:t>
            </w:r>
          </w:p>
        </w:tc>
      </w:tr>
      <w:tr>
        <w:trPr/>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Expiration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w:t>
            </w:r>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10/20/2015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(27,767)</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11/09/2015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11/09/2025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(17,140)</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12/22/2016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12/22/2026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9,712</w:t>
            </w:r>
          </w:p>
        </w:tc>
      </w:tr>
      <w:tr>
        <w:trPr/>
        <w:tc>
          <w:tcPr>
            <w:tcW w:w="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11,100</w:t>
            </w:r>
          </w:p>
        </w:tc>
      </w:tr>
    </w:tbl>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9. Common and Preferred Stock</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amended and restated certificate of incorporation as last amended in June 2024, authorizes the Company to issue 100,000,000 shares of common stock and 5,000,000 shares of preferred stock, each having a par value of $0.0001. Common stock issued and outstanding as of December 31, 2025 and 2024 were 43,647,131 shares and 42,086,477 shares, respectively. As of December 31, 2025 and 2024, there was no preferred stock issued and outstanding.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holders of common stock are entitled to receive dividends whenever funds are legally available, as, when, and if declared by the Board of Directors. There have been no dividends declared to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10. Stock-Based Compensation </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2008 Stock Option Plan and 2018 Equity Incentive Plan</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2008, the Company adopted the 2008 Stock Option Plan (the “2008 SOP”), as amended, under which the Board of Directors may issue incentive and non-qualified stock options to employees, directors and consultants. In October 2018, the Company adopted the 2018 Equity Incentive Plan (the “2018 EIP”), which serves as the successor to the 2008 SOP, under which the Board of Directors may issue incentive and non-qualified stock options, RSUs and PSUs to employees, directors and consultants. No new options have been granted under the 2008 SOP since August 2018. Outstanding options under the 2008 SOP continue to be subject to the terms and conditions of that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607060"/>
                <wp:effectExtent l="0" t="0" r="0" b="0"/>
                <wp:wrapNone/>
                <wp:docPr id="98" name="Frame97"/>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number of shares of common stock reserved for issuance under the 2018 EIP will automatically increase on January 1 of each year, beginning January 1, 2019, and continuing through and including January 1, 2028, by 5% of the total number of shares of the Company's capital stock outstanding on December 31 of the preceding calendar year, or a lesser number of shares determined by the Company's Board of Directors. As of December 31, 2025, a total of 5,956,022 shares of common stock are available for future grants under the 2018 EIP. On January 1, 2026, the total number of shares of common stock reserved for issuance under the 2018 EIP automatically increased by 2,182,356 shares.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Board of Directors has the authority to determine to whom options will be granted, the number of shares, the term and the exercise price. If an individual owns stock representing more than 10% of the outstanding shares, the price of each share shall be at least 110% of the fair market value, as determined by the Board of Directors. The exercise price of an incentive stock option and a non-qualified stock option shall not be less than 100% and 85%, respectively, of the fair market value on the date of grant.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Options granted have a term of 10 years, except, options granted to individuals holding more than 10% of the outstanding shares have a term of five years. Options generally vest over a four-year period. RSUs granted under the 2018 EIP generally vest over one to four years based upon continued services and are settled at vesting in shares of the Company's common stock. </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 option activity for the years ended December 31, 2025 and 2024:</w:t>
      </w:r>
    </w:p>
    <w:tbl>
      <w:tblPr>
        <w:tblW w:w="10205" w:type="dxa"/>
        <w:jc w:val="center"/>
        <w:tblInd w:w="0" w:type="dxa"/>
        <w:tblLayout w:type="fixed"/>
        <w:tblCellMar>
          <w:top w:w="28" w:type="dxa"/>
          <w:left w:w="28" w:type="dxa"/>
          <w:bottom w:w="28" w:type="dxa"/>
          <w:right w:w="28" w:type="dxa"/>
        </w:tblCellMar>
      </w:tblPr>
      <w:tblGrid>
        <w:gridCol w:w="728"/>
        <w:gridCol w:w="639"/>
        <w:gridCol w:w="641"/>
        <w:gridCol w:w="539"/>
        <w:gridCol w:w="458"/>
        <w:gridCol w:w="324"/>
        <w:gridCol w:w="109"/>
        <w:gridCol w:w="109"/>
        <w:gridCol w:w="109"/>
        <w:gridCol w:w="655"/>
        <w:gridCol w:w="655"/>
        <w:gridCol w:w="656"/>
        <w:gridCol w:w="109"/>
        <w:gridCol w:w="109"/>
        <w:gridCol w:w="109"/>
        <w:gridCol w:w="783"/>
        <w:gridCol w:w="783"/>
        <w:gridCol w:w="785"/>
        <w:gridCol w:w="109"/>
        <w:gridCol w:w="109"/>
        <w:gridCol w:w="109"/>
        <w:gridCol w:w="336"/>
        <w:gridCol w:w="986"/>
        <w:gridCol w:w="256"/>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Options Outstanding</w:t>
            </w:r>
          </w:p>
        </w:tc>
      </w:tr>
      <w:tr>
        <w:trPr/>
        <w:tc>
          <w:tcPr>
            <w:tcW w:w="2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Weighted-Average Contractual Remaining Life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 (in thousands)</w:t>
            </w:r>
          </w:p>
        </w:tc>
      </w:tr>
      <w:tr>
        <w:trPr/>
        <w:tc>
          <w:tcPr>
            <w:tcW w:w="2008"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2008"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2008"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2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as of December 31, 2024</w:t>
            </w:r>
          </w:p>
        </w:tc>
        <w:tc>
          <w:tcPr>
            <w:tcW w:w="9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1,041,131 </w:t>
            </w:r>
          </w:p>
        </w:tc>
        <w:tc>
          <w:tcPr>
            <w:tcW w:w="3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8" w:type="dxa"/>
            <w:gridSpan w:val="3"/>
            <w:tcBorders/>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(205,722)</w:t>
            </w:r>
          </w:p>
        </w:tc>
        <w:tc>
          <w:tcPr>
            <w:tcW w:w="3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tcMar>
              <w:top w:w="0" w:type="dxa"/>
              <w:left w:w="0" w:type="dxa"/>
              <w:bottom w:w="0" w:type="dxa"/>
              <w:right w:w="0" w:type="dxa"/>
            </w:tcMar>
            <w:vAlign w:val="center"/>
          </w:tcPr>
          <w:p>
            <w:pPr>
              <w:pStyle w:val="TableContents"/>
              <w:bidi w:val="0"/>
              <w:spacing w:lineRule="auto" w:line="240" w:before="0" w:after="2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Canceled and forfeited</w:t>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(32,237)</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as of December 31, 2025</w:t>
            </w:r>
          </w:p>
        </w:tc>
        <w:tc>
          <w:tcPr>
            <w:tcW w:w="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803,172 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vested and exercisable as of December 31, 2025</w:t>
            </w:r>
          </w:p>
        </w:tc>
        <w:tc>
          <w:tcPr>
            <w:tcW w:w="99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803,172 </w:t>
            </w:r>
          </w:p>
        </w:tc>
        <w:tc>
          <w:tcPr>
            <w:tcW w:w="32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Options vested and expected to vest as of December 31, 2025</w:t>
            </w:r>
          </w:p>
        </w:tc>
        <w:tc>
          <w:tcPr>
            <w:tcW w:w="99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803,172 </w:t>
            </w:r>
          </w:p>
        </w:tc>
        <w:tc>
          <w:tcPr>
            <w:tcW w:w="3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40"/>
        <w:ind w:left="0" w:right="0" w:firstLine="540"/>
        <w:jc w:val="both"/>
        <w:rPr/>
      </w:pPr>
      <w:r>
        <w:rPr>
          <w:rFonts w:ascii="Times New Roman;serif" w:hAnsi="Times New Roman;serif"/>
          <w:b w:val="false"/>
          <w:color w:val="000000"/>
          <w:sz w:val="20"/>
        </w:rPr>
        <w:t>The aggregate intrinsic value of options exercised during the years ended December 31, 2025, 2024 and 2023 amounte</w:t>
      </w:r>
      <w:r>
        <w:rPr>
          <w:rFonts w:ascii="Times New Roman;serif" w:hAnsi="Times New Roman;serif"/>
          <w:b w:val="false"/>
          <w:color w:val="000000"/>
          <w:sz w:val="20"/>
          <w:shd w:fill="FFFFFF" w:val="clear"/>
        </w:rPr>
        <w:t>d to $2.5 million</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$1.6 million and</w:t>
      </w:r>
      <w:r>
        <w:rPr>
          <w:color w:val="000000"/>
        </w:rPr>
        <w:t xml:space="preserve"> </w:t>
      </w:r>
      <w:r>
        <w:rPr>
          <w:rFonts w:ascii="Times New Roman;serif" w:hAnsi="Times New Roman;serif"/>
          <w:b w:val="false"/>
          <w:color w:val="000000"/>
          <w:sz w:val="20"/>
        </w:rPr>
        <w:t xml:space="preserve">$11.7 million, respectively, representing the difference between the fair value of the Company's common stock at the date of exercise and the exercise price paid. The aggregate intrinsic values of options outstanding, options vested and exercisable, and options vested and expected to vest as of December 31, 2025 represents the difference between the exercise price and the closing price of the Company’s common stock on the last trading day of the year.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Outstanding options and exercisable options information by range of exercise prices as of December 31, 2025 was as follows:</w:t>
      </w:r>
    </w:p>
    <w:tbl>
      <w:tblPr>
        <w:tblW w:w="10205" w:type="dxa"/>
        <w:jc w:val="center"/>
        <w:tblInd w:w="0" w:type="dxa"/>
        <w:tblLayout w:type="fixed"/>
        <w:tblCellMar>
          <w:top w:w="28" w:type="dxa"/>
          <w:left w:w="28" w:type="dxa"/>
          <w:bottom w:w="28" w:type="dxa"/>
          <w:right w:w="28" w:type="dxa"/>
        </w:tblCellMar>
      </w:tblPr>
      <w:tblGrid>
        <w:gridCol w:w="249"/>
        <w:gridCol w:w="219"/>
        <w:gridCol w:w="223"/>
        <w:gridCol w:w="126"/>
        <w:gridCol w:w="126"/>
        <w:gridCol w:w="126"/>
        <w:gridCol w:w="224"/>
        <w:gridCol w:w="224"/>
        <w:gridCol w:w="228"/>
        <w:gridCol w:w="109"/>
        <w:gridCol w:w="109"/>
        <w:gridCol w:w="109"/>
        <w:gridCol w:w="504"/>
        <w:gridCol w:w="488"/>
        <w:gridCol w:w="483"/>
        <w:gridCol w:w="115"/>
        <w:gridCol w:w="115"/>
        <w:gridCol w:w="115"/>
        <w:gridCol w:w="357"/>
        <w:gridCol w:w="357"/>
        <w:gridCol w:w="359"/>
        <w:gridCol w:w="115"/>
        <w:gridCol w:w="115"/>
        <w:gridCol w:w="115"/>
        <w:gridCol w:w="376"/>
        <w:gridCol w:w="376"/>
        <w:gridCol w:w="378"/>
        <w:gridCol w:w="109"/>
        <w:gridCol w:w="109"/>
        <w:gridCol w:w="109"/>
        <w:gridCol w:w="505"/>
        <w:gridCol w:w="488"/>
        <w:gridCol w:w="478"/>
        <w:gridCol w:w="260"/>
        <w:gridCol w:w="260"/>
        <w:gridCol w:w="260"/>
        <w:gridCol w:w="344"/>
        <w:gridCol w:w="344"/>
        <w:gridCol w:w="499"/>
      </w:tblGrid>
      <w:tr>
        <w:trPr/>
        <w:tc>
          <w:tcPr>
            <w:tcW w:w="24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74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Options Vested and Exercisable</w:t>
            </w:r>
          </w:p>
        </w:tc>
      </w:tr>
      <w:tr>
        <w:trPr/>
        <w:tc>
          <w:tcPr>
            <w:tcW w:w="1745"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Average </w:t>
              <w:br/>
              <w:t xml:space="preserve">Remaining </w:t>
              <w:br/>
              <w:t xml:space="preserve">Contractual </w:t>
              <w:br/>
              <w:t>Life (Years)</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Weighted- </w:t>
              <w:br/>
              <w:t xml:space="preserve">Average </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w:t>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Weighted- </w:t>
              <w:br/>
              <w:t xml:space="preserve">Average </w:t>
              <w:br/>
              <w:t>Exercise Price</w:t>
            </w:r>
          </w:p>
        </w:tc>
      </w:tr>
      <w:tr>
        <w:trPr/>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$4.32</w:t>
            </w:r>
          </w:p>
        </w:tc>
        <w:tc>
          <w:tcPr>
            <w:tcW w:w="3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126,587 </w:t>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0.57</w:t>
            </w:r>
          </w:p>
        </w:tc>
        <w:tc>
          <w:tcPr>
            <w:tcW w:w="3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126,587 </w:t>
            </w:r>
          </w:p>
        </w:tc>
        <w:tc>
          <w:tcPr>
            <w:tcW w:w="4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$4.33</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$4.60</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245,992 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1.30</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245,992 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$4.68</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$5.32</w:t>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147,172 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2.59</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147,172 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$11.81</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$18.11</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14,427 </w:t>
            </w:r>
          </w:p>
        </w:tc>
        <w:tc>
          <w:tcPr>
            <w:tcW w:w="4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$18.78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14,427 </w:t>
            </w:r>
          </w:p>
        </w:tc>
        <w:tc>
          <w:tcPr>
            <w:tcW w:w="4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$18.78</w:t>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$20.52</w:t>
            </w:r>
          </w:p>
        </w:tc>
        <w:tc>
          <w:tcPr>
            <w:tcW w:w="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268,994 </w:t>
            </w:r>
          </w:p>
        </w:tc>
        <w:tc>
          <w:tcPr>
            <w:tcW w:w="4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3.04</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268,994 </w:t>
            </w:r>
          </w:p>
        </w:tc>
        <w:tc>
          <w:tcPr>
            <w:tcW w:w="4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$22.00</w:t>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803,172 </w:t>
            </w:r>
          </w:p>
        </w:tc>
        <w:tc>
          <w:tcPr>
            <w:tcW w:w="4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2.04</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803,172 </w:t>
            </w:r>
          </w:p>
        </w:tc>
        <w:tc>
          <w:tcPr>
            <w:tcW w:w="4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$11.99</w:t>
            </w:r>
          </w:p>
        </w:tc>
      </w:tr>
    </w:tbl>
    <w:p>
      <w:pPr>
        <w:pStyle w:val="TextBody"/>
        <w:bidi w:val="0"/>
        <w:spacing w:lineRule="auto" w:line="288" w:before="18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stock options granted during the years ended December 31, 2025, 2024 and 2023.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is no unrecognized compensation cost related to stock options.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607060"/>
                <wp:effectExtent l="0" t="0" r="0" b="0"/>
                <wp:wrapNone/>
                <wp:docPr id="99" name="Frame98"/>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Restricted stock units (“RSUs”) are share awards that entitle the holder to receive freely tradable shares of the Company’s common stock upon vesting. RSUs generally vest over one to four years based upon continued services and are settled at vesting in shares of the Company's common stock. The grant date fair value of the RSUs is equal to the closing price of the Company’s common stock on the grant date. </w:t>
      </w:r>
    </w:p>
    <w:p>
      <w:pPr>
        <w:pStyle w:val="TextBody"/>
        <w:bidi w:val="0"/>
        <w:spacing w:lineRule="auto" w:line="288" w:before="0" w:after="0"/>
        <w:ind w:left="0" w:right="0" w:firstLine="540"/>
        <w:jc w:val="both"/>
        <w:rPr/>
      </w:pPr>
      <w:r>
        <w:rPr>
          <w:rFonts w:ascii="Times New Roman;serif" w:hAnsi="Times New Roman;serif"/>
          <w:b w:val="false"/>
          <w:color w:val="000000"/>
          <w:sz w:val="20"/>
          <w:shd w:fill="FFFFFF" w:val="clear"/>
        </w:rPr>
        <w:t>The Company has granted performance-based restricted stock unit awards subject to market and service vesting conditions to certain executive officers under SI-BONE's 2018 Equity Incentive Plan (“PSUs”). The shares subject to the PSUs vest over a three-year performance period. The actual number of PSUs that will vest in each measurement period will be determined by the Compensation Committee based on the Company’s total shareholder return (“TSR”) relative to the TSR of the Median Peer Companies (as defined in the award agreement). The grant date fair value of each stock award with a market condition was determined using the Monte Carlo valuation model. The table below summ</w:t>
      </w:r>
      <w:r>
        <w:rPr>
          <w:rFonts w:ascii="Times New Roman;serif" w:hAnsi="Times New Roman;serif"/>
          <w:b w:val="false"/>
          <w:color w:val="000000"/>
          <w:sz w:val="20"/>
        </w:rPr>
        <w:t>arizes the assumptions used to estimate the grant date fair value of the PSUs granted:</w:t>
      </w:r>
    </w:p>
    <w:tbl>
      <w:tblPr>
        <w:tblW w:w="10205" w:type="dxa"/>
        <w:jc w:val="left"/>
        <w:tblInd w:w="0" w:type="dxa"/>
        <w:tblLayout w:type="fixed"/>
        <w:tblCellMar>
          <w:top w:w="28" w:type="dxa"/>
          <w:left w:w="28" w:type="dxa"/>
          <w:bottom w:w="28" w:type="dxa"/>
          <w:right w:w="28" w:type="dxa"/>
        </w:tblCellMar>
      </w:tblPr>
      <w:tblGrid>
        <w:gridCol w:w="881"/>
        <w:gridCol w:w="703"/>
        <w:gridCol w:w="705"/>
        <w:gridCol w:w="109"/>
        <w:gridCol w:w="109"/>
        <w:gridCol w:w="109"/>
        <w:gridCol w:w="109"/>
        <w:gridCol w:w="109"/>
        <w:gridCol w:w="109"/>
        <w:gridCol w:w="430"/>
        <w:gridCol w:w="271"/>
        <w:gridCol w:w="445"/>
        <w:gridCol w:w="109"/>
        <w:gridCol w:w="550"/>
        <w:gridCol w:w="109"/>
        <w:gridCol w:w="109"/>
        <w:gridCol w:w="109"/>
        <w:gridCol w:w="182"/>
        <w:gridCol w:w="182"/>
        <w:gridCol w:w="184"/>
        <w:gridCol w:w="109"/>
        <w:gridCol w:w="109"/>
        <w:gridCol w:w="109"/>
        <w:gridCol w:w="226"/>
        <w:gridCol w:w="225"/>
        <w:gridCol w:w="201"/>
        <w:gridCol w:w="109"/>
        <w:gridCol w:w="109"/>
        <w:gridCol w:w="109"/>
        <w:gridCol w:w="182"/>
        <w:gridCol w:w="182"/>
        <w:gridCol w:w="184"/>
        <w:gridCol w:w="109"/>
        <w:gridCol w:w="109"/>
        <w:gridCol w:w="109"/>
        <w:gridCol w:w="209"/>
        <w:gridCol w:w="185"/>
        <w:gridCol w:w="184"/>
        <w:gridCol w:w="109"/>
        <w:gridCol w:w="109"/>
        <w:gridCol w:w="109"/>
        <w:gridCol w:w="210"/>
        <w:gridCol w:w="179"/>
        <w:gridCol w:w="160"/>
        <w:gridCol w:w="109"/>
        <w:gridCol w:w="109"/>
        <w:gridCol w:w="109"/>
        <w:gridCol w:w="178"/>
        <w:gridCol w:w="178"/>
        <w:gridCol w:w="264"/>
      </w:tblGrid>
      <w:tr>
        <w:trPr/>
        <w:tc>
          <w:tcPr>
            <w:tcW w:w="88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4" w:type="dxa"/>
            <w:gridSpan w:val="2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c>
          <w:tcPr>
            <w:tcW w:w="2728" w:type="dxa"/>
            <w:gridSpan w:val="18"/>
            <w:tcBorders/>
          </w:tcPr>
          <w:p>
            <w:pPr>
              <w:pStyle w:val="TableContents"/>
              <w:bidi w:val="0"/>
              <w:spacing w:before="0" w:after="283"/>
              <w:jc w:val="left"/>
              <w:rPr>
                <w:sz w:val="4"/>
                <w:szCs w:val="4"/>
              </w:rPr>
            </w:pPr>
            <w:r>
              <w:rPr>
                <w:sz w:val="4"/>
                <w:szCs w:val="4"/>
              </w:rPr>
            </w:r>
          </w:p>
        </w:tc>
      </w:tr>
      <w:tr>
        <w:trPr/>
        <w:tc>
          <w:tcPr>
            <w:tcW w:w="2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49.0%</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5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47.0%</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5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58.0%</w:t>
            </w:r>
          </w:p>
        </w:tc>
        <w:tc>
          <w:tcPr>
            <w:tcW w:w="3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5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73.0%</w:t>
            </w:r>
          </w:p>
        </w:tc>
        <w:tc>
          <w:tcPr>
            <w:tcW w:w="947" w:type="dxa"/>
            <w:gridSpan w:val="6"/>
            <w:tcBorders/>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of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141.0%</w:t>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Correlation coefficient of peer 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947" w:type="dxa"/>
            <w:gridSpan w:val="6"/>
            <w:tcBorders/>
          </w:tcPr>
          <w:p>
            <w:pPr>
              <w:pStyle w:val="TableContents"/>
              <w:bidi w:val="0"/>
              <w:spacing w:before="0" w:after="283"/>
              <w:jc w:val="left"/>
              <w:rPr>
                <w:sz w:val="4"/>
                <w:szCs w:val="4"/>
              </w:rPr>
            </w:pPr>
            <w:r>
              <w:rPr>
                <w:sz w:val="4"/>
                <w:szCs w:val="4"/>
              </w:rPr>
            </w:r>
          </w:p>
        </w:tc>
      </w:tr>
      <w:tr>
        <w:trPr/>
        <w:tc>
          <w:tcPr>
            <w:tcW w:w="2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2728" w:type="dxa"/>
            <w:gridSpan w:val="18"/>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RSU and PSU activity for the years ended December 31, 2025 and 2024:</w:t>
      </w:r>
    </w:p>
    <w:tbl>
      <w:tblPr>
        <w:tblW w:w="9978" w:type="dxa"/>
        <w:jc w:val="center"/>
        <w:tblInd w:w="0" w:type="dxa"/>
        <w:tblLayout w:type="fixed"/>
        <w:tblCellMar>
          <w:top w:w="28" w:type="dxa"/>
          <w:left w:w="28" w:type="dxa"/>
          <w:bottom w:w="28" w:type="dxa"/>
          <w:right w:w="28" w:type="dxa"/>
        </w:tblCellMar>
      </w:tblPr>
      <w:tblGrid>
        <w:gridCol w:w="1180"/>
        <w:gridCol w:w="1036"/>
        <w:gridCol w:w="1039"/>
        <w:gridCol w:w="109"/>
        <w:gridCol w:w="109"/>
        <w:gridCol w:w="109"/>
        <w:gridCol w:w="524"/>
        <w:gridCol w:w="526"/>
        <w:gridCol w:w="331"/>
        <w:gridCol w:w="109"/>
        <w:gridCol w:w="109"/>
        <w:gridCol w:w="109"/>
        <w:gridCol w:w="459"/>
        <w:gridCol w:w="459"/>
        <w:gridCol w:w="461"/>
        <w:gridCol w:w="109"/>
        <w:gridCol w:w="109"/>
        <w:gridCol w:w="109"/>
        <w:gridCol w:w="449"/>
        <w:gridCol w:w="451"/>
        <w:gridCol w:w="331"/>
        <w:gridCol w:w="109"/>
        <w:gridCol w:w="109"/>
        <w:gridCol w:w="109"/>
        <w:gridCol w:w="417"/>
        <w:gridCol w:w="417"/>
        <w:gridCol w:w="590"/>
      </w:tblGrid>
      <w:tr>
        <w:trPr/>
        <w:tc>
          <w:tcPr>
            <w:tcW w:w="118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PSUs</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Number of </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Weighted- </w:t>
              <w:br/>
              <w:t xml:space="preserve">Average </w:t>
              <w:br/>
              <w:t xml:space="preserve">Grant Date 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Number of </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Weighted- </w:t>
              <w:br/>
              <w:t xml:space="preserve">Average </w:t>
              <w:br/>
              <w:t xml:space="preserve">Grant Date Fair </w:t>
              <w:br/>
              <w:t>Value</w:t>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4"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1,884,640 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610,541 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$16.47</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1,359,244 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337,110 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$15.89</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(1,041,733)</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(120,155)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$15.75</w:t>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Canceled and 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(285,570)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$19.50</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1,916,581 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785,457 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$16.17</w:t>
            </w:r>
          </w:p>
        </w:tc>
      </w:tr>
    </w:tbl>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total fair value of RSUs vested during the years ended December 31, 2025, 2024, and 2023 was $19.4 million, $20.5 million, and $20.3 million, respectively. The total fair value of PSUs vested during the years ended December 31, 2025, 2024, and 2023 was $1.9 million, $1.5 million, and $0.5 million, respectively. As of December 31, 2025, the unrecognized compensation cost related to the RSUs was $24.9 million, which is expected to be recognized over a period of approximately 2.4 years. As of December 31, 2025, the unrecognized compensation cost related to the PSUs was $3.8 million, which is expected to be recognized over a period of approximately 1.7 years.</w:t>
      </w:r>
    </w:p>
    <w:p>
      <w:pPr>
        <w:pStyle w:val="TextBody"/>
        <w:bidi w:val="0"/>
        <w:spacing w:lineRule="auto" w:line="288" w:before="0" w:after="240"/>
        <w:ind w:left="0" w:right="0" w:firstLine="54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2018 Employee Stock Purchase Plan (the “ESPP”) allows eligible employees to purchase shares of the Company's common stock through payroll deductions at the price equal to 85% of the lesser of the fair market value of the stock as of the first date or the ending date of each six month offering period. The offering period generally commences in May and November. On March 26, 2020, the Company's Compensation Committee approved the amendment of the terms of future offerings under the ESPP which, among other things, increased the maximum number of shares that may be purchased on any single purchase date and provided for automatic enrollment in a new offering.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 total of 1,677,236 shares of common stock are available for future grants under the ESPP. On January 1, 2026, the total number of shares of common stock reserved for issuance under the ESPP Plan increased by 436,471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607060"/>
                <wp:effectExtent l="0" t="0" r="0" b="0"/>
                <wp:wrapNone/>
                <wp:docPr id="100" name="Frame99"/>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 of the ESPP shares is estimated using the Black-Scholes option pricing model, which is being amortized over the requisite service period. The Company issued 192,350 shares, 176,787 shares, and 178,918 shares under the ESPP during the years ended December 31, 2025, 2024, and 2023, respectively, representing $2.2 million in employee contributions for each year. For each of the years ended December 31, 2025 and 2024, total accumulated ESPP related employee payroll deductions amounted to $0.3 million for each year, which were included within accrued compensation and related expenses in the consolidated balance sheets. For the years ended December 31, 2025, 2024, and 2023, the Company recognized $0.9 million, $0.9 million, and $1.0 million, respectively, of stock-based compensation expense related to ESPP. As of December 31, 2025, the unrecognized compensation cost for the ESPP was $0.4 million, which is expected to be recognized over a period of approximately 0.4 years.</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Company estimated the fair value of ESPP purchase rights during the offering period using a Black-Scholes option pricing model with the following assumptions:</w:t>
      </w:r>
    </w:p>
    <w:tbl>
      <w:tblPr>
        <w:tblW w:w="7329" w:type="dxa"/>
        <w:jc w:val="center"/>
        <w:tblInd w:w="0" w:type="dxa"/>
        <w:tblLayout w:type="fixed"/>
        <w:tblCellMar>
          <w:top w:w="28" w:type="dxa"/>
          <w:left w:w="28" w:type="dxa"/>
          <w:bottom w:w="28" w:type="dxa"/>
          <w:right w:w="28" w:type="dxa"/>
        </w:tblCellMar>
      </w:tblPr>
      <w:tblGrid>
        <w:gridCol w:w="677"/>
        <w:gridCol w:w="597"/>
        <w:gridCol w:w="600"/>
        <w:gridCol w:w="209"/>
        <w:gridCol w:w="209"/>
        <w:gridCol w:w="211"/>
        <w:gridCol w:w="109"/>
        <w:gridCol w:w="109"/>
        <w:gridCol w:w="109"/>
        <w:gridCol w:w="209"/>
        <w:gridCol w:w="209"/>
        <w:gridCol w:w="211"/>
        <w:gridCol w:w="109"/>
        <w:gridCol w:w="109"/>
        <w:gridCol w:w="109"/>
        <w:gridCol w:w="209"/>
        <w:gridCol w:w="209"/>
        <w:gridCol w:w="211"/>
        <w:gridCol w:w="109"/>
        <w:gridCol w:w="109"/>
        <w:gridCol w:w="109"/>
        <w:gridCol w:w="209"/>
        <w:gridCol w:w="209"/>
        <w:gridCol w:w="211"/>
        <w:gridCol w:w="109"/>
        <w:gridCol w:w="109"/>
        <w:gridCol w:w="109"/>
        <w:gridCol w:w="209"/>
        <w:gridCol w:w="209"/>
        <w:gridCol w:w="211"/>
        <w:gridCol w:w="109"/>
        <w:gridCol w:w="109"/>
        <w:gridCol w:w="109"/>
        <w:gridCol w:w="197"/>
        <w:gridCol w:w="197"/>
        <w:gridCol w:w="281"/>
      </w:tblGrid>
      <w:tr>
        <w:trPr/>
        <w:tc>
          <w:tcPr>
            <w:tcW w:w="67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5"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585"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41.9%</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54.4%</w:t>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3.81%</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5.38%</w:t>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585"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bl>
    <w:p>
      <w:pPr>
        <w:pStyle w:val="TextBody"/>
        <w:bidi w:val="0"/>
        <w:spacing w:lineRule="auto" w:line="288" w:before="18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 xml:space="preserve">Stock-Based Compensation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stock-based compensation expense recognized for the periods presented:</w:t>
      </w:r>
    </w:p>
    <w:tbl>
      <w:tblPr>
        <w:tblW w:w="6131" w:type="dxa"/>
        <w:jc w:val="center"/>
        <w:tblInd w:w="0" w:type="dxa"/>
        <w:tblLayout w:type="fixed"/>
        <w:tblCellMar>
          <w:top w:w="28" w:type="dxa"/>
          <w:left w:w="28" w:type="dxa"/>
          <w:bottom w:w="28" w:type="dxa"/>
          <w:right w:w="28" w:type="dxa"/>
        </w:tblCellMar>
      </w:tblPr>
      <w:tblGrid>
        <w:gridCol w:w="837"/>
        <w:gridCol w:w="730"/>
        <w:gridCol w:w="742"/>
        <w:gridCol w:w="211"/>
        <w:gridCol w:w="721"/>
        <w:gridCol w:w="109"/>
        <w:gridCol w:w="109"/>
        <w:gridCol w:w="109"/>
        <w:gridCol w:w="109"/>
        <w:gridCol w:w="211"/>
        <w:gridCol w:w="721"/>
        <w:gridCol w:w="109"/>
        <w:gridCol w:w="109"/>
        <w:gridCol w:w="109"/>
        <w:gridCol w:w="109"/>
        <w:gridCol w:w="211"/>
        <w:gridCol w:w="721"/>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(in thousands)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11. Employee Benefit Plan</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sponsors a 401(k) plan covering all employees. Contributions made by the Company are discretionary and are determined annually by the Board of Directors. Effective January 1, 2025, the Company made a discretionary matching contribution equal to dollar for dollar employee contribution, up to 3% eligible compensation of the employee, with a maximum annual contribution from the Company of three thousand dollars per employee.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607060"/>
                <wp:effectExtent l="0" t="0" r="0" b="0"/>
                <wp:wrapNone/>
                <wp:docPr id="101" name="Frame100"/>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12. Net Loss Per Share of Common Stock</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computation of basic and diluted net loss per share:</w:t>
      </w:r>
    </w:p>
    <w:tbl>
      <w:tblPr>
        <w:tblW w:w="10205" w:type="dxa"/>
        <w:jc w:val="left"/>
        <w:tblInd w:w="0" w:type="dxa"/>
        <w:tblLayout w:type="fixed"/>
        <w:tblCellMar>
          <w:top w:w="28" w:type="dxa"/>
          <w:left w:w="28" w:type="dxa"/>
          <w:bottom w:w="28" w:type="dxa"/>
          <w:right w:w="28" w:type="dxa"/>
        </w:tblCellMar>
      </w:tblPr>
      <w:tblGrid>
        <w:gridCol w:w="2033"/>
        <w:gridCol w:w="1785"/>
        <w:gridCol w:w="1789"/>
        <w:gridCol w:w="109"/>
        <w:gridCol w:w="109"/>
        <w:gridCol w:w="109"/>
        <w:gridCol w:w="240"/>
        <w:gridCol w:w="841"/>
        <w:gridCol w:w="109"/>
        <w:gridCol w:w="109"/>
        <w:gridCol w:w="109"/>
        <w:gridCol w:w="109"/>
        <w:gridCol w:w="240"/>
        <w:gridCol w:w="841"/>
        <w:gridCol w:w="109"/>
        <w:gridCol w:w="109"/>
        <w:gridCol w:w="109"/>
        <w:gridCol w:w="109"/>
        <w:gridCol w:w="240"/>
        <w:gridCol w:w="841"/>
        <w:gridCol w:w="156"/>
      </w:tblGrid>
      <w:tr>
        <w:trPr/>
        <w:tc>
          <w:tcPr>
            <w:tcW w:w="2033"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1"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(in thousands, except share and per share data)</w:t>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basic and diluted net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42,959,856 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41,466,564 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38,427,419 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(0.75)</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Because the Company has reported a net loss in all periods presented, outstanding stock options, restricted stock units, ESPP purchase rights and common stock warrants are anti-dilutive and therefore diluted net loss per common share is the same as basic net loss per common share for the periods presented. The following anti-dilutive common stock equivalents were excluded from the computation of diluted net loss per share for the periods presented:</w:t>
      </w:r>
    </w:p>
    <w:tbl>
      <w:tblPr>
        <w:tblW w:w="6213" w:type="dxa"/>
        <w:jc w:val="left"/>
        <w:tblInd w:w="0" w:type="dxa"/>
        <w:tblLayout w:type="fixed"/>
        <w:tblCellMar>
          <w:top w:w="28" w:type="dxa"/>
          <w:left w:w="28" w:type="dxa"/>
          <w:bottom w:w="28" w:type="dxa"/>
          <w:right w:w="28" w:type="dxa"/>
        </w:tblCellMar>
      </w:tblPr>
      <w:tblGrid>
        <w:gridCol w:w="748"/>
        <w:gridCol w:w="659"/>
        <w:gridCol w:w="662"/>
        <w:gridCol w:w="308"/>
        <w:gridCol w:w="308"/>
        <w:gridCol w:w="315"/>
        <w:gridCol w:w="140"/>
        <w:gridCol w:w="140"/>
        <w:gridCol w:w="140"/>
        <w:gridCol w:w="413"/>
        <w:gridCol w:w="413"/>
        <w:gridCol w:w="313"/>
        <w:gridCol w:w="140"/>
        <w:gridCol w:w="140"/>
        <w:gridCol w:w="140"/>
        <w:gridCol w:w="413"/>
        <w:gridCol w:w="413"/>
        <w:gridCol w:w="408"/>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4"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803,172</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1,041,131</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1,188,708</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2,702,038</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2,495,181</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2,284,912</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ESPP purchase rights</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82,805</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145,509 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102,172 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warrants</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11,100</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78,459</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85,139</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3,599,115</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3,760,280</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3,660,931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13. Income Taxes</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components of the Company’s loss before income taxes are as follows:</w:t>
      </w:r>
    </w:p>
    <w:tbl>
      <w:tblPr>
        <w:tblW w:w="6207" w:type="dxa"/>
        <w:jc w:val="left"/>
        <w:tblInd w:w="0" w:type="dxa"/>
        <w:tblLayout w:type="fixed"/>
        <w:tblCellMar>
          <w:top w:w="28" w:type="dxa"/>
          <w:left w:w="28" w:type="dxa"/>
          <w:bottom w:w="28" w:type="dxa"/>
          <w:right w:w="28" w:type="dxa"/>
        </w:tblCellMar>
      </w:tblPr>
      <w:tblGrid>
        <w:gridCol w:w="781"/>
        <w:gridCol w:w="688"/>
        <w:gridCol w:w="691"/>
        <w:gridCol w:w="211"/>
        <w:gridCol w:w="796"/>
        <w:gridCol w:w="109"/>
        <w:gridCol w:w="109"/>
        <w:gridCol w:w="109"/>
        <w:gridCol w:w="109"/>
        <w:gridCol w:w="211"/>
        <w:gridCol w:w="796"/>
        <w:gridCol w:w="109"/>
        <w:gridCol w:w="109"/>
        <w:gridCol w:w="109"/>
        <w:gridCol w:w="109"/>
        <w:gridCol w:w="211"/>
        <w:gridCol w:w="79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was no provision for income taxes recorded for the years ended December 31, 2025, 2024 and 2023. The Company continues to maintain a full valuation allowance against its net deferred tax assets due to the uncertainty surrounding realization of such assets. The Company periodically evaluates the realizability of its net deferred tax assets based on the expected realization and is dependent on the Company's ability to generate sufficient future taxable income during periods prior to the expiration of tax attributes to fully utilize these assets.</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components of deferred income taxes are as follows:</w:t>
      </w:r>
    </w:p>
    <w:tbl>
      <w:tblPr>
        <w:tblW w:w="5978" w:type="dxa"/>
        <w:jc w:val="left"/>
        <w:tblInd w:w="0" w:type="dxa"/>
        <w:tblLayout w:type="fixed"/>
        <w:tblCellMar>
          <w:top w:w="28" w:type="dxa"/>
          <w:left w:w="28" w:type="dxa"/>
          <w:bottom w:w="28" w:type="dxa"/>
          <w:right w:w="28" w:type="dxa"/>
        </w:tblCellMar>
      </w:tblPr>
      <w:tblGrid>
        <w:gridCol w:w="1317"/>
        <w:gridCol w:w="1156"/>
        <w:gridCol w:w="1186"/>
        <w:gridCol w:w="211"/>
        <w:gridCol w:w="616"/>
        <w:gridCol w:w="109"/>
        <w:gridCol w:w="109"/>
        <w:gridCol w:w="109"/>
        <w:gridCol w:w="109"/>
        <w:gridCol w:w="211"/>
        <w:gridCol w:w="691"/>
        <w:gridCol w:w="154"/>
      </w:tblGrid>
      <w:tr>
        <w:trPr/>
        <w:tc>
          <w:tcPr>
            <w:tcW w:w="13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deferred tax valuation allowance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income tax</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607060"/>
                <wp:effectExtent l="0" t="0" r="0" b="0"/>
                <wp:wrapNone/>
                <wp:docPr id="102" name="Frame101"/>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99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elected to prospectively adopt ASU 2023-09. The following table is a reconciliation of the total income tax expense computed at the U.S. federal statutory rate of 21% to the Company’s total income tax expense for the year ended December 31, 2025, in accordance with ASU 2023-09:</w:t>
      </w:r>
    </w:p>
    <w:tbl>
      <w:tblPr>
        <w:tblW w:w="7137" w:type="dxa"/>
        <w:jc w:val="left"/>
        <w:tblInd w:w="0" w:type="dxa"/>
        <w:tblLayout w:type="fixed"/>
        <w:tblCellMar>
          <w:top w:w="28" w:type="dxa"/>
          <w:left w:w="28" w:type="dxa"/>
          <w:bottom w:w="28" w:type="dxa"/>
          <w:right w:w="28" w:type="dxa"/>
        </w:tblCellMar>
      </w:tblPr>
      <w:tblGrid>
        <w:gridCol w:w="1513"/>
        <w:gridCol w:w="1331"/>
        <w:gridCol w:w="1340"/>
        <w:gridCol w:w="360"/>
        <w:gridCol w:w="1179"/>
        <w:gridCol w:w="186"/>
        <w:gridCol w:w="109"/>
        <w:gridCol w:w="109"/>
        <w:gridCol w:w="109"/>
        <w:gridCol w:w="291"/>
        <w:gridCol w:w="294"/>
        <w:gridCol w:w="316"/>
      </w:tblGrid>
      <w:tr>
        <w:trPr/>
        <w:tc>
          <w:tcPr>
            <w:tcW w:w="1513"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Tax Rate</w:t>
            </w:r>
          </w:p>
        </w:tc>
        <w:tc>
          <w:tcPr>
            <w:tcW w:w="3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credits (research and development tax credits)</w:t>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Share-based payment awards</w:t>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Meals and entertainment</w:t>
            </w:r>
          </w:p>
        </w:tc>
        <w:tc>
          <w:tcPr>
            <w:tcW w:w="15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5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is a reconciliation of the statutory federal income tax rate to the Company’s effective tax rate for the years ended December 31, 2024 and 2023 in accordance with the guidance prior to ASU 2023-09:</w:t>
      </w:r>
    </w:p>
    <w:tbl>
      <w:tblPr>
        <w:tblW w:w="7735" w:type="dxa"/>
        <w:jc w:val="left"/>
        <w:tblInd w:w="0" w:type="dxa"/>
        <w:tblLayout w:type="fixed"/>
        <w:tblCellMar>
          <w:top w:w="28" w:type="dxa"/>
          <w:left w:w="28" w:type="dxa"/>
          <w:bottom w:w="28" w:type="dxa"/>
          <w:right w:w="28" w:type="dxa"/>
        </w:tblCellMar>
      </w:tblPr>
      <w:tblGrid>
        <w:gridCol w:w="1415"/>
        <w:gridCol w:w="1247"/>
        <w:gridCol w:w="1252"/>
        <w:gridCol w:w="384"/>
        <w:gridCol w:w="384"/>
        <w:gridCol w:w="957"/>
        <w:gridCol w:w="109"/>
        <w:gridCol w:w="109"/>
        <w:gridCol w:w="109"/>
        <w:gridCol w:w="360"/>
        <w:gridCol w:w="360"/>
        <w:gridCol w:w="1049"/>
      </w:tblGrid>
      <w:tr>
        <w:trPr/>
        <w:tc>
          <w:tcPr>
            <w:tcW w:w="1415"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2023</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at statutory rate</w:t>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 Tax, net of federal benefit</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deferred tax valuation allowance</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rate differences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Reversal of nontaxable or nondeductible items</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executive compensation</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expense</w:t>
            </w:r>
          </w:p>
        </w:tc>
        <w:tc>
          <w:tcPr>
            <w:tcW w:w="7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9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tax effects of temporary differences and carryforwards that give rise to significant portions of deferred tax assets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607060"/>
                <wp:effectExtent l="0" t="0" r="0" b="0"/>
                <wp:wrapNone/>
                <wp:docPr id="103" name="Frame102"/>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tbl>
      <w:tblPr>
        <w:tblW w:w="8140" w:type="dxa"/>
        <w:jc w:val="left"/>
        <w:tblInd w:w="0" w:type="dxa"/>
        <w:tblLayout w:type="fixed"/>
        <w:tblCellMar>
          <w:top w:w="28" w:type="dxa"/>
          <w:left w:w="28" w:type="dxa"/>
          <w:bottom w:w="28" w:type="dxa"/>
          <w:right w:w="28" w:type="dxa"/>
        </w:tblCellMar>
      </w:tblPr>
      <w:tblGrid>
        <w:gridCol w:w="1567"/>
        <w:gridCol w:w="1374"/>
        <w:gridCol w:w="1378"/>
        <w:gridCol w:w="349"/>
        <w:gridCol w:w="1195"/>
        <w:gridCol w:w="180"/>
        <w:gridCol w:w="109"/>
        <w:gridCol w:w="109"/>
        <w:gridCol w:w="109"/>
        <w:gridCol w:w="344"/>
        <w:gridCol w:w="1175"/>
        <w:gridCol w:w="251"/>
      </w:tblGrid>
      <w:tr>
        <w:trPr/>
        <w:tc>
          <w:tcPr>
            <w:tcW w:w="15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operating loss carryforwards</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90,824 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89,592 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credits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reserves</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compensation</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limitation</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research and development</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111,421 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113,722 </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5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15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Valuation allowance</w:t>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(111,156)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(113,222)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deferred tax assets, net of valuation allowance</w:t>
            </w:r>
          </w:p>
        </w:tc>
        <w:tc>
          <w:tcPr>
            <w:tcW w:w="3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changes in the valuation allowance for the year ended December 31, 2025 and 2024:</w:t>
      </w:r>
    </w:p>
    <w:tbl>
      <w:tblPr>
        <w:tblW w:w="8079" w:type="dxa"/>
        <w:jc w:val="left"/>
        <w:tblInd w:w="0" w:type="dxa"/>
        <w:tblLayout w:type="fixed"/>
        <w:tblCellMar>
          <w:top w:w="28" w:type="dxa"/>
          <w:left w:w="28" w:type="dxa"/>
          <w:bottom w:w="28" w:type="dxa"/>
          <w:right w:w="28" w:type="dxa"/>
        </w:tblCellMar>
      </w:tblPr>
      <w:tblGrid>
        <w:gridCol w:w="799"/>
        <w:gridCol w:w="701"/>
        <w:gridCol w:w="705"/>
        <w:gridCol w:w="317"/>
        <w:gridCol w:w="1244"/>
        <w:gridCol w:w="164"/>
        <w:gridCol w:w="109"/>
        <w:gridCol w:w="109"/>
        <w:gridCol w:w="109"/>
        <w:gridCol w:w="317"/>
        <w:gridCol w:w="1244"/>
        <w:gridCol w:w="164"/>
        <w:gridCol w:w="109"/>
        <w:gridCol w:w="109"/>
        <w:gridCol w:w="109"/>
        <w:gridCol w:w="344"/>
        <w:gridCol w:w="1175"/>
        <w:gridCol w:w="251"/>
      </w:tblGrid>
      <w:tr>
        <w:trPr/>
        <w:tc>
          <w:tcPr>
            <w:tcW w:w="7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2023</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4"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113,222 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107,210 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94,776 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during the period</w:t>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15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111,156 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113,222 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107,210 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net operating loss carryforwards for federal and state income tax purposes of approximately $357.0 million and $274.4 million, respectively. The federal net operating loss carryforwards will begin to expire in 2029, and the state operating loss carryforwards began to expire in 2025.</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also had federal and California tax credit carryforwards of approximately $6.3 million and $5.0 million, respectively. The federal tax credit carryforward will begin to expire in 2029, and the state credits carryforward indefinitely. </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Utilization of the Company's net operating losses and credits may be subject to a substantial annual limitation due to the "change in ownership" provisions of the Internal Revenue Code of 1986, as amended, and similar state provisions. The annual limitation may result in the expiration of net operating losses and credits before utilization.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the uncertainty in income taxes by utilizing a comprehensive model for the recognition, measurement, presentation and disclosure in financial statements of any uncertain tax positions that have been taken or are expected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607060"/>
                <wp:effectExtent l="0" t="0" r="0" b="0"/>
                <wp:wrapNone/>
                <wp:docPr id="104" name="Frame103"/>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 taken on an income tax return. The changes in the Company’s uncertain income tax positions for the years ended December 31, 2025, 2024, and 2023 consisted of the following:</w:t>
      </w:r>
    </w:p>
    <w:tbl>
      <w:tblPr>
        <w:tblW w:w="8396" w:type="dxa"/>
        <w:jc w:val="left"/>
        <w:tblInd w:w="0" w:type="dxa"/>
        <w:tblLayout w:type="fixed"/>
        <w:tblCellMar>
          <w:top w:w="28" w:type="dxa"/>
          <w:left w:w="28" w:type="dxa"/>
          <w:bottom w:w="28" w:type="dxa"/>
          <w:right w:w="28" w:type="dxa"/>
        </w:tblCellMar>
      </w:tblPr>
      <w:tblGrid>
        <w:gridCol w:w="1770"/>
        <w:gridCol w:w="1557"/>
        <w:gridCol w:w="1562"/>
        <w:gridCol w:w="211"/>
        <w:gridCol w:w="616"/>
        <w:gridCol w:w="109"/>
        <w:gridCol w:w="109"/>
        <w:gridCol w:w="109"/>
        <w:gridCol w:w="109"/>
        <w:gridCol w:w="211"/>
        <w:gridCol w:w="616"/>
        <w:gridCol w:w="109"/>
        <w:gridCol w:w="109"/>
        <w:gridCol w:w="109"/>
        <w:gridCol w:w="109"/>
        <w:gridCol w:w="211"/>
        <w:gridCol w:w="616"/>
        <w:gridCol w:w="154"/>
      </w:tblGrid>
      <w:tr>
        <w:trPr/>
        <w:tc>
          <w:tcPr>
            <w:tcW w:w="1770"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ended December 31,</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2023</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beginning of the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related to tax positions taken prior to current year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Increase related to current year's tax positions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end of the year</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elected to recognize interest and penalties related to uncertain tax positions as a component of income tax expense. The Company has no accrued interest at December 31, 2025 and 2024 for payment of interest related to unrecognized tax benefits. None of the Company’s unrecognized tax benefits that, if recognized, would affect its effective tax rate for the years ended December 31, 2025, 2024, and 2023. The Company does not anticipate the total amounts of unrecognized tax benefits will significantly increase or decrease in the next 12 months.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files U.S. and state income tax returns with varying statutes of limitations. The Company is currently under tax examination for tax year 2023. The Company has no state or foreign tax examinations in progress nor has it had any state examinations since inception. The tax years from 2024 forward remain open to examination due to the carryover of unused net operating losses and tax credits.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into law, bringing significant amendments to the U.S. tax code. This legislation extends and modifies provisions from the 2017 Tax Cuts and Jobs Act and introduces new tax measures affecting both businesses and individuals. The enacted legislation had an immaterial impact on the Company’s effective tax rate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607060"/>
                <wp:effectExtent l="0" t="0" r="0" b="0"/>
                <wp:wrapNone/>
                <wp:docPr id="105" name="Frame104"/>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SI-BONE,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14. Subsequent Events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20, 2026, the Company and Orchard Commons, LLC (“Landlord”) entered into a Lease Agreement (the “Lease”). The Lease is for 50,485 square feet of office space located at 88 West Plumeria Drive, San Jose, California, the Company’s corporate headquarters. Pursuant to the Lease, the base rent is $128,737 per month subject to annual increases. The Company shall not be required to pay monthly base rent for the first six months. The term of the lease is for 102 months. The Company is required to pay its share of operating expenses and taxes. </w:t>
      </w:r>
    </w:p>
    <w:p>
      <w:pPr>
        <w:pStyle w:val="TextBody"/>
        <w:bidi w:val="0"/>
        <w:spacing w:before="0" w:after="0"/>
        <w:ind w:left="0" w:right="0" w:firstLine="540"/>
        <w:jc w:val="left"/>
        <w:rPr/>
      </w:pPr>
      <w:r>
        <w:rPr/>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607060"/>
                <wp:effectExtent l="0" t="0" r="0" b="0"/>
                <wp:wrapNone/>
                <wp:docPr id="106" name="Frame105"/>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Supplementary Data</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Selected Quarterly Consolidated Financial Data (Unaudited)</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amendments to Item 302 of Regulation S-K, since we do not have any material retrospective change to the statements of comprehensive income for any of the quarters within the two most recent fiscal years either individually or in the aggregate, we are not required to disclose the quarterly financial data.</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Schedule II - Valuation and Qualifying Accounts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All schedules are omitted because they are not applicable, or the required information is shown in the financial statements or notes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0" w:after="24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the reports that we file or submit under the Securities and Exchange Act of 1934 is (i) recorded, processed, summarized and reported within the time periods specified in the SEC’s rules and forms and (ii) accumulated and communicated to our management, including our Chief Executive Officer and Chief Financial Officer, as appropriate to allow timely decisions regarding required disclosure.</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our management, with the participation of our Chief Executive Officer (“CEO”) and our Chief Financial Officer (“CFO”), have evaluated our disclosure controls and procedures (as defined in Rules 13a</w:t>
        <w:noBreakHyphen/>
        <w:t>15(e) and 15d</w:t>
        <w:noBreakHyphen/>
        <w:t xml:space="preserve">15(e) under the Securities Exchange Act of 1934, as amended). Based on that evaluation, our CEO and our CFO have concluded that, as of December 31, 2025, our disclosure controls and procedures were effective at the reasonable assurance level. </w:t>
      </w:r>
    </w:p>
    <w:p>
      <w:pPr>
        <w:pStyle w:val="TextBody"/>
        <w:bidi w:val="0"/>
        <w:spacing w:lineRule="auto" w:line="288" w:before="0" w:after="240"/>
        <w:ind w:left="0" w:right="0" w:firstLine="540"/>
        <w:jc w:val="both"/>
        <w:rPr>
          <w:rFonts w:ascii="Times New Roman;serif" w:hAnsi="Times New Roman;serif"/>
          <w:b/>
          <w:i/>
          <w:color w:val="000000"/>
          <w:sz w:val="20"/>
        </w:rPr>
      </w:pPr>
      <w:r>
        <w:rPr>
          <w:rFonts w:ascii="Times New Roman;serif" w:hAnsi="Times New Roman;serif"/>
          <w:b/>
          <w:i/>
          <w:color w:val="000000"/>
          <w:sz w:val="20"/>
        </w:rPr>
        <w:t>Management's Report on Internal Control Over Financial Reporting</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defined in Rules 13a-15(f) and 15d-15(f) under the Exchange Act). Management conducted an assessment of the effectiveness of our internal control over financial reporting as of December 31, 2025 based on the criteria set forth in "Internal Control-Integrated Framework" (2013 framework) issued by the Committee of Sponsoring Organizations of the Treadway Commission (COSO). Based on this assessment, management has concluded that our internal control over financial reporting was effective as of December 31, 2025 based on those criteria. The effectiveness of our internal control over financial reporting as of December 31, 2025 has been audited by our independent registered public accounting firm, PricewaterhouseCoopers LLP, as stated in their report, which appears in Part II, Item 8 of this Annual Report on Form 10-K.</w:t>
      </w:r>
    </w:p>
    <w:p>
      <w:pPr>
        <w:pStyle w:val="TextBody"/>
        <w:bidi w:val="0"/>
        <w:spacing w:lineRule="auto" w:line="288" w:before="0" w:after="240"/>
        <w:ind w:left="0" w:right="0" w:firstLine="540"/>
        <w:jc w:val="both"/>
        <w:rPr/>
      </w:pPr>
      <w:r>
        <w:rPr>
          <w:rFonts w:ascii="Times New Roman;serif" w:hAnsi="Times New Roman;serif"/>
          <w:b/>
          <w:i/>
          <w:color w:val="000000"/>
          <w:sz w:val="20"/>
        </w:rPr>
        <w:t>Changes in Internal Control Over Financial Reporting</w:t>
      </w:r>
      <w:r>
        <w:rPr>
          <w:rFonts w:ascii="Times New Roman;serif" w:hAnsi="Times New Roman;serif"/>
          <w:b w:val="false"/>
          <w:i/>
          <w:color w:val="000000"/>
          <w:sz w:val="20"/>
        </w:rPr>
        <w:t>.</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our internal control over financial reporting that occurred during the quarter ended December 31, 2025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607060"/>
                <wp:effectExtent l="0" t="0" r="0" b="0"/>
                <wp:wrapNone/>
                <wp:docPr id="107" name="Frame106"/>
                <a:graphic xmlns:a="http://schemas.openxmlformats.org/drawingml/2006/main">
                  <a:graphicData uri="http://schemas.microsoft.com/office/word/2010/wordprocessingShape">
                    <wps:wsp>
                      <wps:cNvSpPr txBox="1"/>
                      <wps:spPr>
                        <a:xfrm>
                          <a:off x="0" y="0"/>
                          <a:ext cx="6480175" cy="607060"/>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104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December 31, 2025, the following officer (as defined in Rule 16a-1(f) under the Exchange Act) adopted, modified or terminated a “Rule 10b5-1 trading arrangement” (as defined in Item 408 of Regulation S-K of the Exchange Act) as set forth in the table below.</w:t>
      </w:r>
    </w:p>
    <w:tbl>
      <w:tblPr>
        <w:tblW w:w="10205" w:type="dxa"/>
        <w:jc w:val="left"/>
        <w:tblInd w:w="0" w:type="dxa"/>
        <w:tblLayout w:type="fixed"/>
        <w:tblCellMar>
          <w:top w:w="28" w:type="dxa"/>
          <w:left w:w="28" w:type="dxa"/>
          <w:bottom w:w="28" w:type="dxa"/>
          <w:right w:w="28" w:type="dxa"/>
        </w:tblCellMar>
      </w:tblPr>
      <w:tblGrid>
        <w:gridCol w:w="752"/>
        <w:gridCol w:w="516"/>
        <w:gridCol w:w="453"/>
        <w:gridCol w:w="294"/>
        <w:gridCol w:w="294"/>
        <w:gridCol w:w="298"/>
        <w:gridCol w:w="446"/>
        <w:gridCol w:w="446"/>
        <w:gridCol w:w="447"/>
        <w:gridCol w:w="235"/>
        <w:gridCol w:w="235"/>
        <w:gridCol w:w="235"/>
        <w:gridCol w:w="461"/>
        <w:gridCol w:w="284"/>
        <w:gridCol w:w="256"/>
        <w:gridCol w:w="406"/>
        <w:gridCol w:w="303"/>
        <w:gridCol w:w="303"/>
        <w:gridCol w:w="305"/>
        <w:gridCol w:w="455"/>
        <w:gridCol w:w="455"/>
        <w:gridCol w:w="457"/>
        <w:gridCol w:w="362"/>
        <w:gridCol w:w="362"/>
        <w:gridCol w:w="363"/>
        <w:gridCol w:w="225"/>
        <w:gridCol w:w="225"/>
        <w:gridCol w:w="332"/>
      </w:tblGrid>
      <w:tr>
        <w:trPr/>
        <w:tc>
          <w:tcPr>
            <w:tcW w:w="75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72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6"/>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Type of Trading Arrangement</w:t>
            </w:r>
          </w:p>
        </w:tc>
        <w:tc>
          <w:tcPr>
            <w:tcW w:w="1012"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172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Position</w:t>
            </w:r>
          </w:p>
        </w:tc>
        <w:tc>
          <w:tcPr>
            <w:tcW w:w="886"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Action</w:t>
            </w:r>
          </w:p>
        </w:tc>
        <w:tc>
          <w:tcPr>
            <w:tcW w:w="133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Adoption/Termination Date</w:t>
            </w:r>
          </w:p>
        </w:tc>
        <w:tc>
          <w:tcPr>
            <w:tcW w:w="705"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Rule 10b5-1*</w:t>
            </w:r>
          </w:p>
        </w:tc>
        <w:tc>
          <w:tcPr>
            <w:tcW w:w="1001"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Non-Rule 10b5-1**</w:t>
            </w:r>
          </w:p>
        </w:tc>
        <w:tc>
          <w:tcPr>
            <w:tcW w:w="1317" w:type="dxa"/>
            <w:gridSpan w:val="4"/>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Shares of Common Stock to be Sold</w:t>
            </w:r>
          </w:p>
        </w:tc>
        <w:tc>
          <w:tcPr>
            <w:tcW w:w="1367"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Shares of Common Stock to be Purchased</w:t>
            </w:r>
          </w:p>
        </w:tc>
        <w:tc>
          <w:tcPr>
            <w:tcW w:w="1087"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Expiration Date</w:t>
            </w:r>
          </w:p>
        </w:tc>
        <w:tc>
          <w:tcPr>
            <w:tcW w:w="782" w:type="dxa"/>
            <w:gridSpan w:val="3"/>
            <w:tcBorders/>
          </w:tcPr>
          <w:p>
            <w:pPr>
              <w:pStyle w:val="TableContents"/>
              <w:bidi w:val="0"/>
              <w:spacing w:before="0" w:after="283"/>
              <w:jc w:val="left"/>
              <w:rPr>
                <w:sz w:val="4"/>
                <w:szCs w:val="4"/>
              </w:rPr>
            </w:pPr>
            <w:r>
              <w:rPr>
                <w:sz w:val="4"/>
                <w:szCs w:val="4"/>
              </w:rPr>
            </w:r>
          </w:p>
        </w:tc>
      </w:tr>
      <w:tr>
        <w:trPr/>
        <w:tc>
          <w:tcPr>
            <w:tcW w:w="172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72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339"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1001"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6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r>
      <w:tr>
        <w:trPr/>
        <w:tc>
          <w:tcPr>
            <w:tcW w:w="1721"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Anshul Maheshwari, Chief Operating Officer &amp; Chief Financial Officer</w:t>
            </w:r>
          </w:p>
        </w:tc>
        <w:tc>
          <w:tcPr>
            <w:tcW w:w="886"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133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17, 2025</w:t>
            </w:r>
          </w:p>
        </w:tc>
        <w:tc>
          <w:tcPr>
            <w:tcW w:w="705"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001"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102,248</w:t>
            </w:r>
          </w:p>
        </w:tc>
        <w:tc>
          <w:tcPr>
            <w:tcW w:w="305" w:type="dxa"/>
            <w:tcBorders/>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087" w:type="dxa"/>
            <w:gridSpan w:val="3"/>
            <w:tcBorders>
              <w:top w:val="single" w:sz="8" w:space="0" w:color="000000"/>
              <w:left w:val="single" w:sz="8" w:space="0" w:color="000000"/>
            </w:tcBorders>
            <w:shd w:fill="FFFF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2027</w:t>
            </w:r>
          </w:p>
        </w:tc>
      </w:tr>
      <w:tr>
        <w:trPr/>
        <w:tc>
          <w:tcPr>
            <w:tcW w:w="1721"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left w:val="single" w:sz="8" w:space="0" w:color="000000"/>
              <w:bottom w:val="single" w:sz="8" w:space="0" w:color="000000"/>
            </w:tcBorders>
            <w:shd w:fill="CCEEFF" w:val="clear"/>
            <w:tcMar>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sz w:val="4"/>
                <w:szCs w:val="4"/>
              </w:rPr>
            </w:pPr>
            <w:r>
              <w:rPr>
                <w:sz w:val="4"/>
                <w:szCs w:val="4"/>
              </w:rPr>
            </w:r>
          </w:p>
        </w:tc>
      </w:tr>
      <w:tr>
        <w:trPr/>
        <w:tc>
          <w:tcPr>
            <w:tcW w:w="9423" w:type="dxa"/>
            <w:gridSpan w:val="25"/>
            <w:tcBorders>
              <w:left w:val="single" w:sz="8" w:space="0" w:color="000000"/>
              <w:bottom w:val="single" w:sz="8" w:space="0" w:color="000000"/>
              <w:right w:val="single" w:sz="8" w:space="0" w:color="000000"/>
            </w:tcBorders>
            <w:tcMar>
              <w:top w:w="0" w:type="dxa"/>
              <w:bottom w:w="3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instruction or written plan intended to satisfy the affirmative defense conditions of Rule 10b5-1(c) under the Exchange Act</w:t>
            </w:r>
          </w:p>
        </w:tc>
        <w:tc>
          <w:tcPr>
            <w:tcW w:w="782" w:type="dxa"/>
            <w:gridSpan w:val="3"/>
            <w:tcBorders/>
          </w:tcPr>
          <w:p>
            <w:pPr>
              <w:pStyle w:val="TableContents"/>
              <w:bidi w:val="0"/>
              <w:spacing w:before="0" w:after="283"/>
              <w:jc w:val="left"/>
              <w:rPr>
                <w:sz w:val="4"/>
                <w:szCs w:val="4"/>
              </w:rPr>
            </w:pPr>
            <w:r>
              <w:rPr>
                <w:sz w:val="4"/>
                <w:szCs w:val="4"/>
              </w:rPr>
            </w:r>
          </w:p>
        </w:tc>
      </w:tr>
      <w:tr>
        <w:trPr/>
        <w:tc>
          <w:tcPr>
            <w:tcW w:w="9423" w:type="dxa"/>
            <w:gridSpan w:val="25"/>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 “Non-Rule 10b5-1 trading arrangement” as defined in Item 408(c) of Regulation S-K under the Exchange Act. </w:t>
            </w:r>
          </w:p>
        </w:tc>
        <w:tc>
          <w:tcPr>
            <w:tcW w:w="782"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(1) (a) up to 31,645 shares of common stock held by Mr. Maheshwari; (b) up to 47,634 shares of common stock subject to restricted stock unit awards (RSUs) previously granted to Mr. Maheshwari that may vest and be released to him on or before March 31, 2027 upon satisfaction of the applicable service-based vesting conditions, to be reduced by the shares sold to satisfy tax withholding obligations arising from the vesting of such RSUs; and (c) up to 22,969 shares of common stock subject to performance-based restricted stock unit awards (PSUs) previously granted to Mr. Maheshwari that may vest and be released to him on or before March 31, 2027 upon satisfaction of the applicable performance-based vesting conditions, to be reduced by the shares sold to satisfy tax withholding obligations arising from the vesting of such PSUs. The actual number of shares of common stock that may vest and be released to Mr. Maheshwari upon satisfaction of the applicable performance-based vesting conditions pursuant to the PSUs is not yet determinable. Moreover, the actual number of share that will be sold pursuant to the Rule 10b5-1 trading arrangement is not yet determinable.</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 of the Company’s other directors or officers adopted a Rule 10b5-1 trading arrangement or a non-Rule 10b5-1 trading arrangement, as defined in Item 408 of Regulation S-K under the Exchange Act during the three-month period ended December 31, 2025.</w:t>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incorporated by reference to our definitive proxy statement for our 2026 Annual Meeting of Stockholders (the "2026 Proxy Statement"), which will be filed with the SEC not later than 120 days after the end of our fiscal year ended December 31, 2025.</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adopted a Code of Business Conduct and Ethics that applies to our officers, directors and employees which is available on our website at www.si-bone.com. The Code of Business Conduct and Ethics is intended to qualify as a “code of ethics” within the meaning of Section 406 of the Sarbanes-Oxley Act of 2002 and Item 406 of Regulation S-K. In addition, we intend to promptly disclose on our website in the future (1) the nature of any substantive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adopted an Insider Trading Policy governing the purchase, sale, and/or other dispositions of our securities by directors, officers and employees that is designed to promote compliance with insider trading laws, rules and regulations, as well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procedures designed to further the foregoing purposes. From time to time, we may engage in transactions in our securities. It is our policy to comply with applicable laws and regulations relating to insider trading.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incorporated by reference to the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incorporated by reference to the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incorporated by reference to the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incorporated by reference to the i 2026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 The following documents are filed as part of this report:</w:t>
      </w:r>
    </w:p>
    <w:p>
      <w:pPr>
        <w:pStyle w:val="TextBody"/>
        <w:bidi w:val="0"/>
        <w:spacing w:lineRule="auto" w:line="312" w:before="0" w:after="240"/>
        <w:jc w:val="both"/>
        <w:rPr>
          <w:rFonts w:ascii="Times New Roman;serif" w:hAnsi="Times New Roman;serif"/>
          <w:b w:val="false"/>
          <w:color w:val="000000"/>
          <w:sz w:val="20"/>
        </w:rPr>
      </w:pPr>
      <w:r>
        <w:rPr>
          <w:rFonts w:ascii="Times New Roman;serif" w:hAnsi="Times New Roman;serif"/>
          <w:b w:val="false"/>
          <w:color w:val="000000"/>
          <w:sz w:val="20"/>
        </w:rPr>
        <w:t>1. Financial Statements</w:t>
      </w:r>
    </w:p>
    <w:p>
      <w:pPr>
        <w:pStyle w:val="TextBody"/>
        <w:bidi w:val="0"/>
        <w:spacing w:lineRule="auto" w:line="312"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Information in response to this Item is included in Part II, Item 8 of this Annual Report on Form 10</w:t>
        <w:noBreakHyphen/>
        <w:t>K.</w:t>
      </w:r>
    </w:p>
    <w:p>
      <w:pPr>
        <w:pStyle w:val="TextBody"/>
        <w:bidi w:val="0"/>
        <w:spacing w:lineRule="auto" w:line="312" w:before="0" w:after="240"/>
        <w:jc w:val="both"/>
        <w:rPr>
          <w:rFonts w:ascii="Times New Roman;serif" w:hAnsi="Times New Roman;serif"/>
          <w:b w:val="false"/>
          <w:color w:val="000000"/>
          <w:sz w:val="20"/>
        </w:rPr>
      </w:pPr>
      <w:r>
        <w:rPr>
          <w:rFonts w:ascii="Times New Roman;serif" w:hAnsi="Times New Roman;serif"/>
          <w:b w:val="false"/>
          <w:color w:val="000000"/>
          <w:sz w:val="20"/>
        </w:rPr>
        <w:t>2. Financial Statement Schedules</w:t>
      </w:r>
    </w:p>
    <w:p>
      <w:pPr>
        <w:pStyle w:val="TextBody"/>
        <w:bidi w:val="0"/>
        <w:spacing w:lineRule="auto" w:line="312" w:before="0" w:after="24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All schedules are omitted because they are not applicable or the required information is shown in the financial statements or notes thereto.</w:t>
      </w:r>
    </w:p>
    <w:p>
      <w:pPr>
        <w:pStyle w:val="TextBody"/>
        <w:bidi w:val="0"/>
        <w:spacing w:lineRule="auto" w:line="312" w:before="0" w:after="240"/>
        <w:jc w:val="both"/>
        <w:rPr>
          <w:rFonts w:ascii="Times New Roman;serif" w:hAnsi="Times New Roman;serif"/>
          <w:b w:val="false"/>
          <w:color w:val="000000"/>
          <w:sz w:val="20"/>
        </w:rPr>
      </w:pPr>
      <w:r>
        <w:rPr>
          <w:rFonts w:ascii="Times New Roman;serif" w:hAnsi="Times New Roman;serif"/>
          <w:b w:val="false"/>
          <w:color w:val="000000"/>
          <w:sz w:val="20"/>
        </w:rPr>
        <w:t>3. Exhibits</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exhibits, as required by Item 601 of Regulation S-K are attached or incorporated by reference as stated below.</w:t>
      </w:r>
    </w:p>
    <w:p>
      <w:pPr>
        <w:pStyle w:val="TextBody"/>
        <w:bidi w:val="0"/>
        <w:spacing w:before="0" w:after="160"/>
        <w:jc w:val="left"/>
        <w:rPr/>
      </w:pPr>
      <w:r>
        <w:rPr/>
      </w:r>
    </w:p>
    <w:p>
      <w:pPr>
        <w:pStyle w:val="TextBody"/>
        <w:bidi w:val="0"/>
        <w:spacing w:lineRule="auto" w:line="312" w:before="0" w:after="24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672"/>
        <w:gridCol w:w="1672"/>
        <w:gridCol w:w="1689"/>
        <w:gridCol w:w="109"/>
        <w:gridCol w:w="109"/>
        <w:gridCol w:w="109"/>
        <w:gridCol w:w="176"/>
        <w:gridCol w:w="176"/>
        <w:gridCol w:w="177"/>
        <w:gridCol w:w="119"/>
        <w:gridCol w:w="119"/>
        <w:gridCol w:w="119"/>
        <w:gridCol w:w="359"/>
        <w:gridCol w:w="284"/>
        <w:gridCol w:w="212"/>
        <w:gridCol w:w="119"/>
        <w:gridCol w:w="119"/>
        <w:gridCol w:w="119"/>
        <w:gridCol w:w="210"/>
        <w:gridCol w:w="210"/>
        <w:gridCol w:w="211"/>
        <w:gridCol w:w="109"/>
        <w:gridCol w:w="109"/>
        <w:gridCol w:w="109"/>
        <w:gridCol w:w="218"/>
        <w:gridCol w:w="218"/>
        <w:gridCol w:w="320"/>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Incorporation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Exhibit </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 File No.</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10/19/2018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Second Amended and 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001-38701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9/20/2023</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Amendment to Amended and Restated Certificate of Incorporation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6/26/2024</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Form of Common Stock Certificate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333-227445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Reference is made to Exhibits </w:t>
            </w:r>
            <w:hyperlink r:id="rId7">
              <w:r>
                <w:rPr>
                  <w:rStyle w:val="InternetLink"/>
                  <w:rFonts w:ascii="Times New Roman;serif" w:hAnsi="Times New Roman;serif"/>
                  <w:b w:val="false"/>
                  <w:color w:val="0000FF"/>
                  <w:sz w:val="20"/>
                  <w:u w:val="single"/>
                </w:rPr>
                <w:t>3.1</w:t>
              </w:r>
            </w:hyperlink>
            <w:r>
              <w:rPr>
                <w:color w:val="000000"/>
              </w:rPr>
              <w:t xml:space="preserve"> </w:t>
            </w:r>
            <w:r>
              <w:rPr>
                <w:rFonts w:ascii="Times New Roman;serif" w:hAnsi="Times New Roman;serif"/>
                <w:b w:val="false"/>
                <w:color w:val="000000"/>
                <w:sz w:val="20"/>
              </w:rPr>
              <w:t xml:space="preserve">and </w:t>
            </w:r>
            <w:hyperlink r:id="rId8">
              <w:r>
                <w:rPr>
                  <w:rStyle w:val="InternetLink"/>
                  <w:rFonts w:ascii="Times New Roman;serif" w:hAnsi="Times New Roman;serif"/>
                  <w:b w:val="false"/>
                  <w:color w:val="0000FF"/>
                  <w:sz w:val="20"/>
                  <w:u w:val="single"/>
                </w:rPr>
                <w:t>3.2</w:t>
              </w:r>
            </w:hyperlink>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Description of SI-BONE, Inc. Common Stock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5/5/2020</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Form of Indemnity Agreement between the Registrant and each of its directors and executive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333-227445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9/20/2018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2008 Stock Plan and forms of agreements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333-227445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2018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333-227445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Forms of Stock Option Grant Notice, Option Agreement and Notice of Exercise under the 2018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333-227445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Forms of Restricted Stock Unit Grant Notice and Restricted Stock Unit Award Agreement under the 2018 Equity Incentive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11/8/2022</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2018 Employee Stock Purchase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333-227445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erif" w:hAnsi="Times New Roman;serif"/>
                <w:b w:val="false"/>
                <w:color w:val="000000"/>
                <w:sz w:val="20"/>
              </w:rPr>
            </w:pPr>
            <w:r>
              <w:rPr>
                <w:rFonts w:ascii="Times New Roman;serif" w:hAnsi="Times New Roman;serif"/>
                <w:b w:val="false"/>
                <w:color w:val="000000"/>
                <w:sz w:val="20"/>
              </w:rPr>
              <w:t>10/5/2018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Offer Letter Agreement, dated December 15, 2009, between the Registrant and Jeffrey W. Dunn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333-227445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erif" w:hAnsi="Times New Roman;serif"/>
                <w:b w:val="false"/>
                <w:color w:val="000000"/>
                <w:sz w:val="20"/>
              </w:rPr>
            </w:pPr>
            <w:r>
              <w:rPr>
                <w:rFonts w:ascii="Times New Roman;serif" w:hAnsi="Times New Roman;serif"/>
                <w:b w:val="false"/>
                <w:color w:val="000000"/>
                <w:sz w:val="20"/>
              </w:rPr>
              <w:t>9/20/2018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Offer Letter Agreement, dated June 19, 2016, between the Registrant and Anthony J. Recupero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333-227445</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9/20/2018</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Consulting Agreement between the Registrant and Anthony J. Recupero, effective as of February 16,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8/5/2025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80"/>
                  <w:sz w:val="20"/>
                  <w:u w:val="single"/>
                </w:rPr>
                <w:t>A</w:t>
              </w:r>
            </w:hyperlink>
            <w:hyperlink r:id="rId20">
              <w:r>
                <w:rPr>
                  <w:rStyle w:val="InternetLink"/>
                  <w:rFonts w:ascii="Times New Roman;serif" w:hAnsi="Times New Roman;serif"/>
                  <w:b w:val="false"/>
                  <w:color w:val="000080"/>
                  <w:sz w:val="20"/>
                  <w:u w:val="single"/>
                </w:rPr>
                <w:t xml:space="preserve">nthony J. Recupero's retirement letter </w:t>
              </w:r>
            </w:hyperlink>
            <w:hyperlink r:id="rId21">
              <w:r>
                <w:rPr>
                  <w:rStyle w:val="InternetLink"/>
                  <w:rFonts w:ascii="Times New Roman;serif" w:hAnsi="Times New Roman;serif"/>
                  <w:b w:val="false"/>
                  <w:color w:val="000080"/>
                  <w:sz w:val="20"/>
                  <w:u w:val="single"/>
                </w:rPr>
                <w:t>dated July 31,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8/5/2025</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Amended and Restated Investors’ Rights Agreement, dated June 2, 2016, by and among the Registrant and the parties thereto, as amended on October 4, 2018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S-1/A</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333-227445</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10/5/2018</w:t>
            </w:r>
          </w:p>
        </w:tc>
      </w:tr>
      <w:tr>
        <w:trPr/>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Amendment to Restricted Stock Units of Laura Francis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11/12/2019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61"/>
        <w:gridCol w:w="203"/>
        <w:gridCol w:w="191"/>
        <w:gridCol w:w="109"/>
        <w:gridCol w:w="109"/>
        <w:gridCol w:w="109"/>
        <w:gridCol w:w="2195"/>
        <w:gridCol w:w="1501"/>
        <w:gridCol w:w="1505"/>
        <w:gridCol w:w="109"/>
        <w:gridCol w:w="109"/>
        <w:gridCol w:w="109"/>
        <w:gridCol w:w="146"/>
        <w:gridCol w:w="144"/>
        <w:gridCol w:w="129"/>
        <w:gridCol w:w="109"/>
        <w:gridCol w:w="109"/>
        <w:gridCol w:w="109"/>
        <w:gridCol w:w="333"/>
        <w:gridCol w:w="263"/>
        <w:gridCol w:w="265"/>
        <w:gridCol w:w="109"/>
        <w:gridCol w:w="109"/>
        <w:gridCol w:w="109"/>
        <w:gridCol w:w="222"/>
        <w:gridCol w:w="222"/>
        <w:gridCol w:w="227"/>
        <w:gridCol w:w="109"/>
        <w:gridCol w:w="109"/>
        <w:gridCol w:w="109"/>
        <w:gridCol w:w="220"/>
        <w:gridCol w:w="220"/>
        <w:gridCol w:w="323"/>
      </w:tblGrid>
      <w:tr>
        <w:trPr/>
        <w:tc>
          <w:tcPr>
            <w:tcW w:w="26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Amendment to Offer Letter with Jeffrey Dunn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1/7/2021</w:t>
            </w:r>
          </w:p>
        </w:tc>
      </w:tr>
      <w:tr>
        <w:trPr/>
        <w:tc>
          <w:tcPr>
            <w:tcW w:w="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80"/>
                  <w:sz w:val="20"/>
                  <w:u w:val="single"/>
                </w:rPr>
                <w:t>202</w:t>
              </w:r>
            </w:hyperlink>
            <w:hyperlink r:id="rId26">
              <w:r>
                <w:rPr>
                  <w:rStyle w:val="InternetLink"/>
                  <w:rFonts w:ascii="Times New Roman;serif" w:hAnsi="Times New Roman;serif"/>
                  <w:b w:val="false"/>
                  <w:color w:val="000080"/>
                  <w:sz w:val="20"/>
                  <w:u w:val="single"/>
                </w:rPr>
                <w:t>5</w:t>
              </w:r>
            </w:hyperlink>
            <w:hyperlink r:id="rId27">
              <w:r>
                <w:rPr>
                  <w:rStyle w:val="InternetLink"/>
                  <w:rFonts w:ascii="Times New Roman;serif" w:hAnsi="Times New Roman;serif"/>
                  <w:b w:val="false"/>
                  <w:color w:val="000080"/>
                  <w:sz w:val="20"/>
                  <w:u w:val="single"/>
                </w:rPr>
                <w:t xml:space="preserve"> Non-Employee Directors' Compensation Policy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8/05/2025</w:t>
            </w:r>
          </w:p>
        </w:tc>
      </w:tr>
      <w:tr>
        <w:trPr/>
        <w:tc>
          <w:tcPr>
            <w:tcW w:w="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SI-BONE, Inc. Severance Benefit Plan and Form of Participation Agreement</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3/10/2021</w:t>
            </w:r>
          </w:p>
        </w:tc>
      </w:tr>
      <w:tr>
        <w:trPr/>
        <w:tc>
          <w:tcPr>
            <w:tcW w:w="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Offer Letter Agreement, dated March 4, 2021, between the Registrant and Mika Nishimura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5/4/2021</w:t>
            </w:r>
          </w:p>
        </w:tc>
      </w:tr>
      <w:tr>
        <w:trPr/>
        <w:tc>
          <w:tcPr>
            <w:tcW w:w="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Consulting Agreement by and among the Registrant, Daniel Wolf and Convergence Bio Advisors LLC, dated November 6,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11/10/2025</w:t>
            </w:r>
          </w:p>
        </w:tc>
      </w:tr>
      <w:tr>
        <w:trPr/>
        <w:tc>
          <w:tcPr>
            <w:tcW w:w="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Office Lease Agreement, dated February 2, 2018, between the Registrant and Bixby SPE Finance 11, LLC, as amended on April 16, 2018</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333-227445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9/20/2018</w:t>
            </w:r>
          </w:p>
        </w:tc>
      </w:tr>
      <w:tr>
        <w:trPr/>
        <w:tc>
          <w:tcPr>
            <w:tcW w:w="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9-plumerialeasee.htm">
              <w:r>
                <w:rPr>
                  <w:rStyle w:val="InternetLink"/>
                  <w:rFonts w:ascii="Times New Roman;serif" w:hAnsi="Times New Roman;serif"/>
                  <w:b w:val="false"/>
                  <w:color w:val="0000FF"/>
                  <w:sz w:val="20"/>
                  <w:u w:val="single"/>
                </w:rPr>
                <w:t>Office Lease Agreement, dated February 20, 2026, between the Registrant and Orchard Commons,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Loan and Security Agreement, dated August 12, 2021, between the Registrant and Silicon Valley Bank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11/9/2021</w:t>
            </w:r>
          </w:p>
        </w:tc>
      </w:tr>
      <w:tr>
        <w:trPr/>
        <w:tc>
          <w:tcPr>
            <w:tcW w:w="6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Second Amendment to the Offer Letter Agreement and Severance Plan Participation Agreement with Jeffrey Dunn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11/9/2021</w:t>
            </w:r>
          </w:p>
        </w:tc>
      </w:tr>
      <w:tr>
        <w:trPr/>
        <w:tc>
          <w:tcPr>
            <w:tcW w:w="6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Offer Letter Agreement, dated April 20, 2021, between the Registrant and Anshul Maheshwari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4/20/2021</w:t>
            </w:r>
          </w:p>
        </w:tc>
      </w:tr>
      <w:tr>
        <w:trPr/>
        <w:tc>
          <w:tcPr>
            <w:tcW w:w="6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Second Amended and Restated Participation Agreement dated May 5, 2025, between the Registrant and Laura Francis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5/6/2025</w:t>
            </w:r>
          </w:p>
        </w:tc>
      </w:tr>
      <w:tr>
        <w:trPr/>
        <w:tc>
          <w:tcPr>
            <w:tcW w:w="6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Form of Performance-Based Restricted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11/8/2022</w:t>
            </w:r>
          </w:p>
        </w:tc>
      </w:tr>
      <w:tr>
        <w:trPr/>
        <w:tc>
          <w:tcPr>
            <w:tcW w:w="6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First Amendment to Loan and Security Agreement, dated January 6, 2023 between the Registrant and Silicon Valley Bank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3/2/2023</w:t>
            </w:r>
          </w:p>
        </w:tc>
      </w:tr>
      <w:tr>
        <w:trPr/>
        <w:tc>
          <w:tcPr>
            <w:tcW w:w="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Letter Agreement, dated March 24, 2023 between the Registrant and Silicon Valley Bridge Bank</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5/2/2023</w:t>
            </w:r>
          </w:p>
        </w:tc>
      </w:tr>
      <w:tr>
        <w:trPr/>
        <w:tc>
          <w:tcPr>
            <w:tcW w:w="6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Performance Stock Unit Grants to Executive Officers or Key Executives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Item 5.02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1/10/2022</w:t>
            </w:r>
          </w:p>
        </w:tc>
      </w:tr>
      <w:tr>
        <w:trPr/>
        <w:tc>
          <w:tcPr>
            <w:tcW w:w="6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80"/>
                  <w:sz w:val="20"/>
                  <w:u w:val="single"/>
                </w:rPr>
                <w:t xml:space="preserve">Second Amendment to Loan and Security Agreement, dated January 25, 2024 between </w:t>
              </w:r>
            </w:hyperlink>
            <w:hyperlink r:id="rId41">
              <w:r>
                <w:rPr>
                  <w:rStyle w:val="InternetLink"/>
                  <w:rFonts w:ascii="Times New Roman;serif" w:hAnsi="Times New Roman;serif"/>
                  <w:b w:val="false"/>
                  <w:color w:val="000080"/>
                  <w:sz w:val="20"/>
                  <w:u w:val="single"/>
                </w:rPr>
                <w:t>the Registrant</w:t>
              </w:r>
            </w:hyperlink>
            <w:hyperlink r:id="rId42">
              <w:r>
                <w:rPr>
                  <w:rStyle w:val="InternetLink"/>
                  <w:rFonts w:ascii="Times New Roman;serif" w:hAnsi="Times New Roman;serif"/>
                  <w:b w:val="false"/>
                  <w:color w:val="000080"/>
                  <w:sz w:val="20"/>
                  <w:u w:val="single"/>
                </w:rPr>
                <w:t xml:space="preserve"> and Silicon Valley Bank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2/27/2024</w:t>
            </w:r>
          </w:p>
        </w:tc>
      </w:tr>
      <w:tr>
        <w:trPr/>
        <w:tc>
          <w:tcPr>
            <w:tcW w:w="6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80"/>
                  <w:sz w:val="20"/>
                  <w:u w:val="single"/>
                </w:rPr>
                <w:t xml:space="preserve">Manufacture and Supply Agreement, dated February 23, 2024, between </w:t>
              </w:r>
            </w:hyperlink>
            <w:hyperlink r:id="rId44">
              <w:r>
                <w:rPr>
                  <w:rStyle w:val="InternetLink"/>
                  <w:rFonts w:ascii="Times New Roman;serif" w:hAnsi="Times New Roman;serif"/>
                  <w:b w:val="false"/>
                  <w:color w:val="000080"/>
                  <w:sz w:val="20"/>
                  <w:u w:val="single"/>
                </w:rPr>
                <w:t>the Registrant</w:t>
              </w:r>
            </w:hyperlink>
            <w:hyperlink r:id="rId45">
              <w:r>
                <w:rPr>
                  <w:rStyle w:val="InternetLink"/>
                  <w:rFonts w:ascii="Times New Roman;serif" w:hAnsi="Times New Roman;serif"/>
                  <w:b w:val="false"/>
                  <w:color w:val="000080"/>
                  <w:sz w:val="20"/>
                  <w:u w:val="single"/>
                </w:rPr>
                <w:t xml:space="preserve"> and RMS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2/27/2024</w:t>
            </w:r>
          </w:p>
        </w:tc>
      </w:tr>
      <w:tr>
        <w:trPr/>
        <w:tc>
          <w:tcPr>
            <w:tcW w:w="6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Second Amendment to Lease Agreement, dated July 17, 2024, between the Registrant and Bixby SPE Finance 11,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7/19/2024</w:t>
            </w:r>
          </w:p>
        </w:tc>
      </w:tr>
      <w:tr>
        <w:trPr/>
        <w:tc>
          <w:tcPr>
            <w:tcW w:w="6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80"/>
                  <w:sz w:val="20"/>
                  <w:u w:val="single"/>
                </w:rPr>
                <w:t xml:space="preserve">Third Amendment to Loan and Security Agreement, dated November 8, 2024, between </w:t>
              </w:r>
            </w:hyperlink>
            <w:hyperlink r:id="rId48">
              <w:r>
                <w:rPr>
                  <w:rStyle w:val="InternetLink"/>
                  <w:rFonts w:ascii="Times New Roman;serif" w:hAnsi="Times New Roman;serif"/>
                  <w:b w:val="false"/>
                  <w:color w:val="000080"/>
                  <w:sz w:val="20"/>
                  <w:u w:val="single"/>
                </w:rPr>
                <w:t>the Registrant</w:t>
              </w:r>
            </w:hyperlink>
            <w:hyperlink r:id="rId49">
              <w:r>
                <w:rPr>
                  <w:rStyle w:val="InternetLink"/>
                  <w:rFonts w:ascii="Times New Roman;serif" w:hAnsi="Times New Roman;serif"/>
                  <w:b w:val="false"/>
                  <w:color w:val="000080"/>
                  <w:sz w:val="20"/>
                  <w:u w:val="single"/>
                </w:rPr>
                <w:t xml:space="preserve"> and Silicon Valley Bank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11/12/2024</w:t>
            </w:r>
          </w:p>
        </w:tc>
      </w:tr>
      <w:tr>
        <w:trPr/>
        <w:tc>
          <w:tcPr>
            <w:tcW w:w="6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10.32+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20"/>
                  <w:u w:val="single"/>
                </w:rPr>
                <w:t xml:space="preserve">Offer Letter Agreement dated April 17, 2024, between the Registrant and Thomas A. West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2/25/2025</w:t>
            </w:r>
          </w:p>
        </w:tc>
      </w:tr>
      <w:tr>
        <w:trPr/>
        <w:tc>
          <w:tcPr>
            <w:tcW w:w="6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FF"/>
                  <w:sz w:val="20"/>
                  <w:u w:val="single"/>
                </w:rPr>
                <w:t>Form of Financial Performance-Based Restricted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2/25/2025</w:t>
            </w:r>
          </w:p>
        </w:tc>
      </w:tr>
      <w:tr>
        <w:trPr/>
        <w:tc>
          <w:tcPr>
            <w:tcW w:w="6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Amendment No. 1 to Manufacture and Supply Agreement, dated August 1, 2025, between the Registrant and RMS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8/5/2025</w:t>
            </w:r>
          </w:p>
        </w:tc>
      </w:tr>
      <w:tr>
        <w:trPr/>
        <w:tc>
          <w:tcPr>
            <w:tcW w:w="6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Fourth Amendment to Loan and Security Agreement, dated September 25, 2025 between the Registrant and Silicon Valley Bank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11/10/2025</w:t>
            </w:r>
          </w:p>
        </w:tc>
      </w:tr>
      <w:tr>
        <w:trPr/>
        <w:tc>
          <w:tcPr>
            <w:tcW w:w="6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191_insidertradingp.htm">
              <w:r>
                <w:rPr>
                  <w:rStyle w:val="InternetLink"/>
                  <w:rFonts w:ascii="Times New Roman;serif" w:hAnsi="Times New Roman;serif"/>
                  <w:b w:val="false"/>
                  <w:color w:val="0000FF"/>
                  <w:sz w:val="20"/>
                  <w:u w:val="single"/>
                </w:rPr>
                <w:t>Insider Trading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211_12312025listxof.htm">
              <w:r>
                <w:rPr>
                  <w:rStyle w:val="InternetLink"/>
                  <w:rFonts w:ascii="Times New Roman;serif" w:hAnsi="Times New Roman;serif"/>
                  <w:b w:val="false"/>
                  <w:color w:val="0000FF"/>
                  <w:sz w:val="20"/>
                  <w:u w:val="single"/>
                </w:rPr>
                <w:t>List of Subsidiaries of Registrant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231_pwcxconsentx123.htm">
              <w:r>
                <w:rPr>
                  <w:rStyle w:val="InternetLink"/>
                  <w:rFonts w:ascii="Times New Roman;serif" w:hAnsi="Times New Roman;serif"/>
                  <w:b w:val="false"/>
                  <w:color w:val="0000FF"/>
                  <w:sz w:val="20"/>
                  <w:u w:val="single"/>
                </w:rPr>
                <w:t>Consent of PricewaterhouseCoopers,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52"/>
        <w:gridCol w:w="204"/>
        <w:gridCol w:w="205"/>
        <w:gridCol w:w="109"/>
        <w:gridCol w:w="109"/>
        <w:gridCol w:w="109"/>
        <w:gridCol w:w="2031"/>
        <w:gridCol w:w="1759"/>
        <w:gridCol w:w="1764"/>
        <w:gridCol w:w="109"/>
        <w:gridCol w:w="109"/>
        <w:gridCol w:w="109"/>
        <w:gridCol w:w="139"/>
        <w:gridCol w:w="139"/>
        <w:gridCol w:w="140"/>
        <w:gridCol w:w="109"/>
        <w:gridCol w:w="109"/>
        <w:gridCol w:w="109"/>
        <w:gridCol w:w="250"/>
        <w:gridCol w:w="250"/>
        <w:gridCol w:w="251"/>
        <w:gridCol w:w="109"/>
        <w:gridCol w:w="109"/>
        <w:gridCol w:w="109"/>
        <w:gridCol w:w="155"/>
        <w:gridCol w:w="155"/>
        <w:gridCol w:w="156"/>
        <w:gridCol w:w="109"/>
        <w:gridCol w:w="109"/>
        <w:gridCol w:w="109"/>
        <w:gridCol w:w="208"/>
        <w:gridCol w:w="208"/>
        <w:gridCol w:w="304"/>
      </w:tblGrid>
      <w:tr>
        <w:trPr/>
        <w:tc>
          <w:tcPr>
            <w:tcW w:w="25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a26cdde27c84ae5b4e55dcea4a9be6c_259">
              <w:r>
                <w:rPr>
                  <w:rStyle w:val="InternetLink"/>
                  <w:rFonts w:ascii="Times New Roman;serif" w:hAnsi="Times New Roman;serif"/>
                  <w:b w:val="false"/>
                  <w:color w:val="0000FF"/>
                  <w:sz w:val="20"/>
                  <w:u w:val="single"/>
                </w:rPr>
                <w:t>Power of Attorney (contained in the signature page of this report)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11_12312510xk.htm">
              <w:r>
                <w:rPr>
                  <w:rStyle w:val="InternetLink"/>
                  <w:rFonts w:ascii="Times New Roman;serif" w:hAnsi="Times New Roman;serif"/>
                  <w:b w:val="false"/>
                  <w:color w:val="0000FF"/>
                  <w:sz w:val="20"/>
                  <w:u w:val="single"/>
                </w:rPr>
                <w:t>Certification of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12_12312510xk.htm">
              <w:r>
                <w:rPr>
                  <w:rStyle w:val="InternetLink"/>
                  <w:rFonts w:ascii="Times New Roman;serif" w:hAnsi="Times New Roman;serif"/>
                  <w:b w:val="false"/>
                  <w:color w:val="0000FF"/>
                  <w:sz w:val="20"/>
                  <w:u w:val="single"/>
                </w:rPr>
                <w:t>Certification of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ibn-ex321_12312510xk.htm">
              <w:r>
                <w:rPr>
                  <w:rStyle w:val="InternetLink"/>
                  <w:rFonts w:ascii="Times New Roman;serif" w:hAnsi="Times New Roman;serif"/>
                  <w:b w:val="false"/>
                  <w:color w:val="0000FF"/>
                  <w:sz w:val="20"/>
                  <w:u w:val="single"/>
                </w:rPr>
                <w:t>Certification of Principal Executive Officer and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FF"/>
                  <w:sz w:val="20"/>
                  <w:u w:val="single"/>
                </w:rPr>
                <w:t>2023 Recoupment (Clawback)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001-38701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2/27/2024</w:t>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Furnished herewith. Exhibit 32.1 is being furnished and shall not be deemed to be “filed” for purposes of Section 18 of the Securities Exchange Act of 1934, as amended (the “Exchange Act”), or otherwise subject to the liability of that section, nor shall such exhibit be deemed to be incorporated by reference in any registration statement or other document filed under the Securities Act of 1933, as amended, or the Exchange Act, except as otherwise specifically stated in such filing.</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Indicates a management contract or compensatory plan.</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    The Company has omitted portions of the referenced exhibit pursuant to Item 601(b) of Regulation S-K because it (a) is not material and (b) the type of information that the Registrant both customarily and actually treats as private or confidential. </w:t>
      </w:r>
    </w:p>
    <w:p>
      <w:pPr>
        <w:pStyle w:val="TextBody"/>
        <w:bidi w:val="0"/>
        <w:spacing w:lineRule="auto" w:line="312"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 We have filed, or incorporated into this Annual Report on Form 10</w:t>
        <w:noBreakHyphen/>
        <w:t>K by reference, the exhibits listed on the Exhibit Index immediately above.</w:t>
      </w:r>
    </w:p>
    <w:p>
      <w:pPr>
        <w:pStyle w:val="TextBody"/>
        <w:bidi w:val="0"/>
        <w:spacing w:lineRule="auto" w:line="312" w:before="0" w:after="240"/>
        <w:jc w:val="both"/>
        <w:rPr>
          <w:rFonts w:ascii="Times New Roman;serif" w:hAnsi="Times New Roman;serif"/>
          <w:b w:val="false"/>
          <w:color w:val="000000"/>
          <w:sz w:val="20"/>
        </w:rPr>
      </w:pPr>
      <w:r>
        <w:rPr>
          <w:rFonts w:ascii="Times New Roman;serif" w:hAnsi="Times New Roman;serif"/>
          <w:b w:val="false"/>
          <w:color w:val="000000"/>
          <w:sz w:val="20"/>
        </w:rPr>
        <w:t>(c) See Item 15(a)2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Item 16.</w:t>
      </w:r>
      <w:r>
        <w:rPr>
          <w:color w:val="000000"/>
        </w:rPr>
        <w:t>    </w:t>
      </w:r>
      <w:r>
        <w:rPr>
          <w:rFonts w:ascii="Times New Roman;serif" w:hAnsi="Times New Roman;serif"/>
          <w:b/>
          <w:color w:val="000000"/>
          <w:sz w:val="20"/>
        </w:rPr>
        <w:t>Form 10-K Summary.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provided.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center"/>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7560" w:type="dxa"/>
        <w:jc w:val="center"/>
        <w:tblInd w:w="0" w:type="dxa"/>
        <w:tblLayout w:type="fixed"/>
        <w:tblCellMar>
          <w:top w:w="28" w:type="dxa"/>
          <w:left w:w="28" w:type="dxa"/>
          <w:bottom w:w="28" w:type="dxa"/>
          <w:right w:w="28" w:type="dxa"/>
        </w:tblCellMar>
      </w:tblPr>
      <w:tblGrid>
        <w:gridCol w:w="754"/>
        <w:gridCol w:w="664"/>
        <w:gridCol w:w="667"/>
        <w:gridCol w:w="200"/>
        <w:gridCol w:w="200"/>
        <w:gridCol w:w="200"/>
        <w:gridCol w:w="1416"/>
        <w:gridCol w:w="1416"/>
        <w:gridCol w:w="2043"/>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SI-BONE,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Laura A. Francis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Laura A. Francis</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(Duly Authorized Officer and Principal Executive Officer</w:t>
            </w:r>
            <w:r>
              <w:rPr>
                <w:rFonts w:ascii="Times New Roman;serif" w:hAnsi="Times New Roman;serif"/>
                <w:b w:val="false"/>
                <w:color w:val="000000"/>
                <w:sz w:val="16"/>
              </w:rPr>
              <w:t xml:space="preserve">) </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SI-BONE,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24, 2026</w:t>
            </w:r>
          </w:p>
        </w:tc>
        <w:tc>
          <w:tcPr>
            <w:tcW w:w="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Anshul Maheshwari</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Anshul Maheshwari</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Operating Officer &amp; 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before="0" w:after="0"/>
        <w:jc w:val="righ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Laura A. Francis, and Michael A. Pisetsky, and each of them, as his or her true and lawful attorneys-in-fact and agents, each with the full power of substitution, for him or her and in his or her name, place or stead, in any and all capacities, to sign any and all amendments to this Annual Report on Form 10</w:t>
        <w:noBreakHyphen/>
        <w:t>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said attorneys-in-fact and agents, or their or his substitute or substitutes, may lawfully do or cause to be done by virtue hereof.</w:t>
      </w:r>
    </w:p>
    <w:p>
      <w:pPr>
        <w:pStyle w:val="TextBody"/>
        <w:bidi w:val="0"/>
        <w:spacing w:lineRule="auto" w:line="288" w:before="0" w:after="24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in the capacities and on the dates indicated.</w:t>
      </w:r>
    </w:p>
    <w:tbl>
      <w:tblPr>
        <w:tblW w:w="9233" w:type="dxa"/>
        <w:jc w:val="center"/>
        <w:tblInd w:w="0" w:type="dxa"/>
        <w:tblLayout w:type="fixed"/>
        <w:tblCellMar>
          <w:top w:w="28" w:type="dxa"/>
          <w:left w:w="28" w:type="dxa"/>
          <w:bottom w:w="28" w:type="dxa"/>
          <w:right w:w="28" w:type="dxa"/>
        </w:tblCellMar>
      </w:tblPr>
      <w:tblGrid>
        <w:gridCol w:w="754"/>
        <w:gridCol w:w="664"/>
        <w:gridCol w:w="667"/>
        <w:gridCol w:w="109"/>
        <w:gridCol w:w="109"/>
        <w:gridCol w:w="109"/>
        <w:gridCol w:w="1613"/>
        <w:gridCol w:w="1613"/>
        <w:gridCol w:w="1633"/>
        <w:gridCol w:w="109"/>
        <w:gridCol w:w="109"/>
        <w:gridCol w:w="109"/>
        <w:gridCol w:w="477"/>
        <w:gridCol w:w="477"/>
        <w:gridCol w:w="68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0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Laura A. Francis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p>
            <w:pPr>
              <w:pStyle w:val="TableContents"/>
              <w:bidi w:val="0"/>
              <w:spacing w:lineRule="auto" w:line="240"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Duly Authorized Officer and Principal Executive Officer</w:t>
            </w:r>
            <w:r>
              <w:rPr>
                <w:rFonts w:ascii="Times New Roman;serif" w:hAnsi="Times New Roman;serif"/>
                <w:b w:val="false"/>
                <w:color w:val="000000"/>
                <w:sz w:val="16"/>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Laura A. Francis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Anshul Maheshwari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Operating Officer &amp; Chief Financial Officer</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Anshul Maheshwari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Timothy E. Davis,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Timothy E. Davis, Jr.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Jeffrey W. Dunn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Jeffrey W. Dunn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G. Freund,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John G. Freund,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Jeryl L. Hilleman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Jeryl L. Hilleman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Gregory K. Hinckley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Gregory K. Hinckley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Mika Nishimura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Mika Nishimura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Thomas A.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24, 2026</w:t>
            </w:r>
          </w:p>
        </w:tc>
      </w:tr>
      <w:tr>
        <w:trPr/>
        <w:tc>
          <w:tcPr>
            <w:tcW w:w="2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Thomas A. West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before="0" w:after="0"/>
        <w:jc w:val="both"/>
        <w:rPr/>
      </w:pPr>
      <w:r>
        <w:rPr/>
      </w:r>
    </w:p>
    <w:p>
      <w:pPr>
        <w:pStyle w:val="TextBody"/>
        <w:bidi w:val="0"/>
        <w:spacing w:lineRule="auto" w:line="288" w:before="0" w:after="360"/>
        <w:jc w:val="center"/>
        <w:rPr>
          <w:rFonts w:ascii="Arial;sans-serif" w:hAnsi="Arial;sans-serif"/>
          <w:b w:val="false"/>
          <w:color w:val="000000"/>
          <w:sz w:val="28"/>
        </w:rPr>
      </w:pPr>
      <w:r>
        <w:rPr>
          <w:rFonts w:ascii="Arial;sans-serif" w:hAnsi="Arial;sans-serif"/>
          <w:b w:val="false"/>
          <w:color w:val="000000"/>
          <w:sz w:val="28"/>
        </w:rPr>
        <w:t>LEASE</w:t>
      </w:r>
    </w:p>
    <w:p>
      <w:pPr>
        <w:pStyle w:val="TextBody"/>
        <w:bidi w:val="0"/>
        <w:spacing w:lineRule="auto" w:line="288" w:before="0" w:after="360"/>
        <w:jc w:val="center"/>
        <w:rPr>
          <w:rFonts w:ascii="Arial;sans-serif" w:hAnsi="Arial;sans-serif"/>
          <w:b w:val="false"/>
          <w:color w:val="000000"/>
          <w:sz w:val="28"/>
        </w:rPr>
      </w:pPr>
      <w:r>
        <w:rPr>
          <w:rFonts w:ascii="Arial;sans-serif" w:hAnsi="Arial;sans-serif"/>
          <w:b w:val="false"/>
          <w:color w:val="000000"/>
          <w:sz w:val="28"/>
        </w:rPr>
        <w:t>BETWEEN</w:t>
      </w:r>
    </w:p>
    <w:p>
      <w:pPr>
        <w:pStyle w:val="TextBody"/>
        <w:bidi w:val="0"/>
        <w:spacing w:lineRule="auto" w:line="288" w:before="0" w:after="360"/>
        <w:jc w:val="center"/>
        <w:rPr>
          <w:rFonts w:ascii="Arial;sans-serif" w:hAnsi="Arial;sans-serif"/>
          <w:b w:val="false"/>
          <w:color w:val="000000"/>
          <w:sz w:val="28"/>
        </w:rPr>
      </w:pPr>
      <w:r>
        <w:rPr>
          <w:rFonts w:ascii="Arial;sans-serif" w:hAnsi="Arial;sans-serif"/>
          <w:b w:val="false"/>
          <w:color w:val="000000"/>
          <w:sz w:val="28"/>
        </w:rPr>
        <w:t>ORCHARD COMMONS, LLC</w:t>
      </w:r>
    </w:p>
    <w:p>
      <w:pPr>
        <w:pStyle w:val="TextBody"/>
        <w:bidi w:val="0"/>
        <w:spacing w:lineRule="auto" w:line="288" w:before="0" w:after="360"/>
        <w:jc w:val="center"/>
        <w:rPr>
          <w:rFonts w:ascii="Arial;sans-serif" w:hAnsi="Arial;sans-serif"/>
          <w:b w:val="false"/>
          <w:color w:val="000000"/>
          <w:sz w:val="28"/>
        </w:rPr>
      </w:pPr>
      <w:r>
        <w:rPr>
          <w:rFonts w:ascii="Arial;sans-serif" w:hAnsi="Arial;sans-serif"/>
          <w:b w:val="false"/>
          <w:color w:val="000000"/>
          <w:sz w:val="28"/>
        </w:rPr>
        <w:t>(LANDLORD)</w:t>
      </w:r>
    </w:p>
    <w:p>
      <w:pPr>
        <w:pStyle w:val="TextBody"/>
        <w:bidi w:val="0"/>
        <w:spacing w:lineRule="auto" w:line="288" w:before="0" w:after="360"/>
        <w:jc w:val="center"/>
        <w:rPr>
          <w:rFonts w:ascii="Arial;sans-serif" w:hAnsi="Arial;sans-serif"/>
          <w:b w:val="false"/>
          <w:color w:val="000000"/>
          <w:sz w:val="28"/>
        </w:rPr>
      </w:pPr>
      <w:r>
        <w:rPr>
          <w:rFonts w:ascii="Arial;sans-serif" w:hAnsi="Arial;sans-serif"/>
          <w:b w:val="false"/>
          <w:color w:val="000000"/>
          <w:sz w:val="28"/>
        </w:rPr>
        <w:t>AND</w:t>
      </w:r>
    </w:p>
    <w:p>
      <w:pPr>
        <w:pStyle w:val="TextBody"/>
        <w:bidi w:val="0"/>
        <w:spacing w:lineRule="auto" w:line="288" w:before="0" w:after="360"/>
        <w:jc w:val="center"/>
        <w:rPr>
          <w:rFonts w:ascii="Arial;sans-serif" w:hAnsi="Arial;sans-serif"/>
          <w:b w:val="false"/>
          <w:color w:val="000000"/>
          <w:sz w:val="28"/>
        </w:rPr>
      </w:pPr>
      <w:r>
        <w:rPr>
          <w:rFonts w:ascii="Arial;sans-serif" w:hAnsi="Arial;sans-serif"/>
          <w:b w:val="false"/>
          <w:color w:val="000000"/>
          <w:sz w:val="28"/>
        </w:rPr>
        <w:t>SI-BONE, INC.</w:t>
      </w:r>
    </w:p>
    <w:p>
      <w:pPr>
        <w:pStyle w:val="TextBody"/>
        <w:bidi w:val="0"/>
        <w:spacing w:lineRule="auto" w:line="288" w:before="0" w:after="360"/>
        <w:jc w:val="center"/>
        <w:rPr>
          <w:rFonts w:ascii="Arial;sans-serif" w:hAnsi="Arial;sans-serif"/>
          <w:b w:val="false"/>
          <w:color w:val="000000"/>
          <w:sz w:val="28"/>
        </w:rPr>
      </w:pPr>
      <w:r>
        <w:rPr>
          <w:rFonts w:ascii="Arial;sans-serif" w:hAnsi="Arial;sans-serif"/>
          <w:b w:val="false"/>
          <w:color w:val="000000"/>
          <w:sz w:val="28"/>
        </w:rPr>
        <w:t>(TENANT)</w:t>
      </w:r>
    </w:p>
    <w:p>
      <w:pPr>
        <w:pStyle w:val="TextBody"/>
        <w:bidi w:val="0"/>
        <w:spacing w:lineRule="auto" w:line="288" w:before="0" w:after="0"/>
        <w:jc w:val="center"/>
        <w:rPr>
          <w:rFonts w:ascii="Arial;sans-serif" w:hAnsi="Arial;sans-serif"/>
          <w:b w:val="false"/>
          <w:color w:val="000000"/>
          <w:sz w:val="28"/>
        </w:rPr>
      </w:pPr>
      <w:r>
        <w:rPr>
          <w:rFonts w:ascii="Arial;sans-serif" w:hAnsi="Arial;sans-serif"/>
          <w:b w:val="false"/>
          <w:color w:val="000000"/>
          <w:sz w:val="28"/>
        </w:rPr>
        <w:t>ORCHARD COMMONS</w:t>
      </w:r>
    </w:p>
    <w:p>
      <w:pPr>
        <w:pStyle w:val="TextBody"/>
        <w:bidi w:val="0"/>
        <w:spacing w:lineRule="auto" w:line="288" w:before="0" w:after="0"/>
        <w:jc w:val="center"/>
        <w:rPr>
          <w:rFonts w:ascii="Arial;sans-serif" w:hAnsi="Arial;sans-serif"/>
          <w:b w:val="false"/>
          <w:color w:val="000000"/>
          <w:sz w:val="28"/>
        </w:rPr>
      </w:pPr>
      <w:r>
        <w:rPr>
          <w:rFonts w:ascii="Arial;sans-serif" w:hAnsi="Arial;sans-serif"/>
          <w:b w:val="false"/>
          <w:color w:val="000000"/>
          <w:sz w:val="28"/>
        </w:rPr>
        <w:t>San Jose, California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TABLE OF CONTENTS</w:t>
      </w:r>
    </w:p>
    <w:p>
      <w:pPr>
        <w:pStyle w:val="TextBody"/>
        <w:bidi w:val="0"/>
        <w:spacing w:before="0" w:after="0"/>
        <w:jc w:val="both"/>
        <w:rPr/>
      </w:pPr>
      <w:r>
        <w:rPr/>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PAGE</w:t>
      </w:r>
    </w:p>
    <w:p>
      <w:pPr>
        <w:pStyle w:val="TextBody"/>
        <w:bidi w:val="0"/>
        <w:spacing w:lineRule="atLeast" w:line="240" w:before="0" w:after="0"/>
        <w:ind w:left="0" w:right="0" w:hanging="720"/>
        <w:jc w:val="both"/>
        <w:rPr/>
      </w:pPr>
      <w:r>
        <w:rPr>
          <w:rFonts w:ascii="Arial;sans-serif" w:hAnsi="Arial;sans-serif"/>
          <w:b w:val="false"/>
          <w:color w:val="000000"/>
          <w:sz w:val="20"/>
        </w:rPr>
        <w:t>1.01</w:t>
      </w:r>
      <w:r>
        <w:rPr>
          <w:color w:val="000000"/>
        </w:rPr>
        <w:t>    </w:t>
      </w:r>
      <w:r>
        <w:rPr>
          <w:rFonts w:ascii="Arial;sans-serif" w:hAnsi="Arial;sans-serif"/>
          <w:b w:val="false"/>
          <w:color w:val="000000"/>
          <w:sz w:val="20"/>
        </w:rPr>
        <w:t>BASIC LEASE PROVISIONS    </w:t>
      </w:r>
      <w:hyperlink w:anchor="ic761b8a3131f4eae8add660a333b625f_7">
        <w:r>
          <w:rPr>
            <w:rStyle w:val="InternetLink"/>
            <w:rFonts w:ascii="Arial;sans-serif" w:hAnsi="Arial;sans-serif"/>
            <w:b w:val="false"/>
            <w:strike w:val="false"/>
            <w:dstrike w:val="false"/>
            <w:color w:val="000000"/>
            <w:sz w:val="20"/>
            <w:u w:val="none"/>
            <w:effect w:val="none"/>
          </w:rPr>
          <w:t>1</w:t>
        </w:r>
      </w:hyperlink>
    </w:p>
    <w:p>
      <w:pPr>
        <w:pStyle w:val="TextBody"/>
        <w:bidi w:val="0"/>
        <w:spacing w:lineRule="atLeast" w:line="240" w:before="0" w:after="0"/>
        <w:ind w:left="0" w:right="0" w:hanging="720"/>
        <w:jc w:val="both"/>
        <w:rPr/>
      </w:pPr>
      <w:r>
        <w:rPr>
          <w:rFonts w:ascii="Arial;sans-serif" w:hAnsi="Arial;sans-serif"/>
          <w:b w:val="false"/>
          <w:color w:val="000000"/>
          <w:sz w:val="20"/>
        </w:rPr>
        <w:t>1.02</w:t>
      </w:r>
      <w:r>
        <w:rPr>
          <w:color w:val="000000"/>
        </w:rPr>
        <w:t>    </w:t>
      </w:r>
      <w:r>
        <w:rPr>
          <w:rFonts w:ascii="Arial;sans-serif" w:hAnsi="Arial;sans-serif"/>
          <w:b w:val="false"/>
          <w:color w:val="000000"/>
          <w:sz w:val="20"/>
        </w:rPr>
        <w:t>ENUMERATION OF EXHIBITS &amp; RIDER(S)    </w:t>
      </w:r>
      <w:hyperlink w:anchor="ic761b8a3131f4eae8add660a333b625f_7">
        <w:r>
          <w:rPr>
            <w:rStyle w:val="InternetLink"/>
            <w:rFonts w:ascii="Arial;sans-serif" w:hAnsi="Arial;sans-serif"/>
            <w:b w:val="false"/>
            <w:strike w:val="false"/>
            <w:dstrike w:val="false"/>
            <w:color w:val="000000"/>
            <w:sz w:val="20"/>
            <w:u w:val="none"/>
            <w:effect w:val="none"/>
          </w:rPr>
          <w:t>2</w:t>
        </w:r>
      </w:hyperlink>
    </w:p>
    <w:p>
      <w:pPr>
        <w:pStyle w:val="TextBody"/>
        <w:bidi w:val="0"/>
        <w:spacing w:lineRule="atLeast" w:line="240" w:before="0" w:after="0"/>
        <w:ind w:left="0" w:right="0" w:hanging="720"/>
        <w:jc w:val="both"/>
        <w:rPr/>
      </w:pPr>
      <w:r>
        <w:rPr>
          <w:rFonts w:ascii="Arial;sans-serif" w:hAnsi="Arial;sans-serif"/>
          <w:b w:val="false"/>
          <w:color w:val="000000"/>
          <w:sz w:val="20"/>
        </w:rPr>
        <w:t>1.03</w:t>
      </w:r>
      <w:r>
        <w:rPr>
          <w:color w:val="000000"/>
        </w:rPr>
        <w:t>    </w:t>
      </w:r>
      <w:r>
        <w:rPr>
          <w:rFonts w:ascii="Arial;sans-serif" w:hAnsi="Arial;sans-serif"/>
          <w:b w:val="false"/>
          <w:color w:val="000000"/>
          <w:sz w:val="20"/>
        </w:rPr>
        <w:t>DEFINITIONS    </w:t>
      </w:r>
      <w:hyperlink w:anchor="ic761b8a3131f4eae8add660a333b625f_7">
        <w:r>
          <w:rPr>
            <w:rStyle w:val="InternetLink"/>
            <w:rFonts w:ascii="Arial;sans-serif" w:hAnsi="Arial;sans-serif"/>
            <w:b w:val="false"/>
            <w:strike w:val="false"/>
            <w:dstrike w:val="false"/>
            <w:color w:val="000000"/>
            <w:sz w:val="20"/>
            <w:u w:val="none"/>
            <w:effect w:val="none"/>
          </w:rPr>
          <w:t>2</w:t>
        </w:r>
      </w:hyperlink>
    </w:p>
    <w:p>
      <w:pPr>
        <w:pStyle w:val="TextBody"/>
        <w:bidi w:val="0"/>
        <w:spacing w:lineRule="atLeast" w:line="240" w:before="240" w:after="283"/>
        <w:ind w:left="0" w:right="0" w:hanging="720"/>
        <w:jc w:val="both"/>
        <w:rPr/>
      </w:pPr>
      <w:r>
        <w:rPr>
          <w:rFonts w:ascii="Arial;sans-serif" w:hAnsi="Arial;sans-serif"/>
          <w:b w:val="false"/>
          <w:color w:val="000000"/>
          <w:sz w:val="20"/>
        </w:rPr>
        <w:t>ARTICLE TWO - PREMISES, TERM, FAILURE TO GIVE POSSESSION, COMMON AREAS AND PARKING    </w:t>
      </w:r>
      <w:hyperlink w:anchor="ic761b8a3131f4eae8add660a333b625f_7">
        <w:r>
          <w:rPr>
            <w:rStyle w:val="InternetLink"/>
            <w:rFonts w:ascii="Arial;sans-serif" w:hAnsi="Arial;sans-serif"/>
            <w:b w:val="false"/>
            <w:strike w:val="false"/>
            <w:dstrike w:val="false"/>
            <w:color w:val="000000"/>
            <w:sz w:val="20"/>
            <w:u w:val="none"/>
            <w:effect w:val="none"/>
          </w:rPr>
          <w:t>6</w:t>
        </w:r>
      </w:hyperlink>
    </w:p>
    <w:p>
      <w:pPr>
        <w:pStyle w:val="TextBody"/>
        <w:bidi w:val="0"/>
        <w:spacing w:lineRule="atLeast" w:line="240" w:before="0" w:after="0"/>
        <w:ind w:left="0" w:right="0" w:hanging="720"/>
        <w:jc w:val="both"/>
        <w:rPr/>
      </w:pPr>
      <w:r>
        <w:rPr>
          <w:rFonts w:ascii="Arial;sans-serif" w:hAnsi="Arial;sans-serif"/>
          <w:b w:val="false"/>
          <w:color w:val="000000"/>
          <w:sz w:val="20"/>
        </w:rPr>
        <w:t>2.01</w:t>
      </w:r>
      <w:r>
        <w:rPr>
          <w:color w:val="000000"/>
        </w:rPr>
        <w:t>    </w:t>
      </w:r>
      <w:r>
        <w:rPr>
          <w:rFonts w:ascii="Arial;sans-serif" w:hAnsi="Arial;sans-serif"/>
          <w:b w:val="false"/>
          <w:color w:val="000000"/>
          <w:sz w:val="20"/>
        </w:rPr>
        <w:t>LEASE OF PREMISES    </w:t>
      </w:r>
      <w:hyperlink w:anchor="ic761b8a3131f4eae8add660a333b625f_7">
        <w:r>
          <w:rPr>
            <w:rStyle w:val="InternetLink"/>
            <w:rFonts w:ascii="Arial;sans-serif" w:hAnsi="Arial;sans-serif"/>
            <w:b w:val="false"/>
            <w:strike w:val="false"/>
            <w:dstrike w:val="false"/>
            <w:color w:val="000000"/>
            <w:sz w:val="20"/>
            <w:u w:val="none"/>
            <w:effect w:val="none"/>
          </w:rPr>
          <w:t>6</w:t>
        </w:r>
      </w:hyperlink>
    </w:p>
    <w:p>
      <w:pPr>
        <w:pStyle w:val="TextBody"/>
        <w:bidi w:val="0"/>
        <w:spacing w:lineRule="atLeast" w:line="240" w:before="0" w:after="0"/>
        <w:ind w:left="0" w:right="0" w:hanging="720"/>
        <w:jc w:val="both"/>
        <w:rPr/>
      </w:pPr>
      <w:r>
        <w:rPr>
          <w:rFonts w:ascii="Arial;sans-serif" w:hAnsi="Arial;sans-serif"/>
          <w:b w:val="false"/>
          <w:color w:val="000000"/>
          <w:sz w:val="20"/>
        </w:rPr>
        <w:t>2.02</w:t>
      </w:r>
      <w:r>
        <w:rPr>
          <w:color w:val="000000"/>
        </w:rPr>
        <w:t>    </w:t>
      </w:r>
      <w:r>
        <w:rPr>
          <w:rFonts w:ascii="Arial;sans-serif" w:hAnsi="Arial;sans-serif"/>
          <w:b w:val="false"/>
          <w:color w:val="000000"/>
          <w:sz w:val="20"/>
        </w:rPr>
        <w:t>TERM    </w:t>
      </w:r>
      <w:hyperlink w:anchor="ic761b8a3131f4eae8add660a333b625f_7">
        <w:r>
          <w:rPr>
            <w:rStyle w:val="InternetLink"/>
            <w:rFonts w:ascii="Arial;sans-serif" w:hAnsi="Arial;sans-serif"/>
            <w:b w:val="false"/>
            <w:strike w:val="false"/>
            <w:dstrike w:val="false"/>
            <w:color w:val="000000"/>
            <w:sz w:val="20"/>
            <w:u w:val="none"/>
            <w:effect w:val="none"/>
          </w:rPr>
          <w:t>6</w:t>
        </w:r>
      </w:hyperlink>
    </w:p>
    <w:p>
      <w:pPr>
        <w:pStyle w:val="TextBody"/>
        <w:bidi w:val="0"/>
        <w:spacing w:lineRule="atLeast" w:line="240" w:before="0" w:after="0"/>
        <w:ind w:left="0" w:right="0" w:hanging="720"/>
        <w:jc w:val="both"/>
        <w:rPr/>
      </w:pPr>
      <w:r>
        <w:rPr>
          <w:rFonts w:ascii="Arial;sans-serif" w:hAnsi="Arial;sans-serif"/>
          <w:b w:val="false"/>
          <w:color w:val="000000"/>
          <w:sz w:val="20"/>
        </w:rPr>
        <w:t>2.03</w:t>
      </w:r>
      <w:r>
        <w:rPr>
          <w:color w:val="000000"/>
        </w:rPr>
        <w:t>    </w:t>
      </w:r>
      <w:r>
        <w:rPr>
          <w:rFonts w:ascii="Arial;sans-serif" w:hAnsi="Arial;sans-serif"/>
          <w:b w:val="false"/>
          <w:color w:val="000000"/>
          <w:sz w:val="20"/>
        </w:rPr>
        <w:t>FAILURE TO GIVE POSSESSION    </w:t>
      </w:r>
      <w:hyperlink w:anchor="ic761b8a3131f4eae8add660a333b625f_7">
        <w:r>
          <w:rPr>
            <w:rStyle w:val="InternetLink"/>
            <w:rFonts w:ascii="Arial;sans-serif" w:hAnsi="Arial;sans-serif"/>
            <w:b w:val="false"/>
            <w:strike w:val="false"/>
            <w:dstrike w:val="false"/>
            <w:color w:val="000000"/>
            <w:sz w:val="20"/>
            <w:u w:val="none"/>
            <w:effect w:val="none"/>
          </w:rPr>
          <w:t>6</w:t>
        </w:r>
      </w:hyperlink>
    </w:p>
    <w:p>
      <w:pPr>
        <w:pStyle w:val="TextBody"/>
        <w:bidi w:val="0"/>
        <w:spacing w:lineRule="atLeast" w:line="240" w:before="0" w:after="0"/>
        <w:ind w:left="0" w:right="0" w:hanging="720"/>
        <w:jc w:val="both"/>
        <w:rPr/>
      </w:pPr>
      <w:r>
        <w:rPr>
          <w:rFonts w:ascii="Arial;sans-serif" w:hAnsi="Arial;sans-serif"/>
          <w:b w:val="false"/>
          <w:color w:val="000000"/>
          <w:sz w:val="20"/>
        </w:rPr>
        <w:t>2.04</w:t>
      </w:r>
      <w:r>
        <w:rPr>
          <w:color w:val="000000"/>
        </w:rPr>
        <w:t>    </w:t>
      </w:r>
      <w:r>
        <w:rPr>
          <w:rFonts w:ascii="Arial;sans-serif" w:hAnsi="Arial;sans-serif"/>
          <w:b w:val="false"/>
          <w:color w:val="000000"/>
          <w:sz w:val="20"/>
        </w:rPr>
        <w:t>AREA OF PREMISES    </w:t>
      </w:r>
      <w:hyperlink w:anchor="ic761b8a3131f4eae8add660a333b625f_7">
        <w:r>
          <w:rPr>
            <w:rStyle w:val="InternetLink"/>
            <w:rFonts w:ascii="Arial;sans-serif" w:hAnsi="Arial;sans-serif"/>
            <w:b w:val="false"/>
            <w:strike w:val="false"/>
            <w:dstrike w:val="false"/>
            <w:color w:val="000000"/>
            <w:sz w:val="20"/>
            <w:u w:val="none"/>
            <w:effect w:val="none"/>
          </w:rPr>
          <w:t>6</w:t>
        </w:r>
      </w:hyperlink>
    </w:p>
    <w:p>
      <w:pPr>
        <w:pStyle w:val="TextBody"/>
        <w:bidi w:val="0"/>
        <w:spacing w:lineRule="atLeast" w:line="240" w:before="0" w:after="0"/>
        <w:ind w:left="0" w:right="0" w:hanging="720"/>
        <w:jc w:val="both"/>
        <w:rPr/>
      </w:pPr>
      <w:r>
        <w:rPr>
          <w:rFonts w:ascii="Arial;sans-serif" w:hAnsi="Arial;sans-serif"/>
          <w:b w:val="false"/>
          <w:color w:val="000000"/>
          <w:sz w:val="20"/>
        </w:rPr>
        <w:t>2.05</w:t>
      </w:r>
      <w:r>
        <w:rPr>
          <w:color w:val="000000"/>
        </w:rPr>
        <w:t>    </w:t>
      </w:r>
      <w:r>
        <w:rPr>
          <w:rFonts w:ascii="Arial;sans-serif" w:hAnsi="Arial;sans-serif"/>
          <w:b w:val="false"/>
          <w:color w:val="000000"/>
          <w:sz w:val="20"/>
        </w:rPr>
        <w:t>CONDITION OF PREMISES    </w:t>
      </w:r>
      <w:hyperlink w:anchor="ic761b8a3131f4eae8add660a333b625f_7">
        <w:r>
          <w:rPr>
            <w:rStyle w:val="InternetLink"/>
            <w:rFonts w:ascii="Arial;sans-serif" w:hAnsi="Arial;sans-serif"/>
            <w:b w:val="false"/>
            <w:strike w:val="false"/>
            <w:dstrike w:val="false"/>
            <w:color w:val="000000"/>
            <w:sz w:val="20"/>
            <w:u w:val="none"/>
            <w:effect w:val="none"/>
          </w:rPr>
          <w:t>6</w:t>
        </w:r>
      </w:hyperlink>
    </w:p>
    <w:p>
      <w:pPr>
        <w:pStyle w:val="TextBody"/>
        <w:bidi w:val="0"/>
        <w:spacing w:lineRule="atLeast" w:line="240" w:before="0" w:after="0"/>
        <w:ind w:left="0" w:right="0" w:hanging="720"/>
        <w:jc w:val="both"/>
        <w:rPr/>
      </w:pPr>
      <w:r>
        <w:rPr>
          <w:rFonts w:ascii="Arial;sans-serif" w:hAnsi="Arial;sans-serif"/>
          <w:b w:val="false"/>
          <w:color w:val="000000"/>
          <w:sz w:val="20"/>
        </w:rPr>
        <w:t>2.06</w:t>
      </w:r>
      <w:r>
        <w:rPr>
          <w:color w:val="000000"/>
        </w:rPr>
        <w:t>    </w:t>
      </w:r>
      <w:r>
        <w:rPr>
          <w:rFonts w:ascii="Arial;sans-serif" w:hAnsi="Arial;sans-serif"/>
          <w:b w:val="false"/>
          <w:color w:val="000000"/>
          <w:sz w:val="20"/>
        </w:rPr>
        <w:t>COMMON AREAS &amp; PARKING    </w:t>
      </w:r>
      <w:hyperlink w:anchor="ic761b8a3131f4eae8add660a333b625f_7">
        <w:r>
          <w:rPr>
            <w:rStyle w:val="InternetLink"/>
            <w:rFonts w:ascii="Arial;sans-serif" w:hAnsi="Arial;sans-serif"/>
            <w:b w:val="false"/>
            <w:strike w:val="false"/>
            <w:dstrike w:val="false"/>
            <w:color w:val="000000"/>
            <w:sz w:val="20"/>
            <w:u w:val="none"/>
            <w:effect w:val="none"/>
          </w:rPr>
          <w:t>6</w:t>
        </w:r>
      </w:hyperlink>
    </w:p>
    <w:p>
      <w:pPr>
        <w:pStyle w:val="TextBody"/>
        <w:bidi w:val="0"/>
        <w:spacing w:lineRule="atLeast" w:line="240" w:before="240" w:after="283"/>
        <w:ind w:left="0" w:right="0" w:hanging="720"/>
        <w:jc w:val="both"/>
        <w:rPr/>
      </w:pPr>
      <w:r>
        <w:rPr>
          <w:rFonts w:ascii="Arial;sans-serif" w:hAnsi="Arial;sans-serif"/>
          <w:b w:val="false"/>
          <w:color w:val="000000"/>
          <w:sz w:val="20"/>
        </w:rPr>
        <w:t>ARTICLE THREE - RENT    </w:t>
      </w:r>
      <w:hyperlink w:anchor="ic761b8a3131f4eae8add660a333b625f_7">
        <w:r>
          <w:rPr>
            <w:rStyle w:val="InternetLink"/>
            <w:rFonts w:ascii="Arial;sans-serif" w:hAnsi="Arial;sans-serif"/>
            <w:b w:val="false"/>
            <w:strike w:val="false"/>
            <w:dstrike w:val="false"/>
            <w:color w:val="000000"/>
            <w:sz w:val="20"/>
            <w:u w:val="none"/>
            <w:effect w:val="none"/>
          </w:rPr>
          <w:t>7</w:t>
        </w:r>
      </w:hyperlink>
    </w:p>
    <w:p>
      <w:pPr>
        <w:pStyle w:val="TextBody"/>
        <w:bidi w:val="0"/>
        <w:spacing w:lineRule="atLeast" w:line="240" w:before="240" w:after="283"/>
        <w:ind w:left="0" w:right="0" w:hanging="720"/>
        <w:jc w:val="both"/>
        <w:rPr/>
      </w:pPr>
      <w:r>
        <w:rPr>
          <w:rFonts w:ascii="Arial;sans-serif" w:hAnsi="Arial;sans-serif"/>
          <w:b w:val="false"/>
          <w:color w:val="000000"/>
          <w:sz w:val="20"/>
        </w:rPr>
        <w:t>ARTICLE FOUR - OPERATING EXPENSES RENT ADJUSTMENTS AND PAYMENTS    </w:t>
      </w:r>
      <w:hyperlink w:anchor="ic761b8a3131f4eae8add660a333b625f_7">
        <w:r>
          <w:rPr>
            <w:rStyle w:val="InternetLink"/>
            <w:rFonts w:ascii="Arial;sans-serif" w:hAnsi="Arial;sans-serif"/>
            <w:b w:val="false"/>
            <w:strike w:val="false"/>
            <w:dstrike w:val="false"/>
            <w:color w:val="000000"/>
            <w:sz w:val="20"/>
            <w:u w:val="none"/>
            <w:effect w:val="none"/>
          </w:rPr>
          <w:t>7</w:t>
        </w:r>
      </w:hyperlink>
    </w:p>
    <w:p>
      <w:pPr>
        <w:pStyle w:val="TextBody"/>
        <w:bidi w:val="0"/>
        <w:spacing w:lineRule="atLeast" w:line="240" w:before="0" w:after="0"/>
        <w:ind w:left="0" w:right="0" w:hanging="720"/>
        <w:jc w:val="both"/>
        <w:rPr/>
      </w:pPr>
      <w:r>
        <w:rPr>
          <w:rFonts w:ascii="Arial;sans-serif" w:hAnsi="Arial;sans-serif"/>
          <w:b w:val="false"/>
          <w:color w:val="000000"/>
          <w:sz w:val="20"/>
        </w:rPr>
        <w:t>4.01</w:t>
      </w:r>
      <w:r>
        <w:rPr>
          <w:color w:val="000000"/>
        </w:rPr>
        <w:t>    </w:t>
      </w:r>
      <w:r>
        <w:rPr>
          <w:rFonts w:ascii="Arial;sans-serif" w:hAnsi="Arial;sans-serif"/>
          <w:b w:val="false"/>
          <w:color w:val="000000"/>
          <w:sz w:val="20"/>
        </w:rPr>
        <w:t>RENT ADJUSTMENTS    </w:t>
      </w:r>
      <w:hyperlink w:anchor="ic761b8a3131f4eae8add660a333b625f_7">
        <w:r>
          <w:rPr>
            <w:rStyle w:val="InternetLink"/>
            <w:rFonts w:ascii="Arial;sans-serif" w:hAnsi="Arial;sans-serif"/>
            <w:b w:val="false"/>
            <w:strike w:val="false"/>
            <w:dstrike w:val="false"/>
            <w:color w:val="000000"/>
            <w:sz w:val="20"/>
            <w:u w:val="none"/>
            <w:effect w:val="none"/>
          </w:rPr>
          <w:t>7</w:t>
        </w:r>
      </w:hyperlink>
    </w:p>
    <w:p>
      <w:pPr>
        <w:pStyle w:val="TextBody"/>
        <w:bidi w:val="0"/>
        <w:spacing w:lineRule="atLeast" w:line="240" w:before="0" w:after="0"/>
        <w:ind w:left="0" w:right="0" w:hanging="720"/>
        <w:jc w:val="both"/>
        <w:rPr/>
      </w:pPr>
      <w:r>
        <w:rPr>
          <w:rFonts w:ascii="Arial;sans-serif" w:hAnsi="Arial;sans-serif"/>
          <w:b w:val="false"/>
          <w:color w:val="000000"/>
          <w:sz w:val="20"/>
        </w:rPr>
        <w:t>4.02</w:t>
      </w:r>
      <w:r>
        <w:rPr>
          <w:color w:val="000000"/>
        </w:rPr>
        <w:t>    </w:t>
      </w:r>
      <w:r>
        <w:rPr>
          <w:rFonts w:ascii="Arial;sans-serif" w:hAnsi="Arial;sans-serif"/>
          <w:b w:val="false"/>
          <w:color w:val="000000"/>
          <w:sz w:val="20"/>
        </w:rPr>
        <w:t>STATEMENT OF LANDLORD    </w:t>
      </w:r>
      <w:hyperlink w:anchor="ic761b8a3131f4eae8add660a333b625f_7">
        <w:r>
          <w:rPr>
            <w:rStyle w:val="InternetLink"/>
            <w:rFonts w:ascii="Arial;sans-serif" w:hAnsi="Arial;sans-serif"/>
            <w:b w:val="false"/>
            <w:strike w:val="false"/>
            <w:dstrike w:val="false"/>
            <w:color w:val="000000"/>
            <w:sz w:val="20"/>
            <w:u w:val="none"/>
            <w:effect w:val="none"/>
          </w:rPr>
          <w:t>7</w:t>
        </w:r>
      </w:hyperlink>
    </w:p>
    <w:p>
      <w:pPr>
        <w:pStyle w:val="TextBody"/>
        <w:bidi w:val="0"/>
        <w:spacing w:lineRule="atLeast" w:line="240" w:before="0" w:after="0"/>
        <w:ind w:left="0" w:right="0" w:hanging="720"/>
        <w:jc w:val="both"/>
        <w:rPr/>
      </w:pPr>
      <w:r>
        <w:rPr>
          <w:rFonts w:ascii="Arial;sans-serif" w:hAnsi="Arial;sans-serif"/>
          <w:b w:val="false"/>
          <w:color w:val="000000"/>
          <w:sz w:val="20"/>
        </w:rPr>
        <w:t>4.03</w:t>
      </w:r>
      <w:r>
        <w:rPr>
          <w:color w:val="000000"/>
        </w:rPr>
        <w:t>    </w:t>
      </w:r>
      <w:r>
        <w:rPr>
          <w:rFonts w:ascii="Arial;sans-serif" w:hAnsi="Arial;sans-serif"/>
          <w:b w:val="false"/>
          <w:color w:val="000000"/>
          <w:sz w:val="20"/>
        </w:rPr>
        <w:t>BOOKS AND RECORDS    </w:t>
      </w:r>
      <w:hyperlink w:anchor="ic761b8a3131f4eae8add660a333b625f_7">
        <w:r>
          <w:rPr>
            <w:rStyle w:val="InternetLink"/>
            <w:rFonts w:ascii="Arial;sans-serif" w:hAnsi="Arial;sans-serif"/>
            <w:b w:val="false"/>
            <w:strike w:val="false"/>
            <w:dstrike w:val="false"/>
            <w:color w:val="000000"/>
            <w:sz w:val="20"/>
            <w:u w:val="none"/>
            <w:effect w:val="none"/>
          </w:rPr>
          <w:t>8</w:t>
        </w:r>
      </w:hyperlink>
    </w:p>
    <w:p>
      <w:pPr>
        <w:pStyle w:val="TextBody"/>
        <w:bidi w:val="0"/>
        <w:spacing w:lineRule="atLeast" w:line="240" w:before="0" w:after="0"/>
        <w:ind w:left="0" w:right="0" w:hanging="720"/>
        <w:jc w:val="both"/>
        <w:rPr/>
      </w:pPr>
      <w:r>
        <w:rPr>
          <w:rFonts w:ascii="Arial;sans-serif" w:hAnsi="Arial;sans-serif"/>
          <w:b w:val="false"/>
          <w:color w:val="000000"/>
          <w:sz w:val="20"/>
        </w:rPr>
        <w:t>4.04</w:t>
      </w:r>
      <w:r>
        <w:rPr>
          <w:color w:val="000000"/>
        </w:rPr>
        <w:t>    </w:t>
      </w:r>
      <w:r>
        <w:rPr>
          <w:rFonts w:ascii="Arial;sans-serif" w:hAnsi="Arial;sans-serif"/>
          <w:b w:val="false"/>
          <w:color w:val="000000"/>
          <w:sz w:val="20"/>
        </w:rPr>
        <w:t>TENANT OR LEASE SPECIFIC TAXES    </w:t>
      </w:r>
      <w:hyperlink w:anchor="ic761b8a3131f4eae8add660a333b625f_7">
        <w:r>
          <w:rPr>
            <w:rStyle w:val="InternetLink"/>
            <w:rFonts w:ascii="Arial;sans-serif" w:hAnsi="Arial;sans-serif"/>
            <w:b w:val="false"/>
            <w:strike w:val="false"/>
            <w:dstrike w:val="false"/>
            <w:color w:val="000000"/>
            <w:sz w:val="20"/>
            <w:u w:val="none"/>
            <w:effect w:val="none"/>
          </w:rPr>
          <w:t>8</w:t>
        </w:r>
      </w:hyperlink>
    </w:p>
    <w:p>
      <w:pPr>
        <w:pStyle w:val="TextBody"/>
        <w:bidi w:val="0"/>
        <w:spacing w:lineRule="atLeast" w:line="240" w:before="240" w:after="283"/>
        <w:ind w:left="0" w:right="0" w:hanging="720"/>
        <w:jc w:val="both"/>
        <w:rPr/>
      </w:pPr>
      <w:r>
        <w:rPr>
          <w:rFonts w:ascii="Arial;sans-serif" w:hAnsi="Arial;sans-serif"/>
          <w:b w:val="false"/>
          <w:color w:val="000000"/>
          <w:sz w:val="20"/>
        </w:rPr>
        <w:t>ARTICLE FIVE - SECURITY DEPOSIT    </w:t>
      </w:r>
      <w:hyperlink w:anchor="ic761b8a3131f4eae8add660a333b625f_7">
        <w:r>
          <w:rPr>
            <w:rStyle w:val="InternetLink"/>
            <w:rFonts w:ascii="Arial;sans-serif" w:hAnsi="Arial;sans-serif"/>
            <w:b w:val="false"/>
            <w:strike w:val="false"/>
            <w:dstrike w:val="false"/>
            <w:color w:val="000000"/>
            <w:sz w:val="20"/>
            <w:u w:val="none"/>
            <w:effect w:val="none"/>
          </w:rPr>
          <w:t>8</w:t>
        </w:r>
      </w:hyperlink>
    </w:p>
    <w:p>
      <w:pPr>
        <w:pStyle w:val="TextBody"/>
        <w:bidi w:val="0"/>
        <w:spacing w:lineRule="atLeast" w:line="240" w:before="240" w:after="283"/>
        <w:ind w:left="0" w:right="0" w:hanging="720"/>
        <w:jc w:val="both"/>
        <w:rPr/>
      </w:pPr>
      <w:r>
        <w:rPr>
          <w:rFonts w:ascii="Arial;sans-serif" w:hAnsi="Arial;sans-serif"/>
          <w:b w:val="false"/>
          <w:color w:val="000000"/>
          <w:sz w:val="20"/>
        </w:rPr>
        <w:t>ARTICLE SIX -UTILITIES &amp; SERVICES    </w:t>
      </w:r>
      <w:hyperlink w:anchor="ic761b8a3131f4eae8add660a333b625f_7">
        <w:r>
          <w:rPr>
            <w:rStyle w:val="InternetLink"/>
            <w:rFonts w:ascii="Arial;sans-serif" w:hAnsi="Arial;sans-serif"/>
            <w:b w:val="false"/>
            <w:strike w:val="false"/>
            <w:dstrike w:val="false"/>
            <w:color w:val="000000"/>
            <w:sz w:val="20"/>
            <w:u w:val="none"/>
            <w:effect w:val="none"/>
          </w:rPr>
          <w:t>9</w:t>
        </w:r>
      </w:hyperlink>
    </w:p>
    <w:p>
      <w:pPr>
        <w:pStyle w:val="TextBody"/>
        <w:bidi w:val="0"/>
        <w:spacing w:lineRule="atLeast" w:line="240" w:before="0" w:after="0"/>
        <w:ind w:left="0" w:right="0" w:hanging="720"/>
        <w:jc w:val="both"/>
        <w:rPr/>
      </w:pPr>
      <w:r>
        <w:rPr>
          <w:rFonts w:ascii="Arial;sans-serif" w:hAnsi="Arial;sans-serif"/>
          <w:b w:val="false"/>
          <w:color w:val="000000"/>
          <w:sz w:val="20"/>
        </w:rPr>
        <w:t>6.01</w:t>
      </w:r>
      <w:r>
        <w:rPr>
          <w:color w:val="000000"/>
        </w:rPr>
        <w:t>    </w:t>
      </w:r>
      <w:r>
        <w:rPr>
          <w:rFonts w:ascii="Arial;sans-serif" w:hAnsi="Arial;sans-serif"/>
          <w:b w:val="false"/>
          <w:color w:val="000000"/>
          <w:sz w:val="20"/>
        </w:rPr>
        <w:t>LANDLORD'S GENERAL SERVICES    </w:t>
      </w:r>
      <w:hyperlink w:anchor="ic761b8a3131f4eae8add660a333b625f_7">
        <w:r>
          <w:rPr>
            <w:rStyle w:val="InternetLink"/>
            <w:rFonts w:ascii="Arial;sans-serif" w:hAnsi="Arial;sans-serif"/>
            <w:b w:val="false"/>
            <w:strike w:val="false"/>
            <w:dstrike w:val="false"/>
            <w:color w:val="000000"/>
            <w:sz w:val="20"/>
            <w:u w:val="none"/>
            <w:effect w:val="none"/>
          </w:rPr>
          <w:t>9</w:t>
        </w:r>
      </w:hyperlink>
    </w:p>
    <w:p>
      <w:pPr>
        <w:pStyle w:val="TextBody"/>
        <w:bidi w:val="0"/>
        <w:spacing w:lineRule="atLeast" w:line="240" w:before="0" w:after="0"/>
        <w:ind w:left="0" w:right="0" w:hanging="720"/>
        <w:jc w:val="both"/>
        <w:rPr/>
      </w:pPr>
      <w:r>
        <w:rPr>
          <w:rFonts w:ascii="Arial;sans-serif" w:hAnsi="Arial;sans-serif"/>
          <w:b w:val="false"/>
          <w:color w:val="000000"/>
          <w:sz w:val="20"/>
        </w:rPr>
        <w:t>6.02</w:t>
      </w:r>
      <w:r>
        <w:rPr>
          <w:color w:val="000000"/>
        </w:rPr>
        <w:t>    </w:t>
      </w:r>
      <w:r>
        <w:rPr>
          <w:rFonts w:ascii="Arial;sans-serif" w:hAnsi="Arial;sans-serif"/>
          <w:b w:val="false"/>
          <w:color w:val="000000"/>
          <w:sz w:val="20"/>
        </w:rPr>
        <w:t>TENANT TO OBTAIN &amp; PAY DIRECTLY    </w:t>
      </w:r>
      <w:hyperlink w:anchor="ic761b8a3131f4eae8add660a333b625f_7">
        <w:r>
          <w:rPr>
            <w:rStyle w:val="InternetLink"/>
            <w:rFonts w:ascii="Arial;sans-serif" w:hAnsi="Arial;sans-serif"/>
            <w:b w:val="false"/>
            <w:strike w:val="false"/>
            <w:dstrike w:val="false"/>
            <w:color w:val="000000"/>
            <w:sz w:val="20"/>
            <w:u w:val="none"/>
            <w:effect w:val="none"/>
          </w:rPr>
          <w:t>9</w:t>
        </w:r>
      </w:hyperlink>
    </w:p>
    <w:p>
      <w:pPr>
        <w:pStyle w:val="TextBody"/>
        <w:bidi w:val="0"/>
        <w:spacing w:lineRule="atLeast" w:line="240" w:before="0" w:after="0"/>
        <w:ind w:left="0" w:right="0" w:hanging="720"/>
        <w:jc w:val="both"/>
        <w:rPr/>
      </w:pPr>
      <w:r>
        <w:rPr>
          <w:rFonts w:ascii="Arial;sans-serif" w:hAnsi="Arial;sans-serif"/>
          <w:b w:val="false"/>
          <w:color w:val="000000"/>
          <w:sz w:val="20"/>
        </w:rPr>
        <w:t>6.03</w:t>
      </w:r>
      <w:r>
        <w:rPr>
          <w:color w:val="000000"/>
        </w:rPr>
        <w:t>    </w:t>
      </w:r>
      <w:r>
        <w:rPr>
          <w:rFonts w:ascii="Arial;sans-serif" w:hAnsi="Arial;sans-serif"/>
          <w:b w:val="false"/>
          <w:color w:val="000000"/>
          <w:sz w:val="20"/>
        </w:rPr>
        <w:t>TELEPHONE SERVICES    </w:t>
      </w:r>
      <w:hyperlink w:anchor="ic761b8a3131f4eae8add660a333b625f_7">
        <w:r>
          <w:rPr>
            <w:rStyle w:val="InternetLink"/>
            <w:rFonts w:ascii="Arial;sans-serif" w:hAnsi="Arial;sans-serif"/>
            <w:b w:val="false"/>
            <w:strike w:val="false"/>
            <w:dstrike w:val="false"/>
            <w:color w:val="000000"/>
            <w:sz w:val="20"/>
            <w:u w:val="none"/>
            <w:effect w:val="none"/>
          </w:rPr>
          <w:t>9</w:t>
        </w:r>
      </w:hyperlink>
    </w:p>
    <w:p>
      <w:pPr>
        <w:pStyle w:val="TextBody"/>
        <w:bidi w:val="0"/>
        <w:spacing w:lineRule="atLeast" w:line="240" w:before="0" w:after="0"/>
        <w:ind w:left="0" w:right="0" w:hanging="720"/>
        <w:jc w:val="both"/>
        <w:rPr/>
      </w:pPr>
      <w:r>
        <w:rPr>
          <w:rFonts w:ascii="Arial;sans-serif" w:hAnsi="Arial;sans-serif"/>
          <w:b w:val="false"/>
          <w:color w:val="000000"/>
          <w:sz w:val="20"/>
        </w:rPr>
        <w:t>6.04</w:t>
      </w:r>
      <w:r>
        <w:rPr>
          <w:color w:val="000000"/>
        </w:rPr>
        <w:t>    </w:t>
      </w:r>
      <w:r>
        <w:rPr>
          <w:rFonts w:ascii="Arial;sans-serif" w:hAnsi="Arial;sans-serif"/>
          <w:b w:val="false"/>
          <w:color w:val="000000"/>
          <w:sz w:val="20"/>
        </w:rPr>
        <w:t>FAILURE OR INTERRUPTION OF UTILITY OR SERVICE    </w:t>
      </w:r>
      <w:hyperlink w:anchor="ic761b8a3131f4eae8add660a333b625f_7">
        <w:r>
          <w:rPr>
            <w:rStyle w:val="InternetLink"/>
            <w:rFonts w:ascii="Arial;sans-serif" w:hAnsi="Arial;sans-serif"/>
            <w:b w:val="false"/>
            <w:strike w:val="false"/>
            <w:dstrike w:val="false"/>
            <w:color w:val="000000"/>
            <w:sz w:val="20"/>
            <w:u w:val="none"/>
            <w:effect w:val="none"/>
          </w:rPr>
          <w:t>10</w:t>
        </w:r>
      </w:hyperlink>
    </w:p>
    <w:p>
      <w:pPr>
        <w:pStyle w:val="TextBody"/>
        <w:bidi w:val="0"/>
        <w:spacing w:lineRule="atLeast" w:line="240" w:before="0" w:after="0"/>
        <w:ind w:left="0" w:right="0" w:hanging="720"/>
        <w:jc w:val="both"/>
        <w:rPr/>
      </w:pPr>
      <w:r>
        <w:rPr>
          <w:rFonts w:ascii="Arial;sans-serif" w:hAnsi="Arial;sans-serif"/>
          <w:b w:val="false"/>
          <w:color w:val="000000"/>
          <w:sz w:val="20"/>
        </w:rPr>
        <w:t>6.05</w:t>
      </w:r>
      <w:r>
        <w:rPr>
          <w:color w:val="000000"/>
        </w:rPr>
        <w:t>    </w:t>
      </w:r>
      <w:r>
        <w:rPr>
          <w:rFonts w:ascii="Arial;sans-serif" w:hAnsi="Arial;sans-serif"/>
          <w:b w:val="false"/>
          <w:color w:val="000000"/>
          <w:sz w:val="20"/>
        </w:rPr>
        <w:t>SIGNAGE    </w:t>
      </w:r>
      <w:hyperlink w:anchor="ic761b8a3131f4eae8add660a333b625f_7">
        <w:r>
          <w:rPr>
            <w:rStyle w:val="InternetLink"/>
            <w:rFonts w:ascii="Arial;sans-serif" w:hAnsi="Arial;sans-serif"/>
            <w:b w:val="false"/>
            <w:strike w:val="false"/>
            <w:dstrike w:val="false"/>
            <w:color w:val="000000"/>
            <w:sz w:val="20"/>
            <w:u w:val="none"/>
            <w:effect w:val="none"/>
          </w:rPr>
          <w:t>10</w:t>
        </w:r>
      </w:hyperlink>
    </w:p>
    <w:p>
      <w:pPr>
        <w:pStyle w:val="TextBody"/>
        <w:bidi w:val="0"/>
        <w:spacing w:lineRule="atLeast" w:line="240" w:before="240" w:after="283"/>
        <w:ind w:left="0" w:right="0" w:hanging="720"/>
        <w:jc w:val="both"/>
        <w:rPr/>
      </w:pPr>
      <w:r>
        <w:rPr>
          <w:rFonts w:ascii="Arial;sans-serif" w:hAnsi="Arial;sans-serif"/>
          <w:b w:val="false"/>
          <w:color w:val="000000"/>
          <w:sz w:val="20"/>
        </w:rPr>
        <w:t>ARTICLE SEVEN - POSSESSION, USE AND CONDITION OF PREMISES    </w:t>
      </w:r>
      <w:hyperlink w:anchor="ic761b8a3131f4eae8add660a333b625f_7">
        <w:r>
          <w:rPr>
            <w:rStyle w:val="InternetLink"/>
            <w:rFonts w:ascii="Arial;sans-serif" w:hAnsi="Arial;sans-serif"/>
            <w:b w:val="false"/>
            <w:strike w:val="false"/>
            <w:dstrike w:val="false"/>
            <w:color w:val="000000"/>
            <w:sz w:val="20"/>
            <w:u w:val="none"/>
            <w:effect w:val="none"/>
          </w:rPr>
          <w:t>10</w:t>
        </w:r>
      </w:hyperlink>
    </w:p>
    <w:p>
      <w:pPr>
        <w:pStyle w:val="TextBody"/>
        <w:bidi w:val="0"/>
        <w:spacing w:lineRule="atLeast" w:line="240" w:before="0" w:after="0"/>
        <w:ind w:left="0" w:right="0" w:hanging="720"/>
        <w:jc w:val="both"/>
        <w:rPr/>
      </w:pPr>
      <w:r>
        <w:rPr>
          <w:rFonts w:ascii="Arial;sans-serif" w:hAnsi="Arial;sans-serif"/>
          <w:b w:val="false"/>
          <w:color w:val="000000"/>
          <w:sz w:val="20"/>
        </w:rPr>
        <w:t>7.01</w:t>
      </w:r>
      <w:r>
        <w:rPr>
          <w:color w:val="000000"/>
        </w:rPr>
        <w:t>    </w:t>
      </w:r>
      <w:r>
        <w:rPr>
          <w:rFonts w:ascii="Arial;sans-serif" w:hAnsi="Arial;sans-serif"/>
          <w:b w:val="false"/>
          <w:color w:val="000000"/>
          <w:sz w:val="20"/>
        </w:rPr>
        <w:t>POSSESSION AND USE OF PREMISES    </w:t>
      </w:r>
      <w:hyperlink w:anchor="ic761b8a3131f4eae8add660a333b625f_7">
        <w:r>
          <w:rPr>
            <w:rStyle w:val="InternetLink"/>
            <w:rFonts w:ascii="Arial;sans-serif" w:hAnsi="Arial;sans-serif"/>
            <w:b w:val="false"/>
            <w:strike w:val="false"/>
            <w:dstrike w:val="false"/>
            <w:color w:val="000000"/>
            <w:sz w:val="20"/>
            <w:u w:val="none"/>
            <w:effect w:val="none"/>
          </w:rPr>
          <w:t>10</w:t>
        </w:r>
      </w:hyperlink>
    </w:p>
    <w:p>
      <w:pPr>
        <w:pStyle w:val="TextBody"/>
        <w:bidi w:val="0"/>
        <w:spacing w:lineRule="atLeast" w:line="240" w:before="0" w:after="0"/>
        <w:ind w:left="0" w:right="0" w:hanging="720"/>
        <w:jc w:val="both"/>
        <w:rPr/>
      </w:pPr>
      <w:r>
        <w:rPr>
          <w:rFonts w:ascii="Arial;sans-serif" w:hAnsi="Arial;sans-serif"/>
          <w:b w:val="false"/>
          <w:color w:val="000000"/>
          <w:sz w:val="20"/>
        </w:rPr>
        <w:t>7.02</w:t>
      </w:r>
      <w:r>
        <w:rPr>
          <w:color w:val="000000"/>
        </w:rPr>
        <w:t>    </w:t>
      </w:r>
      <w:r>
        <w:rPr>
          <w:rFonts w:ascii="Arial;sans-serif" w:hAnsi="Arial;sans-serif"/>
          <w:b w:val="false"/>
          <w:color w:val="000000"/>
          <w:sz w:val="20"/>
        </w:rPr>
        <w:t>HAZARDOUS MATERIAL    </w:t>
      </w:r>
      <w:hyperlink w:anchor="ic761b8a3131f4eae8add660a333b625f_7">
        <w:r>
          <w:rPr>
            <w:rStyle w:val="InternetLink"/>
            <w:rFonts w:ascii="Arial;sans-serif" w:hAnsi="Arial;sans-serif"/>
            <w:b w:val="false"/>
            <w:strike w:val="false"/>
            <w:dstrike w:val="false"/>
            <w:color w:val="000000"/>
            <w:sz w:val="20"/>
            <w:u w:val="none"/>
            <w:effect w:val="none"/>
          </w:rPr>
          <w:t>11</w:t>
        </w:r>
      </w:hyperlink>
    </w:p>
    <w:p>
      <w:pPr>
        <w:pStyle w:val="TextBody"/>
        <w:bidi w:val="0"/>
        <w:spacing w:lineRule="atLeast" w:line="240" w:before="0" w:after="0"/>
        <w:ind w:left="0" w:right="0" w:hanging="720"/>
        <w:jc w:val="both"/>
        <w:rPr/>
      </w:pPr>
      <w:r>
        <w:rPr>
          <w:rFonts w:ascii="Arial;sans-serif" w:hAnsi="Arial;sans-serif"/>
          <w:b w:val="false"/>
          <w:color w:val="000000"/>
          <w:sz w:val="20"/>
        </w:rPr>
        <w:t>7.03</w:t>
      </w:r>
      <w:r>
        <w:rPr>
          <w:color w:val="000000"/>
        </w:rPr>
        <w:t>    </w:t>
      </w:r>
      <w:r>
        <w:rPr>
          <w:rFonts w:ascii="Arial;sans-serif" w:hAnsi="Arial;sans-serif"/>
          <w:b w:val="false"/>
          <w:color w:val="000000"/>
          <w:sz w:val="20"/>
        </w:rPr>
        <w:t>LANDLORD ACCESS TO PREMISES; APPROVALS    </w:t>
      </w:r>
      <w:hyperlink w:anchor="ic761b8a3131f4eae8add660a333b625f_7">
        <w:r>
          <w:rPr>
            <w:rStyle w:val="InternetLink"/>
            <w:rFonts w:ascii="Arial;sans-serif" w:hAnsi="Arial;sans-serif"/>
            <w:b w:val="false"/>
            <w:strike w:val="false"/>
            <w:dstrike w:val="false"/>
            <w:color w:val="000000"/>
            <w:sz w:val="20"/>
            <w:u w:val="none"/>
            <w:effect w:val="none"/>
          </w:rPr>
          <w:t>12</w:t>
        </w:r>
      </w:hyperlink>
    </w:p>
    <w:p>
      <w:pPr>
        <w:pStyle w:val="TextBody"/>
        <w:bidi w:val="0"/>
        <w:spacing w:lineRule="atLeast" w:line="240" w:before="0" w:after="0"/>
        <w:ind w:left="0" w:right="0" w:hanging="720"/>
        <w:jc w:val="both"/>
        <w:rPr/>
      </w:pPr>
      <w:r>
        <w:rPr>
          <w:rFonts w:ascii="Arial;sans-serif" w:hAnsi="Arial;sans-serif"/>
          <w:b w:val="false"/>
          <w:color w:val="000000"/>
          <w:sz w:val="20"/>
        </w:rPr>
        <w:t>7.04</w:t>
      </w:r>
      <w:r>
        <w:rPr>
          <w:color w:val="000000"/>
        </w:rPr>
        <w:t>    </w:t>
      </w:r>
      <w:r>
        <w:rPr>
          <w:rFonts w:ascii="Arial;sans-serif" w:hAnsi="Arial;sans-serif"/>
          <w:b w:val="false"/>
          <w:color w:val="000000"/>
          <w:sz w:val="20"/>
        </w:rPr>
        <w:t>QUIET ENJOYMENT    </w:t>
      </w:r>
      <w:hyperlink w:anchor="ic761b8a3131f4eae8add660a333b625f_7">
        <w:r>
          <w:rPr>
            <w:rStyle w:val="InternetLink"/>
            <w:rFonts w:ascii="Arial;sans-serif" w:hAnsi="Arial;sans-serif"/>
            <w:b w:val="false"/>
            <w:strike w:val="false"/>
            <w:dstrike w:val="false"/>
            <w:color w:val="000000"/>
            <w:sz w:val="20"/>
            <w:u w:val="none"/>
            <w:effect w:val="none"/>
          </w:rPr>
          <w:t>12</w:t>
        </w:r>
      </w:hyperlink>
    </w:p>
    <w:p>
      <w:pPr>
        <w:pStyle w:val="TextBody"/>
        <w:bidi w:val="0"/>
        <w:spacing w:lineRule="atLeast" w:line="240" w:before="240" w:after="283"/>
        <w:ind w:left="0" w:right="0" w:hanging="720"/>
        <w:jc w:val="both"/>
        <w:rPr/>
      </w:pPr>
      <w:r>
        <w:rPr>
          <w:rFonts w:ascii="Arial;sans-serif" w:hAnsi="Arial;sans-serif"/>
          <w:b w:val="false"/>
          <w:color w:val="000000"/>
          <w:sz w:val="20"/>
        </w:rPr>
        <w:t>ARTICLE EIGHT - MAINTENANCE    </w:t>
      </w:r>
      <w:hyperlink w:anchor="ic761b8a3131f4eae8add660a333b625f_7">
        <w:r>
          <w:rPr>
            <w:rStyle w:val="InternetLink"/>
            <w:rFonts w:ascii="Arial;sans-serif" w:hAnsi="Arial;sans-serif"/>
            <w:b w:val="false"/>
            <w:strike w:val="false"/>
            <w:dstrike w:val="false"/>
            <w:color w:val="000000"/>
            <w:sz w:val="20"/>
            <w:u w:val="none"/>
            <w:effect w:val="none"/>
          </w:rPr>
          <w:t>13</w:t>
        </w:r>
      </w:hyperlink>
    </w:p>
    <w:p>
      <w:pPr>
        <w:pStyle w:val="TextBody"/>
        <w:bidi w:val="0"/>
        <w:spacing w:lineRule="atLeast" w:line="240" w:before="0" w:after="0"/>
        <w:ind w:left="0" w:right="0" w:hanging="720"/>
        <w:jc w:val="both"/>
        <w:rPr/>
      </w:pPr>
      <w:r>
        <w:rPr>
          <w:rFonts w:ascii="Arial;sans-serif" w:hAnsi="Arial;sans-serif"/>
          <w:b w:val="false"/>
          <w:color w:val="000000"/>
          <w:sz w:val="20"/>
        </w:rPr>
        <w:t>8.01</w:t>
      </w:r>
      <w:r>
        <w:rPr>
          <w:color w:val="000000"/>
        </w:rPr>
        <w:t>    </w:t>
      </w:r>
      <w:r>
        <w:rPr>
          <w:rFonts w:ascii="Arial;sans-serif" w:hAnsi="Arial;sans-serif"/>
          <w:b w:val="false"/>
          <w:color w:val="000000"/>
          <w:sz w:val="20"/>
        </w:rPr>
        <w:t>LANDLORD'S MAINTENANCE    </w:t>
      </w:r>
      <w:hyperlink w:anchor="ic761b8a3131f4eae8add660a333b625f_7">
        <w:r>
          <w:rPr>
            <w:rStyle w:val="InternetLink"/>
            <w:rFonts w:ascii="Arial;sans-serif" w:hAnsi="Arial;sans-serif"/>
            <w:b w:val="false"/>
            <w:strike w:val="false"/>
            <w:dstrike w:val="false"/>
            <w:color w:val="000000"/>
            <w:sz w:val="20"/>
            <w:u w:val="none"/>
            <w:effect w:val="none"/>
          </w:rPr>
          <w:t>13</w:t>
        </w:r>
      </w:hyperlink>
    </w:p>
    <w:p>
      <w:pPr>
        <w:pStyle w:val="TextBody"/>
        <w:bidi w:val="0"/>
        <w:spacing w:lineRule="atLeast" w:line="240" w:before="0" w:after="0"/>
        <w:ind w:left="0" w:right="0" w:hanging="720"/>
        <w:jc w:val="both"/>
        <w:rPr/>
      </w:pPr>
      <w:r>
        <w:rPr>
          <w:rFonts w:ascii="Arial;sans-serif" w:hAnsi="Arial;sans-serif"/>
          <w:b w:val="false"/>
          <w:color w:val="000000"/>
          <w:sz w:val="20"/>
        </w:rPr>
        <w:t>8.02</w:t>
      </w:r>
      <w:r>
        <w:rPr>
          <w:color w:val="000000"/>
        </w:rPr>
        <w:t>    </w:t>
      </w:r>
      <w:r>
        <w:rPr>
          <w:rFonts w:ascii="Arial;sans-serif" w:hAnsi="Arial;sans-serif"/>
          <w:b w:val="false"/>
          <w:color w:val="000000"/>
          <w:sz w:val="20"/>
        </w:rPr>
        <w:t>TENANT'S MAINTENANCE    </w:t>
      </w:r>
      <w:hyperlink w:anchor="ic761b8a3131f4eae8add660a333b625f_7">
        <w:r>
          <w:rPr>
            <w:rStyle w:val="InternetLink"/>
            <w:rFonts w:ascii="Arial;sans-serif" w:hAnsi="Arial;sans-serif"/>
            <w:b w:val="false"/>
            <w:strike w:val="false"/>
            <w:dstrike w:val="false"/>
            <w:color w:val="000000"/>
            <w:sz w:val="20"/>
            <w:u w:val="none"/>
            <w:effect w:val="none"/>
          </w:rPr>
          <w:t>13</w:t>
        </w:r>
      </w:hyperlink>
    </w:p>
    <w:p>
      <w:pPr>
        <w:pStyle w:val="TextBody"/>
        <w:bidi w:val="0"/>
        <w:spacing w:lineRule="atLeast" w:line="240" w:before="240" w:after="283"/>
        <w:ind w:left="0" w:right="0" w:hanging="720"/>
        <w:jc w:val="both"/>
        <w:rPr/>
      </w:pPr>
      <w:r>
        <w:rPr>
          <w:rFonts w:ascii="Arial;sans-serif" w:hAnsi="Arial;sans-serif"/>
          <w:b w:val="false"/>
          <w:color w:val="000000"/>
          <w:sz w:val="20"/>
        </w:rPr>
        <w:t>ARTICLE NINE - ALTERATIONS AND IMPROVEMENTS    </w:t>
      </w:r>
      <w:hyperlink w:anchor="ic761b8a3131f4eae8add660a333b625f_7">
        <w:r>
          <w:rPr>
            <w:rStyle w:val="InternetLink"/>
            <w:rFonts w:ascii="Arial;sans-serif" w:hAnsi="Arial;sans-serif"/>
            <w:b w:val="false"/>
            <w:strike w:val="false"/>
            <w:dstrike w:val="false"/>
            <w:color w:val="000000"/>
            <w:sz w:val="20"/>
            <w:u w:val="none"/>
            <w:effect w:val="none"/>
          </w:rPr>
          <w:t>14</w:t>
        </w:r>
      </w:hyperlink>
    </w:p>
    <w:p>
      <w:pPr>
        <w:pStyle w:val="TextBody"/>
        <w:bidi w:val="0"/>
        <w:spacing w:lineRule="atLeast" w:line="240" w:before="0" w:after="0"/>
        <w:ind w:left="0" w:right="0" w:hanging="720"/>
        <w:jc w:val="both"/>
        <w:rPr/>
      </w:pPr>
      <w:r>
        <w:rPr>
          <w:rFonts w:ascii="Arial;sans-serif" w:hAnsi="Arial;sans-serif"/>
          <w:b w:val="false"/>
          <w:color w:val="000000"/>
          <w:sz w:val="20"/>
        </w:rPr>
        <w:t>9.01</w:t>
      </w:r>
      <w:r>
        <w:rPr>
          <w:color w:val="000000"/>
        </w:rPr>
        <w:t>    </w:t>
      </w:r>
      <w:r>
        <w:rPr>
          <w:rFonts w:ascii="Arial;sans-serif" w:hAnsi="Arial;sans-serif"/>
          <w:b w:val="false"/>
          <w:color w:val="000000"/>
          <w:sz w:val="20"/>
        </w:rPr>
        <w:t>TENANT ALTERATIONS    </w:t>
      </w:r>
      <w:hyperlink w:anchor="ic761b8a3131f4eae8add660a333b625f_7">
        <w:r>
          <w:rPr>
            <w:rStyle w:val="InternetLink"/>
            <w:rFonts w:ascii="Arial;sans-serif" w:hAnsi="Arial;sans-serif"/>
            <w:b w:val="false"/>
            <w:strike w:val="false"/>
            <w:dstrike w:val="false"/>
            <w:color w:val="000000"/>
            <w:sz w:val="20"/>
            <w:u w:val="none"/>
            <w:effect w:val="none"/>
          </w:rPr>
          <w:t>14</w:t>
        </w:r>
      </w:hyperlink>
    </w:p>
    <w:p>
      <w:pPr>
        <w:pStyle w:val="TextBody"/>
        <w:bidi w:val="0"/>
        <w:spacing w:lineRule="atLeast" w:line="240" w:before="0" w:after="0"/>
        <w:ind w:left="0" w:right="0" w:hanging="720"/>
        <w:jc w:val="both"/>
        <w:rPr/>
      </w:pPr>
      <w:r>
        <w:rPr>
          <w:rFonts w:ascii="Arial;sans-serif" w:hAnsi="Arial;sans-serif"/>
          <w:b w:val="false"/>
          <w:color w:val="000000"/>
          <w:sz w:val="20"/>
        </w:rPr>
        <w:t>9.02</w:t>
      </w:r>
      <w:r>
        <w:rPr>
          <w:color w:val="000000"/>
        </w:rPr>
        <w:t>    </w:t>
      </w:r>
      <w:r>
        <w:rPr>
          <w:rFonts w:ascii="Arial;sans-serif" w:hAnsi="Arial;sans-serif"/>
          <w:b w:val="false"/>
          <w:color w:val="000000"/>
          <w:sz w:val="20"/>
        </w:rPr>
        <w:t>LIENS    </w:t>
      </w:r>
      <w:hyperlink w:anchor="ic761b8a3131f4eae8add660a333b625f_7">
        <w:r>
          <w:rPr>
            <w:rStyle w:val="InternetLink"/>
            <w:rFonts w:ascii="Arial;sans-serif" w:hAnsi="Arial;sans-serif"/>
            <w:b w:val="false"/>
            <w:strike w:val="false"/>
            <w:dstrike w:val="false"/>
            <w:color w:val="000000"/>
            <w:sz w:val="20"/>
            <w:u w:val="none"/>
            <w:effect w:val="none"/>
          </w:rPr>
          <w:t>15</w:t>
        </w:r>
      </w:hyperlink>
    </w:p>
    <w:p>
      <w:pPr>
        <w:pStyle w:val="TextBody"/>
        <w:bidi w:val="0"/>
        <w:spacing w:lineRule="atLeast" w:line="240" w:before="240" w:after="283"/>
        <w:ind w:left="0" w:right="0" w:hanging="720"/>
        <w:jc w:val="both"/>
        <w:rPr/>
      </w:pPr>
      <w:r>
        <w:rPr>
          <w:rFonts w:ascii="Arial;sans-serif" w:hAnsi="Arial;sans-serif"/>
          <w:b w:val="false"/>
          <w:color w:val="000000"/>
          <w:sz w:val="20"/>
        </w:rPr>
        <w:t>ARTICLE TEN - ASSIGNMENT AND SUBLETTING    </w:t>
      </w:r>
      <w:hyperlink w:anchor="ic761b8a3131f4eae8add660a333b625f_7">
        <w:r>
          <w:rPr>
            <w:rStyle w:val="InternetLink"/>
            <w:rFonts w:ascii="Arial;sans-serif" w:hAnsi="Arial;sans-serif"/>
            <w:b w:val="false"/>
            <w:strike w:val="false"/>
            <w:dstrike w:val="false"/>
            <w:color w:val="000000"/>
            <w:sz w:val="20"/>
            <w:u w:val="none"/>
            <w:effect w:val="none"/>
          </w:rPr>
          <w:t>15</w:t>
        </w:r>
      </w:hyperlink>
    </w:p>
    <w:p>
      <w:pPr>
        <w:pStyle w:val="TextBody"/>
        <w:bidi w:val="0"/>
        <w:spacing w:lineRule="atLeast" w:line="240" w:before="0" w:after="0"/>
        <w:ind w:left="0" w:right="0" w:hanging="720"/>
        <w:jc w:val="both"/>
        <w:rPr/>
      </w:pPr>
      <w:r>
        <w:rPr>
          <w:rFonts w:ascii="Arial;sans-serif" w:hAnsi="Arial;sans-serif"/>
          <w:b w:val="false"/>
          <w:color w:val="000000"/>
          <w:sz w:val="20"/>
        </w:rPr>
        <w:t>10.01</w:t>
      </w:r>
      <w:r>
        <w:rPr>
          <w:color w:val="000000"/>
        </w:rPr>
        <w:t>    </w:t>
      </w:r>
      <w:r>
        <w:rPr>
          <w:rFonts w:ascii="Arial;sans-serif" w:hAnsi="Arial;sans-serif"/>
          <w:b w:val="false"/>
          <w:color w:val="000000"/>
          <w:sz w:val="20"/>
        </w:rPr>
        <w:t>ASSIGNMENT AND SUBLETTING    </w:t>
      </w:r>
      <w:hyperlink w:anchor="ic761b8a3131f4eae8add660a333b625f_7">
        <w:r>
          <w:rPr>
            <w:rStyle w:val="InternetLink"/>
            <w:rFonts w:ascii="Arial;sans-serif" w:hAnsi="Arial;sans-serif"/>
            <w:b w:val="false"/>
            <w:strike w:val="false"/>
            <w:dstrike w:val="false"/>
            <w:color w:val="000000"/>
            <w:sz w:val="20"/>
            <w:u w:val="none"/>
            <w:effect w:val="none"/>
          </w:rPr>
          <w:t>15</w:t>
        </w:r>
      </w:hyperlink>
    </w:p>
    <w:p>
      <w:pPr>
        <w:pStyle w:val="TextBody"/>
        <w:bidi w:val="0"/>
        <w:spacing w:lineRule="atLeast" w:line="240" w:before="0" w:after="0"/>
        <w:ind w:left="0" w:right="0" w:hanging="720"/>
        <w:jc w:val="both"/>
        <w:rPr/>
      </w:pPr>
      <w:r>
        <w:rPr>
          <w:rFonts w:ascii="Arial;sans-serif" w:hAnsi="Arial;sans-serif"/>
          <w:b w:val="false"/>
          <w:color w:val="000000"/>
          <w:sz w:val="20"/>
        </w:rPr>
        <w:t>10.02</w:t>
      </w:r>
      <w:r>
        <w:rPr>
          <w:color w:val="000000"/>
        </w:rPr>
        <w:t>    </w:t>
      </w:r>
      <w:r>
        <w:rPr>
          <w:rFonts w:ascii="Arial;sans-serif" w:hAnsi="Arial;sans-serif"/>
          <w:b w:val="false"/>
          <w:color w:val="000000"/>
          <w:sz w:val="20"/>
        </w:rPr>
        <w:t>RECAPTURE    </w:t>
      </w:r>
      <w:hyperlink w:anchor="ic761b8a3131f4eae8add660a333b625f_7">
        <w:r>
          <w:rPr>
            <w:rStyle w:val="InternetLink"/>
            <w:rFonts w:ascii="Arial;sans-serif" w:hAnsi="Arial;sans-serif"/>
            <w:b w:val="false"/>
            <w:strike w:val="false"/>
            <w:dstrike w:val="false"/>
            <w:color w:val="000000"/>
            <w:sz w:val="20"/>
            <w:u w:val="none"/>
            <w:effect w:val="none"/>
          </w:rPr>
          <w:t>16</w:t>
        </w:r>
      </w:hyperlink>
    </w:p>
    <w:p>
      <w:pPr>
        <w:pStyle w:val="TextBody"/>
        <w:bidi w:val="0"/>
        <w:spacing w:lineRule="atLeast" w:line="240" w:before="0" w:after="0"/>
        <w:ind w:left="0" w:right="0" w:hanging="720"/>
        <w:jc w:val="both"/>
        <w:rPr/>
      </w:pPr>
      <w:r>
        <w:rPr>
          <w:rFonts w:ascii="Arial;sans-serif" w:hAnsi="Arial;sans-serif"/>
          <w:b w:val="false"/>
          <w:color w:val="000000"/>
          <w:sz w:val="20"/>
        </w:rPr>
        <w:t>10.03</w:t>
      </w:r>
      <w:r>
        <w:rPr>
          <w:color w:val="000000"/>
        </w:rPr>
        <w:t>    </w:t>
      </w:r>
      <w:r>
        <w:rPr>
          <w:rFonts w:ascii="Arial;sans-serif" w:hAnsi="Arial;sans-serif"/>
          <w:b w:val="false"/>
          <w:color w:val="000000"/>
          <w:sz w:val="20"/>
        </w:rPr>
        <w:t>EXCESS RENT    </w:t>
      </w:r>
      <w:hyperlink w:anchor="ic761b8a3131f4eae8add660a333b625f_7">
        <w:r>
          <w:rPr>
            <w:rStyle w:val="InternetLink"/>
            <w:rFonts w:ascii="Arial;sans-serif" w:hAnsi="Arial;sans-serif"/>
            <w:b w:val="false"/>
            <w:strike w:val="false"/>
            <w:dstrike w:val="false"/>
            <w:color w:val="000000"/>
            <w:sz w:val="20"/>
            <w:u w:val="none"/>
            <w:effect w:val="none"/>
          </w:rPr>
          <w:t>16</w:t>
        </w:r>
      </w:hyperlink>
    </w:p>
    <w:p>
      <w:pPr>
        <w:pStyle w:val="TextBody"/>
        <w:bidi w:val="0"/>
        <w:spacing w:lineRule="atLeast" w:line="240" w:before="0" w:after="0"/>
        <w:ind w:left="0" w:right="0" w:hanging="720"/>
        <w:jc w:val="both"/>
        <w:rPr/>
      </w:pPr>
      <w:r>
        <w:rPr>
          <w:rFonts w:ascii="Arial;sans-serif" w:hAnsi="Arial;sans-serif"/>
          <w:b w:val="false"/>
          <w:color w:val="000000"/>
          <w:sz w:val="20"/>
        </w:rPr>
        <w:t>10.04</w:t>
      </w:r>
      <w:r>
        <w:rPr>
          <w:color w:val="000000"/>
        </w:rPr>
        <w:t>    </w:t>
      </w:r>
      <w:r>
        <w:rPr>
          <w:rFonts w:ascii="Arial;sans-serif" w:hAnsi="Arial;sans-serif"/>
          <w:b w:val="false"/>
          <w:color w:val="000000"/>
          <w:sz w:val="20"/>
        </w:rPr>
        <w:t>TENANT LIABILITY    </w:t>
      </w:r>
      <w:hyperlink w:anchor="ic761b8a3131f4eae8add660a333b625f_7">
        <w:r>
          <w:rPr>
            <w:rStyle w:val="InternetLink"/>
            <w:rFonts w:ascii="Arial;sans-serif" w:hAnsi="Arial;sans-serif"/>
            <w:b w:val="false"/>
            <w:strike w:val="false"/>
            <w:dstrike w:val="false"/>
            <w:color w:val="000000"/>
            <w:sz w:val="20"/>
            <w:u w:val="none"/>
            <w:effect w:val="none"/>
          </w:rPr>
          <w:t>17</w:t>
        </w:r>
      </w:hyperlink>
    </w:p>
    <w:p>
      <w:pPr>
        <w:pStyle w:val="TextBody"/>
        <w:bidi w:val="0"/>
        <w:spacing w:lineRule="atLeast" w:line="240" w:before="0" w:after="0"/>
        <w:ind w:left="0" w:right="0" w:hanging="720"/>
        <w:jc w:val="both"/>
        <w:rPr/>
      </w:pPr>
      <w:r>
        <w:rPr>
          <w:rFonts w:ascii="Arial;sans-serif" w:hAnsi="Arial;sans-serif"/>
          <w:b w:val="false"/>
          <w:color w:val="000000"/>
          <w:sz w:val="20"/>
        </w:rPr>
        <w:t>10.05</w:t>
      </w:r>
      <w:r>
        <w:rPr>
          <w:color w:val="000000"/>
        </w:rPr>
        <w:t>    </w:t>
      </w:r>
      <w:r>
        <w:rPr>
          <w:rFonts w:ascii="Arial;sans-serif" w:hAnsi="Arial;sans-serif"/>
          <w:b w:val="false"/>
          <w:color w:val="000000"/>
          <w:sz w:val="20"/>
        </w:rPr>
        <w:t>ASSUMPTION AND ATTORNMENT    </w:t>
      </w:r>
      <w:hyperlink w:anchor="ic761b8a3131f4eae8add660a333b625f_7">
        <w:r>
          <w:rPr>
            <w:rStyle w:val="InternetLink"/>
            <w:rFonts w:ascii="Arial;sans-serif" w:hAnsi="Arial;sans-serif"/>
            <w:b w:val="false"/>
            <w:strike w:val="false"/>
            <w:dstrike w:val="false"/>
            <w:color w:val="000000"/>
            <w:sz w:val="20"/>
            <w:u w:val="none"/>
            <w:effect w:val="none"/>
          </w:rPr>
          <w:t>17</w:t>
        </w:r>
      </w:hyperlink>
    </w:p>
    <w:p>
      <w:pPr>
        <w:pStyle w:val="TextBody"/>
        <w:bidi w:val="0"/>
        <w:spacing w:lineRule="atLeast" w:line="240" w:before="240" w:after="283"/>
        <w:ind w:left="0" w:right="0" w:hanging="720"/>
        <w:jc w:val="both"/>
        <w:rPr/>
      </w:pPr>
      <w:r>
        <w:rPr>
          <w:rFonts w:ascii="Arial;sans-serif" w:hAnsi="Arial;sans-serif"/>
          <w:b w:val="false"/>
          <w:color w:val="000000"/>
          <w:sz w:val="20"/>
        </w:rPr>
        <w:t>ARTICLE ELEVEN - DEFAULT AND REMEDIES    </w:t>
      </w:r>
      <w:hyperlink w:anchor="ic761b8a3131f4eae8add660a333b625f_7">
        <w:r>
          <w:rPr>
            <w:rStyle w:val="InternetLink"/>
            <w:rFonts w:ascii="Arial;sans-serif" w:hAnsi="Arial;sans-serif"/>
            <w:b w:val="false"/>
            <w:strike w:val="false"/>
            <w:dstrike w:val="false"/>
            <w:color w:val="000000"/>
            <w:sz w:val="20"/>
            <w:u w:val="none"/>
            <w:effect w:val="none"/>
          </w:rPr>
          <w:t>17</w:t>
        </w:r>
      </w:hyperlink>
    </w:p>
    <w:p>
      <w:pPr>
        <w:pStyle w:val="TextBody"/>
        <w:bidi w:val="0"/>
        <w:spacing w:lineRule="atLeast" w:line="240" w:before="0" w:after="0"/>
        <w:ind w:left="0" w:right="0" w:hanging="720"/>
        <w:jc w:val="both"/>
        <w:rPr/>
      </w:pPr>
      <w:r>
        <w:rPr>
          <w:rFonts w:ascii="Arial;sans-serif" w:hAnsi="Arial;sans-serif"/>
          <w:b w:val="false"/>
          <w:color w:val="000000"/>
          <w:sz w:val="20"/>
        </w:rPr>
        <w:t>11.01</w:t>
      </w:r>
      <w:r>
        <w:rPr>
          <w:color w:val="000000"/>
        </w:rPr>
        <w:t>    </w:t>
      </w:r>
      <w:r>
        <w:rPr>
          <w:rFonts w:ascii="Arial;sans-serif" w:hAnsi="Arial;sans-serif"/>
          <w:b w:val="false"/>
          <w:color w:val="000000"/>
          <w:sz w:val="20"/>
        </w:rPr>
        <w:t>EVENTS OF DEFAULT    </w:t>
      </w:r>
      <w:hyperlink w:anchor="ic761b8a3131f4eae8add660a333b625f_7">
        <w:r>
          <w:rPr>
            <w:rStyle w:val="InternetLink"/>
            <w:rFonts w:ascii="Arial;sans-serif" w:hAnsi="Arial;sans-serif"/>
            <w:b w:val="false"/>
            <w:strike w:val="false"/>
            <w:dstrike w:val="false"/>
            <w:color w:val="000000"/>
            <w:sz w:val="20"/>
            <w:u w:val="none"/>
            <w:effect w:val="none"/>
          </w:rPr>
          <w:t>17</w:t>
        </w:r>
      </w:hyperlink>
    </w:p>
    <w:p>
      <w:pPr>
        <w:pStyle w:val="TextBody"/>
        <w:bidi w:val="0"/>
        <w:spacing w:lineRule="atLeast" w:line="240" w:before="0" w:after="0"/>
        <w:ind w:left="0" w:right="0" w:hanging="720"/>
        <w:jc w:val="both"/>
        <w:rPr/>
      </w:pPr>
      <w:r>
        <w:rPr>
          <w:rFonts w:ascii="Arial;sans-serif" w:hAnsi="Arial;sans-serif"/>
          <w:b w:val="false"/>
          <w:color w:val="000000"/>
          <w:sz w:val="20"/>
        </w:rPr>
        <w:t>11.02</w:t>
      </w:r>
      <w:r>
        <w:rPr>
          <w:color w:val="000000"/>
        </w:rPr>
        <w:t>    </w:t>
      </w:r>
      <w:r>
        <w:rPr>
          <w:rFonts w:ascii="Arial;sans-serif" w:hAnsi="Arial;sans-serif"/>
          <w:b w:val="false"/>
          <w:color w:val="000000"/>
          <w:sz w:val="20"/>
        </w:rPr>
        <w:t>LANDLORD'S REMEDIES    </w:t>
      </w:r>
      <w:hyperlink w:anchor="ic761b8a3131f4eae8add660a333b625f_7">
        <w:r>
          <w:rPr>
            <w:rStyle w:val="InternetLink"/>
            <w:rFonts w:ascii="Arial;sans-serif" w:hAnsi="Arial;sans-serif"/>
            <w:b w:val="false"/>
            <w:strike w:val="false"/>
            <w:dstrike w:val="false"/>
            <w:color w:val="000000"/>
            <w:sz w:val="20"/>
            <w:u w:val="none"/>
            <w:effect w:val="none"/>
          </w:rPr>
          <w:t>17</w:t>
        </w:r>
      </w:hyperlink>
    </w:p>
    <w:p>
      <w:pPr>
        <w:pStyle w:val="TextBody"/>
        <w:bidi w:val="0"/>
        <w:spacing w:lineRule="atLeast" w:line="240" w:before="0" w:after="0"/>
        <w:ind w:left="0" w:right="0" w:hanging="720"/>
        <w:jc w:val="both"/>
        <w:rPr/>
      </w:pPr>
      <w:r>
        <w:rPr>
          <w:rFonts w:ascii="Arial;sans-serif" w:hAnsi="Arial;sans-serif"/>
          <w:b w:val="false"/>
          <w:color w:val="000000"/>
          <w:sz w:val="20"/>
        </w:rPr>
        <w:t>11.03</w:t>
      </w:r>
      <w:r>
        <w:rPr>
          <w:color w:val="000000"/>
        </w:rPr>
        <w:t>    </w:t>
      </w:r>
      <w:r>
        <w:rPr>
          <w:rFonts w:ascii="Arial;sans-serif" w:hAnsi="Arial;sans-serif"/>
          <w:b w:val="false"/>
          <w:color w:val="000000"/>
          <w:sz w:val="20"/>
        </w:rPr>
        <w:t>ATTORNEY'S FEES    </w:t>
      </w:r>
      <w:hyperlink w:anchor="ic761b8a3131f4eae8add660a333b625f_7">
        <w:r>
          <w:rPr>
            <w:rStyle w:val="InternetLink"/>
            <w:rFonts w:ascii="Arial;sans-serif" w:hAnsi="Arial;sans-serif"/>
            <w:b w:val="false"/>
            <w:strike w:val="false"/>
            <w:dstrike w:val="false"/>
            <w:color w:val="000000"/>
            <w:sz w:val="20"/>
            <w:u w:val="none"/>
            <w:effect w:val="none"/>
          </w:rPr>
          <w:t>19</w:t>
        </w:r>
      </w:hyperlink>
    </w:p>
    <w:p>
      <w:pPr>
        <w:pStyle w:val="TextBody"/>
        <w:bidi w:val="0"/>
        <w:spacing w:lineRule="atLeast" w:line="240" w:before="0" w:after="0"/>
        <w:ind w:left="0" w:right="0" w:hanging="720"/>
        <w:jc w:val="both"/>
        <w:rPr/>
      </w:pPr>
      <w:r>
        <w:rPr>
          <w:rFonts w:ascii="Arial;sans-serif" w:hAnsi="Arial;sans-serif"/>
          <w:b w:val="false"/>
          <w:color w:val="000000"/>
          <w:sz w:val="20"/>
        </w:rPr>
        <w:t>11.04</w:t>
      </w:r>
      <w:r>
        <w:rPr>
          <w:color w:val="000000"/>
        </w:rPr>
        <w:t>    </w:t>
      </w:r>
      <w:r>
        <w:rPr>
          <w:rFonts w:ascii="Arial;sans-serif" w:hAnsi="Arial;sans-serif"/>
          <w:b w:val="false"/>
          <w:color w:val="000000"/>
          <w:sz w:val="20"/>
        </w:rPr>
        <w:t>BANKRUPTCY    </w:t>
      </w:r>
      <w:hyperlink w:anchor="ic761b8a3131f4eae8add660a333b625f_7">
        <w:r>
          <w:rPr>
            <w:rStyle w:val="InternetLink"/>
            <w:rFonts w:ascii="Arial;sans-serif" w:hAnsi="Arial;sans-serif"/>
            <w:b w:val="false"/>
            <w:strike w:val="false"/>
            <w:dstrike w:val="false"/>
            <w:color w:val="000000"/>
            <w:sz w:val="20"/>
            <w:u w:val="none"/>
            <w:effect w:val="none"/>
          </w:rPr>
          <w:t>19</w:t>
        </w:r>
      </w:hyperlink>
    </w:p>
    <w:p>
      <w:pPr>
        <w:pStyle w:val="TextBody"/>
        <w:bidi w:val="0"/>
        <w:spacing w:lineRule="atLeast" w:line="240" w:before="0" w:after="0"/>
        <w:ind w:left="0" w:right="0" w:hanging="720"/>
        <w:jc w:val="both"/>
        <w:rPr/>
      </w:pPr>
      <w:r>
        <w:rPr>
          <w:rFonts w:ascii="Arial;sans-serif" w:hAnsi="Arial;sans-serif"/>
          <w:b w:val="false"/>
          <w:color w:val="000000"/>
          <w:sz w:val="20"/>
        </w:rPr>
        <w:t>11.05</w:t>
      </w:r>
      <w:r>
        <w:rPr>
          <w:color w:val="000000"/>
        </w:rPr>
        <w:t>    </w:t>
      </w:r>
      <w:r>
        <w:rPr>
          <w:rFonts w:ascii="Arial;sans-serif" w:hAnsi="Arial;sans-serif"/>
          <w:b w:val="false"/>
          <w:color w:val="000000"/>
          <w:sz w:val="20"/>
        </w:rPr>
        <w:t>LANDLORD’S DEFAULT    </w:t>
      </w:r>
      <w:hyperlink w:anchor="ic761b8a3131f4eae8add660a333b625f_7">
        <w:r>
          <w:rPr>
            <w:rStyle w:val="InternetLink"/>
            <w:rFonts w:ascii="Arial;sans-serif" w:hAnsi="Arial;sans-serif"/>
            <w:b w:val="false"/>
            <w:strike w:val="false"/>
            <w:dstrike w:val="false"/>
            <w:color w:val="000000"/>
            <w:sz w:val="20"/>
            <w:u w:val="none"/>
            <w:effect w:val="none"/>
          </w:rPr>
          <w:t>19</w:t>
        </w:r>
      </w:hyperlink>
    </w:p>
    <w:p>
      <w:pPr>
        <w:pStyle w:val="TextBody"/>
        <w:bidi w:val="0"/>
        <w:spacing w:lineRule="atLeast" w:line="240" w:before="240" w:after="283"/>
        <w:ind w:left="0" w:right="0" w:hanging="720"/>
        <w:jc w:val="both"/>
        <w:rPr/>
      </w:pPr>
      <w:r>
        <w:rPr>
          <w:rFonts w:ascii="Arial;sans-serif" w:hAnsi="Arial;sans-serif"/>
          <w:b w:val="false"/>
          <w:color w:val="000000"/>
          <w:sz w:val="20"/>
        </w:rPr>
        <w:t>ARTICLE TWELVE - SURRENDER OF PREMISES    </w:t>
      </w:r>
      <w:hyperlink w:anchor="ic761b8a3131f4eae8add660a333b625f_7">
        <w:r>
          <w:rPr>
            <w:rStyle w:val="InternetLink"/>
            <w:rFonts w:ascii="Arial;sans-serif" w:hAnsi="Arial;sans-serif"/>
            <w:b w:val="false"/>
            <w:strike w:val="false"/>
            <w:dstrike w:val="false"/>
            <w:color w:val="000000"/>
            <w:sz w:val="20"/>
            <w:u w:val="none"/>
            <w:effect w:val="none"/>
          </w:rPr>
          <w:t>20</w:t>
        </w:r>
      </w:hyperlink>
    </w:p>
    <w:p>
      <w:pPr>
        <w:pStyle w:val="TextBody"/>
        <w:bidi w:val="0"/>
        <w:spacing w:lineRule="atLeast" w:line="240" w:before="240" w:after="283"/>
        <w:ind w:left="0" w:right="0" w:hanging="720"/>
        <w:jc w:val="both"/>
        <w:rPr/>
      </w:pPr>
      <w:r>
        <w:rPr>
          <w:rFonts w:ascii="Arial;sans-serif" w:hAnsi="Arial;sans-serif"/>
          <w:b w:val="false"/>
          <w:color w:val="000000"/>
          <w:sz w:val="20"/>
        </w:rPr>
        <w:t>ARTICLE THIRTEEN - HOLDING OVER    </w:t>
      </w:r>
      <w:hyperlink w:anchor="ic761b8a3131f4eae8add660a333b625f_7">
        <w:r>
          <w:rPr>
            <w:rStyle w:val="InternetLink"/>
            <w:rFonts w:ascii="Arial;sans-serif" w:hAnsi="Arial;sans-serif"/>
            <w:b w:val="false"/>
            <w:strike w:val="false"/>
            <w:dstrike w:val="false"/>
            <w:color w:val="000000"/>
            <w:sz w:val="20"/>
            <w:u w:val="none"/>
            <w:effect w:val="none"/>
          </w:rPr>
          <w:t>20</w:t>
        </w:r>
      </w:hyperlink>
    </w:p>
    <w:p>
      <w:pPr>
        <w:pStyle w:val="TextBody"/>
        <w:bidi w:val="0"/>
        <w:spacing w:lineRule="atLeast" w:line="240" w:before="240" w:after="283"/>
        <w:ind w:left="0" w:right="0" w:hanging="720"/>
        <w:jc w:val="both"/>
        <w:rPr/>
      </w:pPr>
      <w:r>
        <w:rPr>
          <w:rFonts w:ascii="Arial;sans-serif" w:hAnsi="Arial;sans-serif"/>
          <w:b w:val="false"/>
          <w:color w:val="000000"/>
          <w:sz w:val="20"/>
        </w:rPr>
        <w:t>ARTICLE FOURTEEN - DAMAGE BY FIRE OR OTHER CASUALTY    </w:t>
      </w:r>
      <w:hyperlink w:anchor="ic761b8a3131f4eae8add660a333b625f_7">
        <w:r>
          <w:rPr>
            <w:rStyle w:val="InternetLink"/>
            <w:rFonts w:ascii="Arial;sans-serif" w:hAnsi="Arial;sans-serif"/>
            <w:b w:val="false"/>
            <w:strike w:val="false"/>
            <w:dstrike w:val="false"/>
            <w:color w:val="000000"/>
            <w:sz w:val="20"/>
            <w:u w:val="none"/>
            <w:effect w:val="none"/>
          </w:rPr>
          <w:t>20</w:t>
        </w:r>
      </w:hyperlink>
    </w:p>
    <w:p>
      <w:pPr>
        <w:pStyle w:val="TextBody"/>
        <w:bidi w:val="0"/>
        <w:spacing w:lineRule="atLeast" w:line="240" w:before="0" w:after="0"/>
        <w:ind w:left="0" w:right="0" w:hanging="720"/>
        <w:jc w:val="both"/>
        <w:rPr/>
      </w:pPr>
      <w:r>
        <w:rPr>
          <w:rFonts w:ascii="Arial;sans-serif" w:hAnsi="Arial;sans-serif"/>
          <w:b w:val="false"/>
          <w:color w:val="000000"/>
          <w:sz w:val="20"/>
        </w:rPr>
        <w:t>14.01</w:t>
      </w:r>
      <w:r>
        <w:rPr>
          <w:color w:val="000000"/>
        </w:rPr>
        <w:t>    </w:t>
      </w:r>
      <w:r>
        <w:rPr>
          <w:rFonts w:ascii="Arial;sans-serif" w:hAnsi="Arial;sans-serif"/>
          <w:b w:val="false"/>
          <w:color w:val="000000"/>
          <w:sz w:val="20"/>
        </w:rPr>
        <w:t>SUBSTANTIAL UNTENANTABILITY    </w:t>
      </w:r>
      <w:hyperlink w:anchor="ic761b8a3131f4eae8add660a333b625f_7">
        <w:r>
          <w:rPr>
            <w:rStyle w:val="InternetLink"/>
            <w:rFonts w:ascii="Arial;sans-serif" w:hAnsi="Arial;sans-serif"/>
            <w:b w:val="false"/>
            <w:strike w:val="false"/>
            <w:dstrike w:val="false"/>
            <w:color w:val="000000"/>
            <w:sz w:val="20"/>
            <w:u w:val="none"/>
            <w:effect w:val="none"/>
          </w:rPr>
          <w:t>20</w:t>
        </w:r>
      </w:hyperlink>
    </w:p>
    <w:p>
      <w:pPr>
        <w:pStyle w:val="TextBody"/>
        <w:bidi w:val="0"/>
        <w:spacing w:lineRule="atLeast" w:line="240" w:before="0" w:after="0"/>
        <w:ind w:left="0" w:right="0" w:hanging="720"/>
        <w:jc w:val="both"/>
        <w:rPr/>
      </w:pPr>
      <w:r>
        <w:rPr>
          <w:rFonts w:ascii="Arial;sans-serif" w:hAnsi="Arial;sans-serif"/>
          <w:b w:val="false"/>
          <w:color w:val="000000"/>
          <w:sz w:val="20"/>
        </w:rPr>
        <w:t>14.02</w:t>
      </w:r>
      <w:r>
        <w:rPr>
          <w:color w:val="000000"/>
        </w:rPr>
        <w:t>    </w:t>
      </w:r>
      <w:r>
        <w:rPr>
          <w:rFonts w:ascii="Arial;sans-serif" w:hAnsi="Arial;sans-serif"/>
          <w:b w:val="false"/>
          <w:color w:val="000000"/>
          <w:sz w:val="20"/>
        </w:rPr>
        <w:t>INSUBSTANTIAL UNTENANTABILITY    </w:t>
      </w:r>
      <w:hyperlink w:anchor="ic761b8a3131f4eae8add660a333b625f_7">
        <w:r>
          <w:rPr>
            <w:rStyle w:val="InternetLink"/>
            <w:rFonts w:ascii="Arial;sans-serif" w:hAnsi="Arial;sans-serif"/>
            <w:b w:val="false"/>
            <w:strike w:val="false"/>
            <w:dstrike w:val="false"/>
            <w:color w:val="000000"/>
            <w:sz w:val="20"/>
            <w:u w:val="none"/>
            <w:effect w:val="none"/>
          </w:rPr>
          <w:t>21</w:t>
        </w:r>
      </w:hyperlink>
    </w:p>
    <w:p>
      <w:pPr>
        <w:pStyle w:val="TextBody"/>
        <w:bidi w:val="0"/>
        <w:spacing w:lineRule="atLeast" w:line="240" w:before="0" w:after="0"/>
        <w:ind w:left="0" w:right="0" w:hanging="720"/>
        <w:jc w:val="both"/>
        <w:rPr/>
      </w:pPr>
      <w:r>
        <w:rPr>
          <w:rFonts w:ascii="Arial;sans-serif" w:hAnsi="Arial;sans-serif"/>
          <w:b w:val="false"/>
          <w:color w:val="000000"/>
          <w:sz w:val="20"/>
        </w:rPr>
        <w:t>14.03</w:t>
      </w:r>
      <w:r>
        <w:rPr>
          <w:color w:val="000000"/>
        </w:rPr>
        <w:t>    </w:t>
      </w:r>
      <w:r>
        <w:rPr>
          <w:rFonts w:ascii="Arial;sans-serif" w:hAnsi="Arial;sans-serif"/>
          <w:b w:val="false"/>
          <w:color w:val="000000"/>
          <w:sz w:val="20"/>
        </w:rPr>
        <w:t>RENT ABATEMENT    </w:t>
      </w:r>
      <w:hyperlink w:anchor="ic761b8a3131f4eae8add660a333b625f_7">
        <w:r>
          <w:rPr>
            <w:rStyle w:val="InternetLink"/>
            <w:rFonts w:ascii="Arial;sans-serif" w:hAnsi="Arial;sans-serif"/>
            <w:b w:val="false"/>
            <w:strike w:val="false"/>
            <w:dstrike w:val="false"/>
            <w:color w:val="000000"/>
            <w:sz w:val="20"/>
            <w:u w:val="none"/>
            <w:effect w:val="none"/>
          </w:rPr>
          <w:t>21</w:t>
        </w:r>
      </w:hyperlink>
    </w:p>
    <w:p>
      <w:pPr>
        <w:pStyle w:val="TextBody"/>
        <w:bidi w:val="0"/>
        <w:spacing w:lineRule="atLeast" w:line="240" w:before="0" w:after="0"/>
        <w:ind w:left="0" w:right="0" w:hanging="720"/>
        <w:jc w:val="both"/>
        <w:rPr/>
      </w:pPr>
      <w:r>
        <w:rPr>
          <w:rFonts w:ascii="Arial;sans-serif" w:hAnsi="Arial;sans-serif"/>
          <w:b w:val="false"/>
          <w:color w:val="000000"/>
          <w:sz w:val="20"/>
        </w:rPr>
        <w:t>14.04</w:t>
      </w:r>
      <w:r>
        <w:rPr>
          <w:color w:val="000000"/>
        </w:rPr>
        <w:t>    </w:t>
      </w:r>
      <w:r>
        <w:rPr>
          <w:rFonts w:ascii="Arial;sans-serif" w:hAnsi="Arial;sans-serif"/>
          <w:b w:val="false"/>
          <w:color w:val="000000"/>
          <w:sz w:val="20"/>
        </w:rPr>
        <w:t>WAIVER OF STATUTORY REMEDIES    </w:t>
      </w:r>
      <w:hyperlink w:anchor="ic761b8a3131f4eae8add660a333b625f_7">
        <w:r>
          <w:rPr>
            <w:rStyle w:val="InternetLink"/>
            <w:rFonts w:ascii="Arial;sans-serif" w:hAnsi="Arial;sans-serif"/>
            <w:b w:val="false"/>
            <w:strike w:val="false"/>
            <w:dstrike w:val="false"/>
            <w:color w:val="000000"/>
            <w:sz w:val="20"/>
            <w:u w:val="none"/>
            <w:effect w:val="none"/>
          </w:rPr>
          <w:t>21</w:t>
        </w:r>
      </w:hyperlink>
    </w:p>
    <w:p>
      <w:pPr>
        <w:pStyle w:val="TextBody"/>
        <w:bidi w:val="0"/>
        <w:spacing w:lineRule="atLeast" w:line="240" w:before="240" w:after="283"/>
        <w:ind w:left="0" w:right="0" w:hanging="720"/>
        <w:jc w:val="both"/>
        <w:rPr/>
      </w:pPr>
      <w:r>
        <w:rPr>
          <w:rFonts w:ascii="Arial;sans-serif" w:hAnsi="Arial;sans-serif"/>
          <w:b w:val="false"/>
          <w:color w:val="000000"/>
          <w:sz w:val="20"/>
        </w:rPr>
        <w:t>ARTICLE FIFTEEN - EMINENT DOMAIN    </w:t>
      </w:r>
      <w:hyperlink w:anchor="ic761b8a3131f4eae8add660a333b625f_7">
        <w:r>
          <w:rPr>
            <w:rStyle w:val="InternetLink"/>
            <w:rFonts w:ascii="Arial;sans-serif" w:hAnsi="Arial;sans-serif"/>
            <w:b w:val="false"/>
            <w:strike w:val="false"/>
            <w:dstrike w:val="false"/>
            <w:color w:val="000000"/>
            <w:sz w:val="20"/>
            <w:u w:val="none"/>
            <w:effect w:val="none"/>
          </w:rPr>
          <w:t>21</w:t>
        </w:r>
      </w:hyperlink>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35305"/>
                <wp:effectExtent l="0" t="0" r="0" b="0"/>
                <wp:wrapNone/>
                <wp:docPr id="116" name="Frame115"/>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tLeast" w:line="240" w:before="0" w:after="0"/>
        <w:ind w:left="0" w:right="0" w:hanging="720"/>
        <w:jc w:val="both"/>
        <w:rPr/>
      </w:pPr>
      <w:r>
        <w:rPr>
          <w:rFonts w:ascii="Arial;sans-serif" w:hAnsi="Arial;sans-serif"/>
          <w:b w:val="false"/>
          <w:color w:val="000000"/>
          <w:sz w:val="20"/>
        </w:rPr>
        <w:t>15.01</w:t>
      </w:r>
      <w:r>
        <w:rPr>
          <w:color w:val="000000"/>
        </w:rPr>
        <w:t>    </w:t>
      </w:r>
      <w:r>
        <w:rPr>
          <w:rFonts w:ascii="Arial;sans-serif" w:hAnsi="Arial;sans-serif"/>
          <w:b w:val="false"/>
          <w:color w:val="000000"/>
          <w:sz w:val="20"/>
        </w:rPr>
        <w:t>TAKING OF WHOLE OR SUBSTANTIAL PART    </w:t>
      </w:r>
      <w:hyperlink w:anchor="ic761b8a3131f4eae8add660a333b625f_7">
        <w:r>
          <w:rPr>
            <w:rStyle w:val="InternetLink"/>
            <w:rFonts w:ascii="Arial;sans-serif" w:hAnsi="Arial;sans-serif"/>
            <w:b w:val="false"/>
            <w:strike w:val="false"/>
            <w:dstrike w:val="false"/>
            <w:color w:val="000000"/>
            <w:sz w:val="20"/>
            <w:u w:val="none"/>
            <w:effect w:val="none"/>
          </w:rPr>
          <w:t>21</w:t>
        </w:r>
      </w:hyperlink>
    </w:p>
    <w:p>
      <w:pPr>
        <w:pStyle w:val="TextBody"/>
        <w:bidi w:val="0"/>
        <w:spacing w:lineRule="atLeast" w:line="240" w:before="0" w:after="0"/>
        <w:ind w:left="0" w:right="0" w:hanging="720"/>
        <w:jc w:val="both"/>
        <w:rPr/>
      </w:pPr>
      <w:r>
        <w:rPr>
          <w:rFonts w:ascii="Arial;sans-serif" w:hAnsi="Arial;sans-serif"/>
          <w:b w:val="false"/>
          <w:color w:val="000000"/>
          <w:sz w:val="20"/>
        </w:rPr>
        <w:t>15.02</w:t>
      </w:r>
      <w:r>
        <w:rPr>
          <w:color w:val="000000"/>
        </w:rPr>
        <w:t>    </w:t>
      </w:r>
      <w:r>
        <w:rPr>
          <w:rFonts w:ascii="Arial;sans-serif" w:hAnsi="Arial;sans-serif"/>
          <w:b w:val="false"/>
          <w:color w:val="000000"/>
          <w:sz w:val="20"/>
        </w:rPr>
        <w:t>TAKING OF PART    </w:t>
      </w:r>
      <w:hyperlink w:anchor="ic761b8a3131f4eae8add660a333b625f_7">
        <w:r>
          <w:rPr>
            <w:rStyle w:val="InternetLink"/>
            <w:rFonts w:ascii="Arial;sans-serif" w:hAnsi="Arial;sans-serif"/>
            <w:b w:val="false"/>
            <w:strike w:val="false"/>
            <w:dstrike w:val="false"/>
            <w:color w:val="000000"/>
            <w:sz w:val="20"/>
            <w:u w:val="none"/>
            <w:effect w:val="none"/>
          </w:rPr>
          <w:t>22</w:t>
        </w:r>
      </w:hyperlink>
    </w:p>
    <w:p>
      <w:pPr>
        <w:pStyle w:val="TextBody"/>
        <w:bidi w:val="0"/>
        <w:spacing w:lineRule="atLeast" w:line="240" w:before="0" w:after="0"/>
        <w:ind w:left="0" w:right="0" w:hanging="720"/>
        <w:jc w:val="both"/>
        <w:rPr/>
      </w:pPr>
      <w:r>
        <w:rPr>
          <w:rFonts w:ascii="Arial;sans-serif" w:hAnsi="Arial;sans-serif"/>
          <w:b w:val="false"/>
          <w:color w:val="000000"/>
          <w:sz w:val="20"/>
        </w:rPr>
        <w:t>15.03</w:t>
      </w:r>
      <w:r>
        <w:rPr>
          <w:color w:val="000000"/>
        </w:rPr>
        <w:t>    </w:t>
      </w:r>
      <w:r>
        <w:rPr>
          <w:rFonts w:ascii="Arial;sans-serif" w:hAnsi="Arial;sans-serif"/>
          <w:b w:val="false"/>
          <w:color w:val="000000"/>
          <w:sz w:val="20"/>
        </w:rPr>
        <w:t>COMPENSATION    </w:t>
      </w:r>
      <w:hyperlink w:anchor="ic761b8a3131f4eae8add660a333b625f_7">
        <w:r>
          <w:rPr>
            <w:rStyle w:val="InternetLink"/>
            <w:rFonts w:ascii="Arial;sans-serif" w:hAnsi="Arial;sans-serif"/>
            <w:b w:val="false"/>
            <w:strike w:val="false"/>
            <w:dstrike w:val="false"/>
            <w:color w:val="000000"/>
            <w:sz w:val="20"/>
            <w:u w:val="none"/>
            <w:effect w:val="none"/>
          </w:rPr>
          <w:t>22</w:t>
        </w:r>
      </w:hyperlink>
    </w:p>
    <w:p>
      <w:pPr>
        <w:pStyle w:val="TextBody"/>
        <w:bidi w:val="0"/>
        <w:spacing w:lineRule="atLeast" w:line="240" w:before="240" w:after="283"/>
        <w:ind w:left="0" w:right="0" w:hanging="720"/>
        <w:jc w:val="both"/>
        <w:rPr/>
      </w:pPr>
      <w:r>
        <w:rPr>
          <w:rFonts w:ascii="Arial;sans-serif" w:hAnsi="Arial;sans-serif"/>
          <w:b w:val="false"/>
          <w:color w:val="000000"/>
          <w:sz w:val="20"/>
        </w:rPr>
        <w:t>ARTICLE SIXTEEN - INSURANCE    </w:t>
      </w:r>
      <w:hyperlink w:anchor="ic761b8a3131f4eae8add660a333b625f_7">
        <w:r>
          <w:rPr>
            <w:rStyle w:val="InternetLink"/>
            <w:rFonts w:ascii="Arial;sans-serif" w:hAnsi="Arial;sans-serif"/>
            <w:b w:val="false"/>
            <w:strike w:val="false"/>
            <w:dstrike w:val="false"/>
            <w:color w:val="000000"/>
            <w:sz w:val="20"/>
            <w:u w:val="none"/>
            <w:effect w:val="none"/>
          </w:rPr>
          <w:t>22</w:t>
        </w:r>
      </w:hyperlink>
    </w:p>
    <w:p>
      <w:pPr>
        <w:pStyle w:val="TextBody"/>
        <w:bidi w:val="0"/>
        <w:spacing w:lineRule="atLeast" w:line="240" w:before="0" w:after="0"/>
        <w:ind w:left="0" w:right="0" w:hanging="720"/>
        <w:jc w:val="both"/>
        <w:rPr/>
      </w:pPr>
      <w:r>
        <w:rPr>
          <w:rFonts w:ascii="Arial;sans-serif" w:hAnsi="Arial;sans-serif"/>
          <w:b w:val="false"/>
          <w:color w:val="000000"/>
          <w:sz w:val="20"/>
        </w:rPr>
        <w:t>16.01</w:t>
      </w:r>
      <w:r>
        <w:rPr>
          <w:color w:val="000000"/>
        </w:rPr>
        <w:t>    </w:t>
      </w:r>
      <w:r>
        <w:rPr>
          <w:rFonts w:ascii="Arial;sans-serif" w:hAnsi="Arial;sans-serif"/>
          <w:b w:val="false"/>
          <w:color w:val="000000"/>
          <w:sz w:val="20"/>
        </w:rPr>
        <w:t>TENANT'S INSURANCE    </w:t>
      </w:r>
      <w:hyperlink w:anchor="ic761b8a3131f4eae8add660a333b625f_7">
        <w:r>
          <w:rPr>
            <w:rStyle w:val="InternetLink"/>
            <w:rFonts w:ascii="Arial;sans-serif" w:hAnsi="Arial;sans-serif"/>
            <w:b w:val="false"/>
            <w:strike w:val="false"/>
            <w:dstrike w:val="false"/>
            <w:color w:val="000000"/>
            <w:sz w:val="20"/>
            <w:u w:val="none"/>
            <w:effect w:val="none"/>
          </w:rPr>
          <w:t>22</w:t>
        </w:r>
      </w:hyperlink>
    </w:p>
    <w:p>
      <w:pPr>
        <w:pStyle w:val="TextBody"/>
        <w:bidi w:val="0"/>
        <w:spacing w:lineRule="atLeast" w:line="240" w:before="0" w:after="0"/>
        <w:ind w:left="0" w:right="0" w:hanging="720"/>
        <w:jc w:val="both"/>
        <w:rPr/>
      </w:pPr>
      <w:r>
        <w:rPr>
          <w:rFonts w:ascii="Arial;sans-serif" w:hAnsi="Arial;sans-serif"/>
          <w:b w:val="false"/>
          <w:color w:val="000000"/>
          <w:sz w:val="20"/>
        </w:rPr>
        <w:t>16.02</w:t>
      </w:r>
      <w:r>
        <w:rPr>
          <w:color w:val="000000"/>
        </w:rPr>
        <w:t>    </w:t>
      </w:r>
      <w:r>
        <w:rPr>
          <w:rFonts w:ascii="Arial;sans-serif" w:hAnsi="Arial;sans-serif"/>
          <w:b w:val="false"/>
          <w:color w:val="000000"/>
          <w:sz w:val="20"/>
        </w:rPr>
        <w:t>FORM OF POLICIES    </w:t>
      </w:r>
      <w:hyperlink w:anchor="ic761b8a3131f4eae8add660a333b625f_7">
        <w:r>
          <w:rPr>
            <w:rStyle w:val="InternetLink"/>
            <w:rFonts w:ascii="Arial;sans-serif" w:hAnsi="Arial;sans-serif"/>
            <w:b w:val="false"/>
            <w:strike w:val="false"/>
            <w:dstrike w:val="false"/>
            <w:color w:val="000000"/>
            <w:sz w:val="20"/>
            <w:u w:val="none"/>
            <w:effect w:val="none"/>
          </w:rPr>
          <w:t>22</w:t>
        </w:r>
      </w:hyperlink>
    </w:p>
    <w:p>
      <w:pPr>
        <w:pStyle w:val="TextBody"/>
        <w:bidi w:val="0"/>
        <w:spacing w:lineRule="atLeast" w:line="240" w:before="0" w:after="0"/>
        <w:ind w:left="0" w:right="0" w:hanging="720"/>
        <w:jc w:val="both"/>
        <w:rPr/>
      </w:pPr>
      <w:r>
        <w:rPr>
          <w:rFonts w:ascii="Arial;sans-serif" w:hAnsi="Arial;sans-serif"/>
          <w:b w:val="false"/>
          <w:color w:val="000000"/>
          <w:sz w:val="20"/>
        </w:rPr>
        <w:t>16.03</w:t>
      </w:r>
      <w:r>
        <w:rPr>
          <w:color w:val="000000"/>
        </w:rPr>
        <w:t>    </w:t>
      </w:r>
      <w:r>
        <w:rPr>
          <w:rFonts w:ascii="Arial;sans-serif" w:hAnsi="Arial;sans-serif"/>
          <w:b w:val="false"/>
          <w:color w:val="000000"/>
          <w:sz w:val="20"/>
        </w:rPr>
        <w:t>LANDLORD'S INSURANCE    </w:t>
      </w:r>
      <w:hyperlink w:anchor="ic761b8a3131f4eae8add660a333b625f_7">
        <w:r>
          <w:rPr>
            <w:rStyle w:val="InternetLink"/>
            <w:rFonts w:ascii="Arial;sans-serif" w:hAnsi="Arial;sans-serif"/>
            <w:b w:val="false"/>
            <w:strike w:val="false"/>
            <w:dstrike w:val="false"/>
            <w:color w:val="000000"/>
            <w:sz w:val="20"/>
            <w:u w:val="none"/>
            <w:effect w:val="none"/>
          </w:rPr>
          <w:t>22</w:t>
        </w:r>
      </w:hyperlink>
    </w:p>
    <w:p>
      <w:pPr>
        <w:pStyle w:val="TextBody"/>
        <w:bidi w:val="0"/>
        <w:spacing w:lineRule="atLeast" w:line="240" w:before="0" w:after="0"/>
        <w:ind w:left="0" w:right="0" w:hanging="720"/>
        <w:jc w:val="both"/>
        <w:rPr/>
      </w:pPr>
      <w:r>
        <w:rPr>
          <w:rFonts w:ascii="Arial;sans-serif" w:hAnsi="Arial;sans-serif"/>
          <w:b w:val="false"/>
          <w:color w:val="000000"/>
          <w:sz w:val="20"/>
        </w:rPr>
        <w:t>16.04</w:t>
      </w:r>
      <w:r>
        <w:rPr>
          <w:color w:val="000000"/>
        </w:rPr>
        <w:t>    </w:t>
      </w:r>
      <w:r>
        <w:rPr>
          <w:rFonts w:ascii="Arial;sans-serif" w:hAnsi="Arial;sans-serif"/>
          <w:b w:val="false"/>
          <w:color w:val="000000"/>
          <w:sz w:val="20"/>
        </w:rPr>
        <w:t>WAIVER OF SUBROGATION    </w:t>
      </w:r>
      <w:hyperlink w:anchor="ic761b8a3131f4eae8add660a333b625f_7">
        <w:r>
          <w:rPr>
            <w:rStyle w:val="InternetLink"/>
            <w:rFonts w:ascii="Arial;sans-serif" w:hAnsi="Arial;sans-serif"/>
            <w:b w:val="false"/>
            <w:strike w:val="false"/>
            <w:dstrike w:val="false"/>
            <w:color w:val="000000"/>
            <w:sz w:val="20"/>
            <w:u w:val="none"/>
            <w:effect w:val="none"/>
          </w:rPr>
          <w:t>22</w:t>
        </w:r>
      </w:hyperlink>
    </w:p>
    <w:p>
      <w:pPr>
        <w:pStyle w:val="TextBody"/>
        <w:bidi w:val="0"/>
        <w:spacing w:lineRule="atLeast" w:line="240" w:before="0" w:after="0"/>
        <w:ind w:left="0" w:right="0" w:hanging="720"/>
        <w:jc w:val="both"/>
        <w:rPr/>
      </w:pPr>
      <w:r>
        <w:rPr>
          <w:rFonts w:ascii="Arial;sans-serif" w:hAnsi="Arial;sans-serif"/>
          <w:b w:val="false"/>
          <w:color w:val="000000"/>
          <w:sz w:val="20"/>
        </w:rPr>
        <w:t>16.05</w:t>
      </w:r>
      <w:r>
        <w:rPr>
          <w:color w:val="000000"/>
        </w:rPr>
        <w:t>    </w:t>
      </w:r>
      <w:r>
        <w:rPr>
          <w:rFonts w:ascii="Arial;sans-serif" w:hAnsi="Arial;sans-serif"/>
          <w:b w:val="false"/>
          <w:color w:val="000000"/>
          <w:sz w:val="20"/>
        </w:rPr>
        <w:t>NOTICE OF CASUALTY    </w:t>
      </w:r>
      <w:hyperlink w:anchor="ic761b8a3131f4eae8add660a333b625f_7">
        <w:r>
          <w:rPr>
            <w:rStyle w:val="InternetLink"/>
            <w:rFonts w:ascii="Arial;sans-serif" w:hAnsi="Arial;sans-serif"/>
            <w:b w:val="false"/>
            <w:strike w:val="false"/>
            <w:dstrike w:val="false"/>
            <w:color w:val="000000"/>
            <w:sz w:val="20"/>
            <w:u w:val="none"/>
            <w:effect w:val="none"/>
          </w:rPr>
          <w:t>23</w:t>
        </w:r>
      </w:hyperlink>
    </w:p>
    <w:p>
      <w:pPr>
        <w:pStyle w:val="TextBody"/>
        <w:bidi w:val="0"/>
        <w:spacing w:lineRule="atLeast" w:line="240" w:before="240" w:after="283"/>
        <w:ind w:left="0" w:right="0" w:hanging="720"/>
        <w:jc w:val="both"/>
        <w:rPr/>
      </w:pPr>
      <w:r>
        <w:rPr>
          <w:rFonts w:ascii="Arial;sans-serif" w:hAnsi="Arial;sans-serif"/>
          <w:b w:val="false"/>
          <w:color w:val="000000"/>
          <w:sz w:val="20"/>
        </w:rPr>
        <w:t>ARTICLE SEVENTEEN - WAIVER OF CLAIMS AND INDEMNITY    </w:t>
      </w:r>
      <w:hyperlink w:anchor="ic761b8a3131f4eae8add660a333b625f_7">
        <w:r>
          <w:rPr>
            <w:rStyle w:val="InternetLink"/>
            <w:rFonts w:ascii="Arial;sans-serif" w:hAnsi="Arial;sans-serif"/>
            <w:b w:val="false"/>
            <w:strike w:val="false"/>
            <w:dstrike w:val="false"/>
            <w:color w:val="000000"/>
            <w:sz w:val="20"/>
            <w:u w:val="none"/>
            <w:effect w:val="none"/>
          </w:rPr>
          <w:t>23</w:t>
        </w:r>
      </w:hyperlink>
    </w:p>
    <w:p>
      <w:pPr>
        <w:pStyle w:val="TextBody"/>
        <w:bidi w:val="0"/>
        <w:spacing w:lineRule="atLeast" w:line="240" w:before="0" w:after="0"/>
        <w:ind w:left="0" w:right="0" w:hanging="720"/>
        <w:jc w:val="both"/>
        <w:rPr/>
      </w:pPr>
      <w:r>
        <w:rPr>
          <w:rFonts w:ascii="Arial;sans-serif" w:hAnsi="Arial;sans-serif"/>
          <w:b w:val="false"/>
          <w:color w:val="000000"/>
          <w:sz w:val="20"/>
        </w:rPr>
        <w:t>17.01</w:t>
      </w:r>
      <w:r>
        <w:rPr>
          <w:color w:val="000000"/>
        </w:rPr>
        <w:t>    </w:t>
      </w:r>
      <w:r>
        <w:rPr>
          <w:rFonts w:ascii="Arial;sans-serif" w:hAnsi="Arial;sans-serif"/>
          <w:b w:val="false"/>
          <w:color w:val="000000"/>
          <w:sz w:val="20"/>
        </w:rPr>
        <w:t>WAIVER OF CLAIMS    </w:t>
      </w:r>
      <w:hyperlink w:anchor="ic761b8a3131f4eae8add660a333b625f_7">
        <w:r>
          <w:rPr>
            <w:rStyle w:val="InternetLink"/>
            <w:rFonts w:ascii="Arial;sans-serif" w:hAnsi="Arial;sans-serif"/>
            <w:b w:val="false"/>
            <w:strike w:val="false"/>
            <w:dstrike w:val="false"/>
            <w:color w:val="000000"/>
            <w:sz w:val="20"/>
            <w:u w:val="none"/>
            <w:effect w:val="none"/>
          </w:rPr>
          <w:t>23</w:t>
        </w:r>
      </w:hyperlink>
    </w:p>
    <w:p>
      <w:pPr>
        <w:pStyle w:val="TextBody"/>
        <w:bidi w:val="0"/>
        <w:spacing w:lineRule="atLeast" w:line="240" w:before="0" w:after="0"/>
        <w:ind w:left="0" w:right="0" w:hanging="720"/>
        <w:jc w:val="both"/>
        <w:rPr/>
      </w:pPr>
      <w:r>
        <w:rPr>
          <w:rFonts w:ascii="Arial;sans-serif" w:hAnsi="Arial;sans-serif"/>
          <w:b w:val="false"/>
          <w:color w:val="000000"/>
          <w:sz w:val="20"/>
        </w:rPr>
        <w:t>17.02</w:t>
      </w:r>
      <w:r>
        <w:rPr>
          <w:color w:val="000000"/>
        </w:rPr>
        <w:t>    </w:t>
      </w:r>
      <w:r>
        <w:rPr>
          <w:rFonts w:ascii="Arial;sans-serif" w:hAnsi="Arial;sans-serif"/>
          <w:b w:val="false"/>
          <w:color w:val="000000"/>
          <w:sz w:val="20"/>
        </w:rPr>
        <w:t>INDEMNITY BY TENANT    </w:t>
      </w:r>
      <w:hyperlink w:anchor="ic761b8a3131f4eae8add660a333b625f_7">
        <w:r>
          <w:rPr>
            <w:rStyle w:val="InternetLink"/>
            <w:rFonts w:ascii="Arial;sans-serif" w:hAnsi="Arial;sans-serif"/>
            <w:b w:val="false"/>
            <w:strike w:val="false"/>
            <w:dstrike w:val="false"/>
            <w:color w:val="000000"/>
            <w:sz w:val="20"/>
            <w:u w:val="none"/>
            <w:effect w:val="none"/>
          </w:rPr>
          <w:t>23</w:t>
        </w:r>
      </w:hyperlink>
    </w:p>
    <w:p>
      <w:pPr>
        <w:pStyle w:val="TextBody"/>
        <w:bidi w:val="0"/>
        <w:spacing w:lineRule="atLeast" w:line="240" w:before="0" w:after="0"/>
        <w:ind w:left="0" w:right="0" w:hanging="720"/>
        <w:jc w:val="both"/>
        <w:rPr/>
      </w:pPr>
      <w:r>
        <w:rPr>
          <w:rFonts w:ascii="Arial;sans-serif" w:hAnsi="Arial;sans-serif"/>
          <w:b w:val="false"/>
          <w:color w:val="000000"/>
          <w:sz w:val="20"/>
        </w:rPr>
        <w:t>17.03</w:t>
      </w:r>
      <w:r>
        <w:rPr>
          <w:color w:val="000000"/>
        </w:rPr>
        <w:t>    </w:t>
      </w:r>
      <w:r>
        <w:rPr>
          <w:rFonts w:ascii="Arial;sans-serif" w:hAnsi="Arial;sans-serif"/>
          <w:b w:val="false"/>
          <w:color w:val="000000"/>
          <w:sz w:val="20"/>
        </w:rPr>
        <w:t>WAIVER OF CONSEQUENTIAL DAMAGES    </w:t>
      </w:r>
      <w:hyperlink w:anchor="ic761b8a3131f4eae8add660a333b625f_7">
        <w:r>
          <w:rPr>
            <w:rStyle w:val="InternetLink"/>
            <w:rFonts w:ascii="Arial;sans-serif" w:hAnsi="Arial;sans-serif"/>
            <w:b w:val="false"/>
            <w:strike w:val="false"/>
            <w:dstrike w:val="false"/>
            <w:color w:val="000000"/>
            <w:sz w:val="20"/>
            <w:u w:val="none"/>
            <w:effect w:val="none"/>
          </w:rPr>
          <w:t>24</w:t>
        </w:r>
      </w:hyperlink>
    </w:p>
    <w:p>
      <w:pPr>
        <w:pStyle w:val="TextBody"/>
        <w:bidi w:val="0"/>
        <w:spacing w:lineRule="atLeast" w:line="240" w:before="240" w:after="283"/>
        <w:ind w:left="0" w:right="0" w:hanging="720"/>
        <w:jc w:val="both"/>
        <w:rPr/>
      </w:pPr>
      <w:r>
        <w:rPr>
          <w:rFonts w:ascii="Arial;sans-serif" w:hAnsi="Arial;sans-serif"/>
          <w:b w:val="false"/>
          <w:color w:val="000000"/>
          <w:sz w:val="20"/>
        </w:rPr>
        <w:t>ARTICLE EIGHTEEN - RULES AND REGULATIONS    </w:t>
      </w:r>
      <w:hyperlink w:anchor="ic761b8a3131f4eae8add660a333b625f_7">
        <w:r>
          <w:rPr>
            <w:rStyle w:val="InternetLink"/>
            <w:rFonts w:ascii="Arial;sans-serif" w:hAnsi="Arial;sans-serif"/>
            <w:b w:val="false"/>
            <w:strike w:val="false"/>
            <w:dstrike w:val="false"/>
            <w:color w:val="000000"/>
            <w:sz w:val="20"/>
            <w:u w:val="none"/>
            <w:effect w:val="none"/>
          </w:rPr>
          <w:t>24</w:t>
        </w:r>
      </w:hyperlink>
    </w:p>
    <w:p>
      <w:pPr>
        <w:pStyle w:val="TextBody"/>
        <w:bidi w:val="0"/>
        <w:spacing w:lineRule="atLeast" w:line="240" w:before="240" w:after="283"/>
        <w:ind w:left="0" w:right="0" w:hanging="720"/>
        <w:jc w:val="both"/>
        <w:rPr/>
      </w:pPr>
      <w:r>
        <w:rPr>
          <w:rFonts w:ascii="Arial;sans-serif" w:hAnsi="Arial;sans-serif"/>
          <w:b w:val="false"/>
          <w:color w:val="000000"/>
          <w:sz w:val="20"/>
        </w:rPr>
        <w:t>ARTICLE NINETEEN - LANDLORD'S RESERVED RIGHTS    </w:t>
      </w:r>
      <w:hyperlink w:anchor="ic761b8a3131f4eae8add660a333b625f_7">
        <w:r>
          <w:rPr>
            <w:rStyle w:val="InternetLink"/>
            <w:rFonts w:ascii="Arial;sans-serif" w:hAnsi="Arial;sans-serif"/>
            <w:b w:val="false"/>
            <w:strike w:val="false"/>
            <w:dstrike w:val="false"/>
            <w:color w:val="000000"/>
            <w:sz w:val="20"/>
            <w:u w:val="none"/>
            <w:effect w:val="none"/>
          </w:rPr>
          <w:t>24</w:t>
        </w:r>
      </w:hyperlink>
    </w:p>
    <w:p>
      <w:pPr>
        <w:pStyle w:val="TextBody"/>
        <w:bidi w:val="0"/>
        <w:spacing w:lineRule="atLeast" w:line="240" w:before="240" w:after="283"/>
        <w:ind w:left="0" w:right="0" w:hanging="720"/>
        <w:jc w:val="both"/>
        <w:rPr/>
      </w:pPr>
      <w:r>
        <w:rPr>
          <w:rFonts w:ascii="Arial;sans-serif" w:hAnsi="Arial;sans-serif"/>
          <w:b w:val="false"/>
          <w:color w:val="000000"/>
          <w:sz w:val="20"/>
        </w:rPr>
        <w:t>ARTICLE TWENTY - ESTOPPEL CERTIFICATE    </w:t>
      </w:r>
      <w:hyperlink w:anchor="ic761b8a3131f4eae8add660a333b625f_7">
        <w:r>
          <w:rPr>
            <w:rStyle w:val="InternetLink"/>
            <w:rFonts w:ascii="Arial;sans-serif" w:hAnsi="Arial;sans-serif"/>
            <w:b w:val="false"/>
            <w:strike w:val="false"/>
            <w:dstrike w:val="false"/>
            <w:color w:val="000000"/>
            <w:sz w:val="20"/>
            <w:u w:val="none"/>
            <w:effect w:val="none"/>
          </w:rPr>
          <w:t>24</w:t>
        </w:r>
      </w:hyperlink>
    </w:p>
    <w:p>
      <w:pPr>
        <w:pStyle w:val="TextBody"/>
        <w:bidi w:val="0"/>
        <w:spacing w:lineRule="atLeast" w:line="240" w:before="0" w:after="0"/>
        <w:ind w:left="0" w:right="0" w:hanging="720"/>
        <w:jc w:val="both"/>
        <w:rPr/>
      </w:pPr>
      <w:r>
        <w:rPr>
          <w:rFonts w:ascii="Arial;sans-serif" w:hAnsi="Arial;sans-serif"/>
          <w:b w:val="false"/>
          <w:color w:val="000000"/>
          <w:sz w:val="20"/>
        </w:rPr>
        <w:t>20.01</w:t>
      </w:r>
      <w:r>
        <w:rPr>
          <w:color w:val="000000"/>
        </w:rPr>
        <w:t>    </w:t>
      </w:r>
      <w:r>
        <w:rPr>
          <w:rFonts w:ascii="Arial;sans-serif" w:hAnsi="Arial;sans-serif"/>
          <w:b w:val="false"/>
          <w:color w:val="000000"/>
          <w:sz w:val="20"/>
        </w:rPr>
        <w:t>IN GENERAL    </w:t>
      </w:r>
      <w:hyperlink w:anchor="ic761b8a3131f4eae8add660a333b625f_7">
        <w:r>
          <w:rPr>
            <w:rStyle w:val="InternetLink"/>
            <w:rFonts w:ascii="Arial;sans-serif" w:hAnsi="Arial;sans-serif"/>
            <w:b w:val="false"/>
            <w:strike w:val="false"/>
            <w:dstrike w:val="false"/>
            <w:color w:val="000000"/>
            <w:sz w:val="20"/>
            <w:u w:val="none"/>
            <w:effect w:val="none"/>
          </w:rPr>
          <w:t>24</w:t>
        </w:r>
      </w:hyperlink>
    </w:p>
    <w:p>
      <w:pPr>
        <w:pStyle w:val="TextBody"/>
        <w:bidi w:val="0"/>
        <w:spacing w:lineRule="atLeast" w:line="240" w:before="0" w:after="0"/>
        <w:ind w:left="0" w:right="0" w:hanging="720"/>
        <w:jc w:val="both"/>
        <w:rPr/>
      </w:pPr>
      <w:r>
        <w:rPr>
          <w:rFonts w:ascii="Arial;sans-serif" w:hAnsi="Arial;sans-serif"/>
          <w:b w:val="false"/>
          <w:color w:val="000000"/>
          <w:sz w:val="20"/>
        </w:rPr>
        <w:t>20.02</w:t>
      </w:r>
      <w:r>
        <w:rPr>
          <w:color w:val="000000"/>
        </w:rPr>
        <w:t>    </w:t>
      </w:r>
      <w:r>
        <w:rPr>
          <w:rFonts w:ascii="Arial;sans-serif" w:hAnsi="Arial;sans-serif"/>
          <w:b w:val="false"/>
          <w:color w:val="000000"/>
          <w:sz w:val="20"/>
        </w:rPr>
        <w:t>ENFORCEMENT    </w:t>
      </w:r>
      <w:hyperlink w:anchor="ic761b8a3131f4eae8add660a333b625f_7">
        <w:r>
          <w:rPr>
            <w:rStyle w:val="InternetLink"/>
            <w:rFonts w:ascii="Arial;sans-serif" w:hAnsi="Arial;sans-serif"/>
            <w:b w:val="false"/>
            <w:strike w:val="false"/>
            <w:dstrike w:val="false"/>
            <w:color w:val="000000"/>
            <w:sz w:val="20"/>
            <w:u w:val="none"/>
            <w:effect w:val="none"/>
          </w:rPr>
          <w:t>25</w:t>
        </w:r>
      </w:hyperlink>
    </w:p>
    <w:p>
      <w:pPr>
        <w:pStyle w:val="TextBody"/>
        <w:bidi w:val="0"/>
        <w:spacing w:lineRule="atLeast" w:line="240" w:before="240" w:after="283"/>
        <w:ind w:left="0" w:right="0" w:hanging="720"/>
        <w:jc w:val="both"/>
        <w:rPr/>
      </w:pPr>
      <w:r>
        <w:rPr>
          <w:rFonts w:ascii="Arial;sans-serif" w:hAnsi="Arial;sans-serif"/>
          <w:b w:val="false"/>
          <w:color w:val="000000"/>
          <w:sz w:val="20"/>
        </w:rPr>
        <w:t>ARTICLE TWENTY-ONE – INTENTIONALLY OMITTED    </w:t>
      </w:r>
      <w:hyperlink w:anchor="ic761b8a3131f4eae8add660a333b625f_7">
        <w:r>
          <w:rPr>
            <w:rStyle w:val="InternetLink"/>
            <w:rFonts w:ascii="Arial;sans-serif" w:hAnsi="Arial;sans-serif"/>
            <w:b w:val="false"/>
            <w:strike w:val="false"/>
            <w:dstrike w:val="false"/>
            <w:color w:val="000000"/>
            <w:sz w:val="20"/>
            <w:u w:val="none"/>
            <w:effect w:val="none"/>
          </w:rPr>
          <w:t>25</w:t>
        </w:r>
      </w:hyperlink>
    </w:p>
    <w:p>
      <w:pPr>
        <w:pStyle w:val="TextBody"/>
        <w:bidi w:val="0"/>
        <w:spacing w:lineRule="atLeast" w:line="240" w:before="240" w:after="283"/>
        <w:ind w:left="0" w:right="0" w:hanging="720"/>
        <w:jc w:val="both"/>
        <w:rPr/>
      </w:pPr>
      <w:r>
        <w:rPr>
          <w:rFonts w:ascii="Arial;sans-serif" w:hAnsi="Arial;sans-serif"/>
          <w:b w:val="false"/>
          <w:color w:val="000000"/>
          <w:sz w:val="20"/>
        </w:rPr>
        <w:t>ARTICLE TWENTY-TWO - REAL ESTATE BROKERS    </w:t>
      </w:r>
      <w:hyperlink w:anchor="ic761b8a3131f4eae8add660a333b625f_7">
        <w:r>
          <w:rPr>
            <w:rStyle w:val="InternetLink"/>
            <w:rFonts w:ascii="Arial;sans-serif" w:hAnsi="Arial;sans-serif"/>
            <w:b w:val="false"/>
            <w:strike w:val="false"/>
            <w:dstrike w:val="false"/>
            <w:color w:val="000000"/>
            <w:sz w:val="20"/>
            <w:u w:val="none"/>
            <w:effect w:val="none"/>
          </w:rPr>
          <w:t>25</w:t>
        </w:r>
      </w:hyperlink>
    </w:p>
    <w:p>
      <w:pPr>
        <w:pStyle w:val="TextBody"/>
        <w:bidi w:val="0"/>
        <w:spacing w:lineRule="atLeast" w:line="240" w:before="240" w:after="283"/>
        <w:ind w:left="0" w:right="0" w:hanging="720"/>
        <w:jc w:val="both"/>
        <w:rPr/>
      </w:pPr>
      <w:r>
        <w:rPr>
          <w:rFonts w:ascii="Arial;sans-serif" w:hAnsi="Arial;sans-serif"/>
          <w:b w:val="false"/>
          <w:color w:val="000000"/>
          <w:sz w:val="20"/>
        </w:rPr>
        <w:t>ARTICLE TWENTY-THREE - MORTGAGEE PROTECTION    </w:t>
      </w:r>
      <w:hyperlink w:anchor="ic761b8a3131f4eae8add660a333b625f_7">
        <w:r>
          <w:rPr>
            <w:rStyle w:val="InternetLink"/>
            <w:rFonts w:ascii="Arial;sans-serif" w:hAnsi="Arial;sans-serif"/>
            <w:b w:val="false"/>
            <w:strike w:val="false"/>
            <w:dstrike w:val="false"/>
            <w:color w:val="000000"/>
            <w:sz w:val="20"/>
            <w:u w:val="none"/>
            <w:effect w:val="none"/>
          </w:rPr>
          <w:t>25</w:t>
        </w:r>
      </w:hyperlink>
    </w:p>
    <w:p>
      <w:pPr>
        <w:pStyle w:val="TextBody"/>
        <w:bidi w:val="0"/>
        <w:spacing w:lineRule="atLeast" w:line="240" w:before="0" w:after="0"/>
        <w:ind w:left="0" w:right="0" w:hanging="720"/>
        <w:jc w:val="both"/>
        <w:rPr/>
      </w:pPr>
      <w:r>
        <w:rPr>
          <w:rFonts w:ascii="Arial;sans-serif" w:hAnsi="Arial;sans-serif"/>
          <w:b w:val="false"/>
          <w:color w:val="000000"/>
          <w:sz w:val="20"/>
        </w:rPr>
        <w:t>23.01</w:t>
      </w:r>
      <w:r>
        <w:rPr>
          <w:color w:val="000000"/>
        </w:rPr>
        <w:t>    </w:t>
      </w:r>
      <w:r>
        <w:rPr>
          <w:rFonts w:ascii="Arial;sans-serif" w:hAnsi="Arial;sans-serif"/>
          <w:b w:val="false"/>
          <w:color w:val="000000"/>
          <w:sz w:val="20"/>
        </w:rPr>
        <w:t>SUBORDINATION AND ATTORNMENT    </w:t>
      </w:r>
      <w:hyperlink w:anchor="ic761b8a3131f4eae8add660a333b625f_7">
        <w:r>
          <w:rPr>
            <w:rStyle w:val="InternetLink"/>
            <w:rFonts w:ascii="Arial;sans-serif" w:hAnsi="Arial;sans-serif"/>
            <w:b w:val="false"/>
            <w:strike w:val="false"/>
            <w:dstrike w:val="false"/>
            <w:color w:val="000000"/>
            <w:sz w:val="20"/>
            <w:u w:val="none"/>
            <w:effect w:val="none"/>
          </w:rPr>
          <w:t>25</w:t>
        </w:r>
      </w:hyperlink>
    </w:p>
    <w:p>
      <w:pPr>
        <w:pStyle w:val="TextBody"/>
        <w:bidi w:val="0"/>
        <w:spacing w:lineRule="atLeast" w:line="240" w:before="0" w:after="0"/>
        <w:ind w:left="0" w:right="0" w:hanging="720"/>
        <w:jc w:val="both"/>
        <w:rPr/>
      </w:pPr>
      <w:r>
        <w:rPr>
          <w:rFonts w:ascii="Arial;sans-serif" w:hAnsi="Arial;sans-serif"/>
          <w:b w:val="false"/>
          <w:color w:val="000000"/>
          <w:sz w:val="20"/>
        </w:rPr>
        <w:t>23.02</w:t>
      </w:r>
      <w:r>
        <w:rPr>
          <w:color w:val="000000"/>
        </w:rPr>
        <w:t>    </w:t>
      </w:r>
      <w:r>
        <w:rPr>
          <w:rFonts w:ascii="Arial;sans-serif" w:hAnsi="Arial;sans-serif"/>
          <w:b w:val="false"/>
          <w:color w:val="000000"/>
          <w:sz w:val="20"/>
        </w:rPr>
        <w:t>MORTGAGEE PROTECTION    </w:t>
      </w:r>
      <w:hyperlink w:anchor="ic761b8a3131f4eae8add660a333b625f_7">
        <w:r>
          <w:rPr>
            <w:rStyle w:val="InternetLink"/>
            <w:rFonts w:ascii="Arial;sans-serif" w:hAnsi="Arial;sans-serif"/>
            <w:b w:val="false"/>
            <w:strike w:val="false"/>
            <w:dstrike w:val="false"/>
            <w:color w:val="000000"/>
            <w:sz w:val="20"/>
            <w:u w:val="none"/>
            <w:effect w:val="none"/>
          </w:rPr>
          <w:t>25</w:t>
        </w:r>
      </w:hyperlink>
    </w:p>
    <w:p>
      <w:pPr>
        <w:pStyle w:val="TextBody"/>
        <w:bidi w:val="0"/>
        <w:spacing w:lineRule="atLeast" w:line="240" w:before="240" w:after="283"/>
        <w:ind w:left="0" w:right="0" w:hanging="720"/>
        <w:jc w:val="both"/>
        <w:rPr/>
      </w:pPr>
      <w:r>
        <w:rPr>
          <w:rFonts w:ascii="Arial;sans-serif" w:hAnsi="Arial;sans-serif"/>
          <w:b w:val="false"/>
          <w:color w:val="000000"/>
          <w:sz w:val="20"/>
        </w:rPr>
        <w:t>ARTICLE TWENTY-FOUR - NOTICES    </w:t>
      </w:r>
      <w:hyperlink w:anchor="ic761b8a3131f4eae8add660a333b625f_7">
        <w:r>
          <w:rPr>
            <w:rStyle w:val="InternetLink"/>
            <w:rFonts w:ascii="Arial;sans-serif" w:hAnsi="Arial;sans-serif"/>
            <w:b w:val="false"/>
            <w:strike w:val="false"/>
            <w:dstrike w:val="false"/>
            <w:color w:val="000000"/>
            <w:sz w:val="20"/>
            <w:u w:val="none"/>
            <w:effect w:val="none"/>
          </w:rPr>
          <w:t>25</w:t>
        </w:r>
      </w:hyperlink>
    </w:p>
    <w:p>
      <w:pPr>
        <w:pStyle w:val="TextBody"/>
        <w:bidi w:val="0"/>
        <w:spacing w:lineRule="atLeast" w:line="240" w:before="240" w:after="283"/>
        <w:ind w:left="0" w:right="0" w:hanging="720"/>
        <w:jc w:val="both"/>
        <w:rPr/>
      </w:pPr>
      <w:r>
        <w:rPr>
          <w:rFonts w:ascii="Arial;sans-serif" w:hAnsi="Arial;sans-serif"/>
          <w:b w:val="false"/>
          <w:color w:val="000000"/>
          <w:sz w:val="20"/>
        </w:rPr>
        <w:t>ARTICLE TWENTY-FIVE – SANCTIONS LIST    </w:t>
      </w:r>
      <w:hyperlink w:anchor="ic761b8a3131f4eae8add660a333b625f_7">
        <w:r>
          <w:rPr>
            <w:rStyle w:val="InternetLink"/>
            <w:rFonts w:ascii="Arial;sans-serif" w:hAnsi="Arial;sans-serif"/>
            <w:b w:val="false"/>
            <w:strike w:val="false"/>
            <w:dstrike w:val="false"/>
            <w:color w:val="000000"/>
            <w:sz w:val="20"/>
            <w:u w:val="none"/>
            <w:effect w:val="none"/>
          </w:rPr>
          <w:t>26</w:t>
        </w:r>
      </w:hyperlink>
    </w:p>
    <w:p>
      <w:pPr>
        <w:pStyle w:val="TextBody"/>
        <w:bidi w:val="0"/>
        <w:spacing w:lineRule="atLeast" w:line="240" w:before="240" w:after="283"/>
        <w:ind w:left="0" w:right="0" w:hanging="720"/>
        <w:jc w:val="both"/>
        <w:rPr/>
      </w:pPr>
      <w:r>
        <w:rPr>
          <w:rFonts w:ascii="Arial;sans-serif" w:hAnsi="Arial;sans-serif"/>
          <w:b w:val="false"/>
          <w:color w:val="000000"/>
          <w:sz w:val="20"/>
        </w:rPr>
        <w:t>ARTICLE TWENTY-SIX - MISCELLANEOUS    </w:t>
      </w:r>
      <w:hyperlink w:anchor="ic761b8a3131f4eae8add660a333b625f_7">
        <w:r>
          <w:rPr>
            <w:rStyle w:val="InternetLink"/>
            <w:rFonts w:ascii="Arial;sans-serif" w:hAnsi="Arial;sans-serif"/>
            <w:b w:val="false"/>
            <w:strike w:val="false"/>
            <w:dstrike w:val="false"/>
            <w:color w:val="000000"/>
            <w:sz w:val="20"/>
            <w:u w:val="none"/>
            <w:effect w:val="none"/>
          </w:rPr>
          <w:t>26</w:t>
        </w:r>
      </w:hyperlink>
    </w:p>
    <w:p>
      <w:pPr>
        <w:pStyle w:val="TextBody"/>
        <w:bidi w:val="0"/>
        <w:spacing w:lineRule="atLeast" w:line="240" w:before="0" w:after="0"/>
        <w:ind w:left="0" w:right="0" w:hanging="720"/>
        <w:jc w:val="both"/>
        <w:rPr/>
      </w:pPr>
      <w:r>
        <w:rPr>
          <w:rFonts w:ascii="Arial;sans-serif" w:hAnsi="Arial;sans-serif"/>
          <w:b w:val="false"/>
          <w:color w:val="000000"/>
          <w:sz w:val="20"/>
        </w:rPr>
        <w:t>26.01</w:t>
      </w:r>
      <w:r>
        <w:rPr>
          <w:color w:val="000000"/>
        </w:rPr>
        <w:t>    </w:t>
      </w:r>
      <w:r>
        <w:rPr>
          <w:rFonts w:ascii="Arial;sans-serif" w:hAnsi="Arial;sans-serif"/>
          <w:b w:val="false"/>
          <w:color w:val="000000"/>
          <w:sz w:val="20"/>
        </w:rPr>
        <w:t>LATE CHARGES    </w:t>
      </w:r>
      <w:hyperlink w:anchor="ic761b8a3131f4eae8add660a333b625f_7">
        <w:r>
          <w:rPr>
            <w:rStyle w:val="InternetLink"/>
            <w:rFonts w:ascii="Arial;sans-serif" w:hAnsi="Arial;sans-serif"/>
            <w:b w:val="false"/>
            <w:strike w:val="false"/>
            <w:dstrike w:val="false"/>
            <w:color w:val="000000"/>
            <w:sz w:val="20"/>
            <w:u w:val="none"/>
            <w:effect w:val="none"/>
          </w:rPr>
          <w:t>26</w:t>
        </w:r>
      </w:hyperlink>
    </w:p>
    <w:p>
      <w:pPr>
        <w:pStyle w:val="TextBody"/>
        <w:bidi w:val="0"/>
        <w:spacing w:lineRule="atLeast" w:line="240" w:before="0" w:after="0"/>
        <w:ind w:left="0" w:right="0" w:hanging="720"/>
        <w:jc w:val="both"/>
        <w:rPr/>
      </w:pPr>
      <w:r>
        <w:rPr>
          <w:rFonts w:ascii="Arial;sans-serif" w:hAnsi="Arial;sans-serif"/>
          <w:b w:val="false"/>
          <w:color w:val="000000"/>
          <w:sz w:val="20"/>
        </w:rPr>
        <w:t>26.02</w:t>
      </w:r>
      <w:r>
        <w:rPr>
          <w:color w:val="000000"/>
        </w:rPr>
        <w:t>    </w:t>
      </w:r>
      <w:r>
        <w:rPr>
          <w:rFonts w:ascii="Arial;sans-serif" w:hAnsi="Arial;sans-serif"/>
          <w:b w:val="false"/>
          <w:color w:val="000000"/>
          <w:sz w:val="20"/>
        </w:rPr>
        <w:t>NO JURY TRIAL; VENUE; JURISDICTION    </w:t>
      </w:r>
      <w:hyperlink w:anchor="ic761b8a3131f4eae8add660a333b625f_7">
        <w:r>
          <w:rPr>
            <w:rStyle w:val="InternetLink"/>
            <w:rFonts w:ascii="Arial;sans-serif" w:hAnsi="Arial;sans-serif"/>
            <w:b w:val="false"/>
            <w:strike w:val="false"/>
            <w:dstrike w:val="false"/>
            <w:color w:val="000000"/>
            <w:sz w:val="20"/>
            <w:u w:val="none"/>
            <w:effect w:val="none"/>
          </w:rPr>
          <w:t>27</w:t>
        </w:r>
      </w:hyperlink>
    </w:p>
    <w:p>
      <w:pPr>
        <w:pStyle w:val="TextBody"/>
        <w:bidi w:val="0"/>
        <w:spacing w:lineRule="atLeast" w:line="240" w:before="0" w:after="0"/>
        <w:ind w:left="0" w:right="0" w:hanging="720"/>
        <w:jc w:val="both"/>
        <w:rPr/>
      </w:pPr>
      <w:r>
        <w:rPr>
          <w:rFonts w:ascii="Arial;sans-serif" w:hAnsi="Arial;sans-serif"/>
          <w:b w:val="false"/>
          <w:color w:val="000000"/>
          <w:sz w:val="20"/>
        </w:rPr>
        <w:t>26.03</w:t>
      </w:r>
      <w:r>
        <w:rPr>
          <w:color w:val="000000"/>
        </w:rPr>
        <w:t>    </w:t>
      </w:r>
      <w:r>
        <w:rPr>
          <w:rFonts w:ascii="Arial;sans-serif" w:hAnsi="Arial;sans-serif"/>
          <w:b w:val="false"/>
          <w:color w:val="000000"/>
          <w:sz w:val="20"/>
        </w:rPr>
        <w:t>DEFAULT UNDER OTHER LEASE    </w:t>
      </w:r>
      <w:hyperlink w:anchor="ic761b8a3131f4eae8add660a333b625f_7">
        <w:r>
          <w:rPr>
            <w:rStyle w:val="InternetLink"/>
            <w:rFonts w:ascii="Arial;sans-serif" w:hAnsi="Arial;sans-serif"/>
            <w:b w:val="false"/>
            <w:strike w:val="false"/>
            <w:dstrike w:val="false"/>
            <w:color w:val="000000"/>
            <w:sz w:val="20"/>
            <w:u w:val="none"/>
            <w:effect w:val="none"/>
          </w:rPr>
          <w:t>27</w:t>
        </w:r>
      </w:hyperlink>
    </w:p>
    <w:p>
      <w:pPr>
        <w:pStyle w:val="TextBody"/>
        <w:bidi w:val="0"/>
        <w:spacing w:lineRule="atLeast" w:line="240" w:before="0" w:after="0"/>
        <w:ind w:left="0" w:right="0" w:hanging="720"/>
        <w:jc w:val="both"/>
        <w:rPr/>
      </w:pPr>
      <w:r>
        <w:rPr>
          <w:rFonts w:ascii="Arial;sans-serif" w:hAnsi="Arial;sans-serif"/>
          <w:b w:val="false"/>
          <w:color w:val="000000"/>
          <w:sz w:val="20"/>
        </w:rPr>
        <w:t>26.04</w:t>
      </w:r>
      <w:r>
        <w:rPr>
          <w:color w:val="000000"/>
        </w:rPr>
        <w:t>    </w:t>
      </w:r>
      <w:r>
        <w:rPr>
          <w:rFonts w:ascii="Arial;sans-serif" w:hAnsi="Arial;sans-serif"/>
          <w:b w:val="false"/>
          <w:color w:val="000000"/>
          <w:sz w:val="20"/>
        </w:rPr>
        <w:t>OPTION    </w:t>
      </w:r>
      <w:hyperlink w:anchor="ic761b8a3131f4eae8add660a333b625f_7">
        <w:r>
          <w:rPr>
            <w:rStyle w:val="InternetLink"/>
            <w:rFonts w:ascii="Arial;sans-serif" w:hAnsi="Arial;sans-serif"/>
            <w:b w:val="false"/>
            <w:strike w:val="false"/>
            <w:dstrike w:val="false"/>
            <w:color w:val="000000"/>
            <w:sz w:val="20"/>
            <w:u w:val="none"/>
            <w:effect w:val="none"/>
          </w:rPr>
          <w:t>27</w:t>
        </w:r>
      </w:hyperlink>
    </w:p>
    <w:p>
      <w:pPr>
        <w:pStyle w:val="TextBody"/>
        <w:bidi w:val="0"/>
        <w:spacing w:lineRule="atLeast" w:line="240" w:before="0" w:after="0"/>
        <w:ind w:left="0" w:right="0" w:hanging="720"/>
        <w:jc w:val="both"/>
        <w:rPr/>
      </w:pPr>
      <w:r>
        <w:rPr>
          <w:rFonts w:ascii="Arial;sans-serif" w:hAnsi="Arial;sans-serif"/>
          <w:b w:val="false"/>
          <w:color w:val="000000"/>
          <w:sz w:val="20"/>
        </w:rPr>
        <w:t>26.05</w:t>
      </w:r>
      <w:r>
        <w:rPr>
          <w:color w:val="000000"/>
        </w:rPr>
        <w:t>    </w:t>
      </w:r>
      <w:r>
        <w:rPr>
          <w:rFonts w:ascii="Arial;sans-serif" w:hAnsi="Arial;sans-serif"/>
          <w:b w:val="false"/>
          <w:color w:val="000000"/>
          <w:sz w:val="20"/>
        </w:rPr>
        <w:t>TENANT AUTHORITY    </w:t>
      </w:r>
      <w:hyperlink w:anchor="ic761b8a3131f4eae8add660a333b625f_7">
        <w:r>
          <w:rPr>
            <w:rStyle w:val="InternetLink"/>
            <w:rFonts w:ascii="Arial;sans-serif" w:hAnsi="Arial;sans-serif"/>
            <w:b w:val="false"/>
            <w:strike w:val="false"/>
            <w:dstrike w:val="false"/>
            <w:color w:val="000000"/>
            <w:sz w:val="20"/>
            <w:u w:val="none"/>
            <w:effect w:val="none"/>
          </w:rPr>
          <w:t>27</w:t>
        </w:r>
      </w:hyperlink>
    </w:p>
    <w:p>
      <w:pPr>
        <w:pStyle w:val="TextBody"/>
        <w:bidi w:val="0"/>
        <w:spacing w:lineRule="atLeast" w:line="240" w:before="0" w:after="0"/>
        <w:ind w:left="0" w:right="0" w:hanging="720"/>
        <w:jc w:val="both"/>
        <w:rPr/>
      </w:pPr>
      <w:r>
        <w:rPr>
          <w:rFonts w:ascii="Arial;sans-serif" w:hAnsi="Arial;sans-serif"/>
          <w:b w:val="false"/>
          <w:color w:val="000000"/>
          <w:sz w:val="20"/>
        </w:rPr>
        <w:t>26.06</w:t>
      </w:r>
      <w:r>
        <w:rPr>
          <w:color w:val="000000"/>
        </w:rPr>
        <w:t>    </w:t>
      </w:r>
      <w:r>
        <w:rPr>
          <w:rFonts w:ascii="Arial;sans-serif" w:hAnsi="Arial;sans-serif"/>
          <w:b w:val="false"/>
          <w:color w:val="000000"/>
          <w:sz w:val="20"/>
        </w:rPr>
        <w:t>ENTIRE AGREEMENT    </w:t>
      </w:r>
      <w:hyperlink w:anchor="ic761b8a3131f4eae8add660a333b625f_7">
        <w:r>
          <w:rPr>
            <w:rStyle w:val="InternetLink"/>
            <w:rFonts w:ascii="Arial;sans-serif" w:hAnsi="Arial;sans-serif"/>
            <w:b w:val="false"/>
            <w:strike w:val="false"/>
            <w:dstrike w:val="false"/>
            <w:color w:val="000000"/>
            <w:sz w:val="20"/>
            <w:u w:val="none"/>
            <w:effect w:val="none"/>
          </w:rPr>
          <w:t>27</w:t>
        </w:r>
      </w:hyperlink>
    </w:p>
    <w:p>
      <w:pPr>
        <w:pStyle w:val="TextBody"/>
        <w:bidi w:val="0"/>
        <w:spacing w:lineRule="atLeast" w:line="240" w:before="0" w:after="0"/>
        <w:ind w:left="0" w:right="0" w:hanging="720"/>
        <w:jc w:val="both"/>
        <w:rPr/>
      </w:pPr>
      <w:r>
        <w:rPr>
          <w:rFonts w:ascii="Arial;sans-serif" w:hAnsi="Arial;sans-serif"/>
          <w:b w:val="false"/>
          <w:color w:val="000000"/>
          <w:sz w:val="20"/>
        </w:rPr>
        <w:t>26.07</w:t>
      </w:r>
      <w:r>
        <w:rPr>
          <w:color w:val="000000"/>
        </w:rPr>
        <w:t>    </w:t>
      </w:r>
      <w:r>
        <w:rPr>
          <w:rFonts w:ascii="Arial;sans-serif" w:hAnsi="Arial;sans-serif"/>
          <w:b w:val="false"/>
          <w:color w:val="000000"/>
          <w:sz w:val="20"/>
        </w:rPr>
        <w:t>MODIFICATION OF LEASE FOR BENEFIT OF MORTGAGEE    </w:t>
      </w:r>
      <w:hyperlink w:anchor="ic761b8a3131f4eae8add660a333b625f_7">
        <w:r>
          <w:rPr>
            <w:rStyle w:val="InternetLink"/>
            <w:rFonts w:ascii="Arial;sans-serif" w:hAnsi="Arial;sans-serif"/>
            <w:b w:val="false"/>
            <w:strike w:val="false"/>
            <w:dstrike w:val="false"/>
            <w:color w:val="000000"/>
            <w:sz w:val="20"/>
            <w:u w:val="none"/>
            <w:effect w:val="none"/>
          </w:rPr>
          <w:t>27</w:t>
        </w:r>
      </w:hyperlink>
    </w:p>
    <w:p>
      <w:pPr>
        <w:pStyle w:val="TextBody"/>
        <w:bidi w:val="0"/>
        <w:spacing w:lineRule="atLeast" w:line="240" w:before="0" w:after="0"/>
        <w:ind w:left="0" w:right="0" w:hanging="720"/>
        <w:jc w:val="both"/>
        <w:rPr/>
      </w:pPr>
      <w:r>
        <w:rPr>
          <w:rFonts w:ascii="Arial;sans-serif" w:hAnsi="Arial;sans-serif"/>
          <w:b w:val="false"/>
          <w:color w:val="000000"/>
          <w:sz w:val="20"/>
        </w:rPr>
        <w:t>26.08</w:t>
      </w:r>
      <w:r>
        <w:rPr>
          <w:color w:val="000000"/>
        </w:rPr>
        <w:t>    </w:t>
      </w:r>
      <w:r>
        <w:rPr>
          <w:rFonts w:ascii="Arial;sans-serif" w:hAnsi="Arial;sans-serif"/>
          <w:b w:val="false"/>
          <w:color w:val="000000"/>
          <w:sz w:val="20"/>
        </w:rPr>
        <w:t>EXCULPATION    </w:t>
      </w:r>
      <w:hyperlink w:anchor="ic761b8a3131f4eae8add660a333b625f_7">
        <w:r>
          <w:rPr>
            <w:rStyle w:val="InternetLink"/>
            <w:rFonts w:ascii="Arial;sans-serif" w:hAnsi="Arial;sans-serif"/>
            <w:b w:val="false"/>
            <w:strike w:val="false"/>
            <w:dstrike w:val="false"/>
            <w:color w:val="000000"/>
            <w:sz w:val="20"/>
            <w:u w:val="none"/>
            <w:effect w:val="none"/>
          </w:rPr>
          <w:t>27</w:t>
        </w:r>
      </w:hyperlink>
    </w:p>
    <w:p>
      <w:pPr>
        <w:pStyle w:val="TextBody"/>
        <w:bidi w:val="0"/>
        <w:spacing w:lineRule="atLeast" w:line="240" w:before="0" w:after="0"/>
        <w:ind w:left="0" w:right="0" w:hanging="720"/>
        <w:jc w:val="both"/>
        <w:rPr/>
      </w:pPr>
      <w:r>
        <w:rPr>
          <w:rFonts w:ascii="Arial;sans-serif" w:hAnsi="Arial;sans-serif"/>
          <w:b w:val="false"/>
          <w:color w:val="000000"/>
          <w:sz w:val="20"/>
        </w:rPr>
        <w:t>26.09</w:t>
      </w:r>
      <w:r>
        <w:rPr>
          <w:color w:val="000000"/>
        </w:rPr>
        <w:t>    </w:t>
      </w:r>
      <w:r>
        <w:rPr>
          <w:rFonts w:ascii="Arial;sans-serif" w:hAnsi="Arial;sans-serif"/>
          <w:b w:val="false"/>
          <w:color w:val="000000"/>
          <w:sz w:val="20"/>
        </w:rPr>
        <w:t>ACCORD AND SATISFACTION    </w:t>
      </w:r>
      <w:hyperlink w:anchor="ic761b8a3131f4eae8add660a333b625f_7">
        <w:r>
          <w:rPr>
            <w:rStyle w:val="InternetLink"/>
            <w:rFonts w:ascii="Arial;sans-serif" w:hAnsi="Arial;sans-serif"/>
            <w:b w:val="false"/>
            <w:strike w:val="false"/>
            <w:dstrike w:val="false"/>
            <w:color w:val="000000"/>
            <w:sz w:val="20"/>
            <w:u w:val="none"/>
            <w:effect w:val="none"/>
          </w:rPr>
          <w:t>27</w:t>
        </w:r>
      </w:hyperlink>
    </w:p>
    <w:p>
      <w:pPr>
        <w:pStyle w:val="TextBody"/>
        <w:bidi w:val="0"/>
        <w:spacing w:lineRule="atLeast" w:line="240" w:before="0" w:after="0"/>
        <w:ind w:left="0" w:right="0" w:hanging="720"/>
        <w:jc w:val="both"/>
        <w:rPr/>
      </w:pPr>
      <w:r>
        <w:rPr>
          <w:rFonts w:ascii="Arial;sans-serif" w:hAnsi="Arial;sans-serif"/>
          <w:b w:val="false"/>
          <w:color w:val="000000"/>
          <w:sz w:val="20"/>
        </w:rPr>
        <w:t>26.10</w:t>
      </w:r>
      <w:r>
        <w:rPr>
          <w:color w:val="000000"/>
        </w:rPr>
        <w:t>    </w:t>
      </w:r>
      <w:r>
        <w:rPr>
          <w:rFonts w:ascii="Arial;sans-serif" w:hAnsi="Arial;sans-serif"/>
          <w:b w:val="false"/>
          <w:color w:val="000000"/>
          <w:sz w:val="20"/>
        </w:rPr>
        <w:t>LANDLORD'S OBLIGATIONS ON SALE OF BUILDING    </w:t>
      </w:r>
      <w:hyperlink w:anchor="ic761b8a3131f4eae8add660a333b625f_7">
        <w:r>
          <w:rPr>
            <w:rStyle w:val="InternetLink"/>
            <w:rFonts w:ascii="Arial;sans-serif" w:hAnsi="Arial;sans-serif"/>
            <w:b w:val="false"/>
            <w:strike w:val="false"/>
            <w:dstrike w:val="false"/>
            <w:color w:val="000000"/>
            <w:sz w:val="20"/>
            <w:u w:val="none"/>
            <w:effect w:val="none"/>
          </w:rPr>
          <w:t>27</w:t>
        </w:r>
      </w:hyperlink>
    </w:p>
    <w:p>
      <w:pPr>
        <w:pStyle w:val="TextBody"/>
        <w:bidi w:val="0"/>
        <w:spacing w:lineRule="atLeast" w:line="240" w:before="0" w:after="0"/>
        <w:ind w:left="0" w:right="0" w:hanging="720"/>
        <w:jc w:val="both"/>
        <w:rPr/>
      </w:pPr>
      <w:r>
        <w:rPr>
          <w:rFonts w:ascii="Arial;sans-serif" w:hAnsi="Arial;sans-serif"/>
          <w:b w:val="false"/>
          <w:color w:val="000000"/>
          <w:sz w:val="20"/>
        </w:rPr>
        <w:t>26.11</w:t>
      </w:r>
      <w:r>
        <w:rPr>
          <w:color w:val="000000"/>
        </w:rPr>
        <w:t>    </w:t>
      </w:r>
      <w:r>
        <w:rPr>
          <w:rFonts w:ascii="Arial;sans-serif" w:hAnsi="Arial;sans-serif"/>
          <w:b w:val="false"/>
          <w:color w:val="000000"/>
          <w:sz w:val="20"/>
        </w:rPr>
        <w:t>BINDING EFFECT    </w:t>
      </w:r>
      <w:hyperlink w:anchor="ic761b8a3131f4eae8add660a333b625f_7">
        <w:r>
          <w:rPr>
            <w:rStyle w:val="InternetLink"/>
            <w:rFonts w:ascii="Arial;sans-serif" w:hAnsi="Arial;sans-serif"/>
            <w:b w:val="false"/>
            <w:strike w:val="false"/>
            <w:dstrike w:val="false"/>
            <w:color w:val="000000"/>
            <w:sz w:val="20"/>
            <w:u w:val="none"/>
            <w:effect w:val="none"/>
          </w:rPr>
          <w:t>28</w:t>
        </w:r>
      </w:hyperlink>
    </w:p>
    <w:p>
      <w:pPr>
        <w:pStyle w:val="TextBody"/>
        <w:bidi w:val="0"/>
        <w:spacing w:lineRule="atLeast" w:line="240" w:before="0" w:after="0"/>
        <w:ind w:left="0" w:right="0" w:hanging="720"/>
        <w:jc w:val="both"/>
        <w:rPr/>
      </w:pPr>
      <w:r>
        <w:rPr>
          <w:rFonts w:ascii="Arial;sans-serif" w:hAnsi="Arial;sans-serif"/>
          <w:b w:val="false"/>
          <w:color w:val="000000"/>
          <w:sz w:val="20"/>
        </w:rPr>
        <w:t>26.12</w:t>
      </w:r>
      <w:r>
        <w:rPr>
          <w:color w:val="000000"/>
        </w:rPr>
        <w:t>    </w:t>
      </w:r>
      <w:r>
        <w:rPr>
          <w:rFonts w:ascii="Arial;sans-serif" w:hAnsi="Arial;sans-serif"/>
          <w:b w:val="false"/>
          <w:color w:val="000000"/>
          <w:sz w:val="20"/>
        </w:rPr>
        <w:t>CAPTIONS    </w:t>
      </w:r>
      <w:hyperlink w:anchor="ic761b8a3131f4eae8add660a333b625f_7">
        <w:r>
          <w:rPr>
            <w:rStyle w:val="InternetLink"/>
            <w:rFonts w:ascii="Arial;sans-serif" w:hAnsi="Arial;sans-serif"/>
            <w:b w:val="false"/>
            <w:strike w:val="false"/>
            <w:dstrike w:val="false"/>
            <w:color w:val="000000"/>
            <w:sz w:val="20"/>
            <w:u w:val="none"/>
            <w:effect w:val="none"/>
          </w:rPr>
          <w:t>28</w:t>
        </w:r>
      </w:hyperlink>
    </w:p>
    <w:p>
      <w:pPr>
        <w:pStyle w:val="TextBody"/>
        <w:bidi w:val="0"/>
        <w:spacing w:lineRule="atLeast" w:line="240" w:before="0" w:after="0"/>
        <w:ind w:left="0" w:right="0" w:hanging="720"/>
        <w:jc w:val="both"/>
        <w:rPr/>
      </w:pPr>
      <w:r>
        <w:rPr>
          <w:rFonts w:ascii="Arial;sans-serif" w:hAnsi="Arial;sans-serif"/>
          <w:b w:val="false"/>
          <w:color w:val="000000"/>
          <w:sz w:val="20"/>
        </w:rPr>
        <w:t>26.13</w:t>
      </w:r>
      <w:r>
        <w:rPr>
          <w:color w:val="000000"/>
        </w:rPr>
        <w:t>    </w:t>
      </w:r>
      <w:r>
        <w:rPr>
          <w:rFonts w:ascii="Arial;sans-serif" w:hAnsi="Arial;sans-serif"/>
          <w:b w:val="false"/>
          <w:color w:val="000000"/>
          <w:sz w:val="20"/>
        </w:rPr>
        <w:t>TIME; APPLICABLE LAW; CONSTRUCTION    </w:t>
      </w:r>
      <w:hyperlink w:anchor="ic761b8a3131f4eae8add660a333b625f_7">
        <w:r>
          <w:rPr>
            <w:rStyle w:val="InternetLink"/>
            <w:rFonts w:ascii="Arial;sans-serif" w:hAnsi="Arial;sans-serif"/>
            <w:b w:val="false"/>
            <w:strike w:val="false"/>
            <w:dstrike w:val="false"/>
            <w:color w:val="000000"/>
            <w:sz w:val="20"/>
            <w:u w:val="none"/>
            <w:effect w:val="none"/>
          </w:rPr>
          <w:t>28</w:t>
        </w:r>
      </w:hyperlink>
    </w:p>
    <w:p>
      <w:pPr>
        <w:pStyle w:val="TextBody"/>
        <w:bidi w:val="0"/>
        <w:spacing w:lineRule="atLeast" w:line="240" w:before="0" w:after="0"/>
        <w:ind w:left="0" w:right="0" w:hanging="720"/>
        <w:jc w:val="both"/>
        <w:rPr/>
      </w:pPr>
      <w:r>
        <w:rPr>
          <w:rFonts w:ascii="Arial;sans-serif" w:hAnsi="Arial;sans-serif"/>
          <w:b w:val="false"/>
          <w:color w:val="000000"/>
          <w:sz w:val="20"/>
        </w:rPr>
        <w:t>26.14</w:t>
      </w:r>
      <w:r>
        <w:rPr>
          <w:color w:val="000000"/>
        </w:rPr>
        <w:t>    </w:t>
      </w:r>
      <w:r>
        <w:rPr>
          <w:rFonts w:ascii="Arial;sans-serif" w:hAnsi="Arial;sans-serif"/>
          <w:b w:val="false"/>
          <w:color w:val="000000"/>
          <w:sz w:val="20"/>
        </w:rPr>
        <w:t>ABANDONMENT    </w:t>
      </w:r>
      <w:hyperlink w:anchor="ic761b8a3131f4eae8add660a333b625f_7">
        <w:r>
          <w:rPr>
            <w:rStyle w:val="InternetLink"/>
            <w:rFonts w:ascii="Arial;sans-serif" w:hAnsi="Arial;sans-serif"/>
            <w:b w:val="false"/>
            <w:strike w:val="false"/>
            <w:dstrike w:val="false"/>
            <w:color w:val="000000"/>
            <w:sz w:val="20"/>
            <w:u w:val="none"/>
            <w:effect w:val="none"/>
          </w:rPr>
          <w:t>28</w:t>
        </w:r>
      </w:hyperlink>
    </w:p>
    <w:p>
      <w:pPr>
        <w:pStyle w:val="TextBody"/>
        <w:bidi w:val="0"/>
        <w:spacing w:lineRule="atLeast" w:line="240" w:before="0" w:after="0"/>
        <w:ind w:left="0" w:right="0" w:hanging="720"/>
        <w:jc w:val="both"/>
        <w:rPr/>
      </w:pPr>
      <w:r>
        <w:rPr>
          <w:rFonts w:ascii="Arial;sans-serif" w:hAnsi="Arial;sans-serif"/>
          <w:b w:val="false"/>
          <w:color w:val="000000"/>
          <w:sz w:val="20"/>
        </w:rPr>
        <w:t>26.15</w:t>
      </w:r>
      <w:r>
        <w:rPr>
          <w:color w:val="000000"/>
        </w:rPr>
        <w:t>    </w:t>
      </w:r>
      <w:r>
        <w:rPr>
          <w:rFonts w:ascii="Arial;sans-serif" w:hAnsi="Arial;sans-serif"/>
          <w:b w:val="false"/>
          <w:color w:val="000000"/>
          <w:sz w:val="20"/>
        </w:rPr>
        <w:t>LANDLORD'S RIGHT TO PERFORM TENANT'S DUTIES    </w:t>
      </w:r>
      <w:hyperlink w:anchor="ic761b8a3131f4eae8add660a333b625f_7">
        <w:r>
          <w:rPr>
            <w:rStyle w:val="InternetLink"/>
            <w:rFonts w:ascii="Arial;sans-serif" w:hAnsi="Arial;sans-serif"/>
            <w:b w:val="false"/>
            <w:strike w:val="false"/>
            <w:dstrike w:val="false"/>
            <w:color w:val="000000"/>
            <w:sz w:val="20"/>
            <w:u w:val="none"/>
            <w:effect w:val="none"/>
          </w:rPr>
          <w:t>28</w:t>
        </w:r>
      </w:hyperlink>
    </w:p>
    <w:p>
      <w:pPr>
        <w:pStyle w:val="TextBody"/>
        <w:bidi w:val="0"/>
        <w:spacing w:lineRule="atLeast" w:line="240" w:before="0" w:after="0"/>
        <w:ind w:left="0" w:right="0" w:hanging="720"/>
        <w:jc w:val="both"/>
        <w:rPr/>
      </w:pPr>
      <w:r>
        <w:rPr>
          <w:rFonts w:ascii="Arial;sans-serif" w:hAnsi="Arial;sans-serif"/>
          <w:b w:val="false"/>
          <w:color w:val="000000"/>
          <w:sz w:val="20"/>
        </w:rPr>
        <w:t>26.16</w:t>
      </w:r>
      <w:r>
        <w:rPr>
          <w:color w:val="000000"/>
        </w:rPr>
        <w:t>    </w:t>
      </w:r>
      <w:r>
        <w:rPr>
          <w:rFonts w:ascii="Arial;sans-serif" w:hAnsi="Arial;sans-serif"/>
          <w:b w:val="false"/>
          <w:color w:val="000000"/>
          <w:sz w:val="20"/>
        </w:rPr>
        <w:t>SECURITY SYSTEM    </w:t>
      </w:r>
      <w:hyperlink w:anchor="ic761b8a3131f4eae8add660a333b625f_7">
        <w:r>
          <w:rPr>
            <w:rStyle w:val="InternetLink"/>
            <w:rFonts w:ascii="Arial;sans-serif" w:hAnsi="Arial;sans-serif"/>
            <w:b w:val="false"/>
            <w:strike w:val="false"/>
            <w:dstrike w:val="false"/>
            <w:color w:val="000000"/>
            <w:sz w:val="20"/>
            <w:u w:val="none"/>
            <w:effect w:val="none"/>
          </w:rPr>
          <w:t>28</w:t>
        </w:r>
      </w:hyperlink>
    </w:p>
    <w:p>
      <w:pPr>
        <w:pStyle w:val="TextBody"/>
        <w:bidi w:val="0"/>
        <w:spacing w:lineRule="atLeast" w:line="240" w:before="0" w:after="0"/>
        <w:ind w:left="0" w:right="0" w:hanging="720"/>
        <w:jc w:val="both"/>
        <w:rPr/>
      </w:pPr>
      <w:r>
        <w:rPr>
          <w:rFonts w:ascii="Arial;sans-serif" w:hAnsi="Arial;sans-serif"/>
          <w:b w:val="false"/>
          <w:color w:val="000000"/>
          <w:sz w:val="20"/>
        </w:rPr>
        <w:t>26.17</w:t>
      </w:r>
      <w:r>
        <w:rPr>
          <w:color w:val="000000"/>
        </w:rPr>
        <w:t>    </w:t>
      </w:r>
      <w:r>
        <w:rPr>
          <w:rFonts w:ascii="Arial;sans-serif" w:hAnsi="Arial;sans-serif"/>
          <w:b w:val="false"/>
          <w:color w:val="000000"/>
          <w:sz w:val="20"/>
        </w:rPr>
        <w:t>NO LIGHT, AIR OR VIEW EASEMENTS    </w:t>
      </w:r>
      <w:hyperlink w:anchor="ic761b8a3131f4eae8add660a333b625f_7">
        <w:r>
          <w:rPr>
            <w:rStyle w:val="InternetLink"/>
            <w:rFonts w:ascii="Arial;sans-serif" w:hAnsi="Arial;sans-serif"/>
            <w:b w:val="false"/>
            <w:strike w:val="false"/>
            <w:dstrike w:val="false"/>
            <w:color w:val="000000"/>
            <w:sz w:val="20"/>
            <w:u w:val="none"/>
            <w:effect w:val="none"/>
          </w:rPr>
          <w:t>28</w:t>
        </w:r>
      </w:hyperlink>
    </w:p>
    <w:p>
      <w:pPr>
        <w:pStyle w:val="TextBody"/>
        <w:bidi w:val="0"/>
        <w:spacing w:lineRule="atLeast" w:line="240" w:before="0" w:after="0"/>
        <w:ind w:left="0" w:right="0" w:hanging="720"/>
        <w:jc w:val="both"/>
        <w:rPr/>
      </w:pPr>
      <w:r>
        <w:rPr>
          <w:rFonts w:ascii="Arial;sans-serif" w:hAnsi="Arial;sans-serif"/>
          <w:b w:val="false"/>
          <w:color w:val="000000"/>
          <w:sz w:val="20"/>
        </w:rPr>
        <w:t>26.18</w:t>
      </w:r>
      <w:r>
        <w:rPr>
          <w:color w:val="000000"/>
        </w:rPr>
        <w:t>    </w:t>
      </w:r>
      <w:r>
        <w:rPr>
          <w:rFonts w:ascii="Arial;sans-serif" w:hAnsi="Arial;sans-serif"/>
          <w:b w:val="false"/>
          <w:color w:val="000000"/>
          <w:sz w:val="20"/>
        </w:rPr>
        <w:t>RECORDATION    </w:t>
      </w:r>
      <w:hyperlink w:anchor="ic761b8a3131f4eae8add660a333b625f_7">
        <w:r>
          <w:rPr>
            <w:rStyle w:val="InternetLink"/>
            <w:rFonts w:ascii="Arial;sans-serif" w:hAnsi="Arial;sans-serif"/>
            <w:b w:val="false"/>
            <w:strike w:val="false"/>
            <w:dstrike w:val="false"/>
            <w:color w:val="000000"/>
            <w:sz w:val="20"/>
            <w:u w:val="none"/>
            <w:effect w:val="none"/>
          </w:rPr>
          <w:t>28</w:t>
        </w:r>
      </w:hyperlink>
    </w:p>
    <w:p>
      <w:pPr>
        <w:pStyle w:val="TextBody"/>
        <w:bidi w:val="0"/>
        <w:spacing w:lineRule="atLeast" w:line="240" w:before="0" w:after="0"/>
        <w:ind w:left="0" w:right="0" w:hanging="720"/>
        <w:jc w:val="both"/>
        <w:rPr/>
      </w:pPr>
      <w:r>
        <w:rPr>
          <w:rFonts w:ascii="Arial;sans-serif" w:hAnsi="Arial;sans-serif"/>
          <w:b w:val="false"/>
          <w:color w:val="000000"/>
          <w:sz w:val="20"/>
        </w:rPr>
        <w:t>26.19</w:t>
      </w:r>
      <w:r>
        <w:rPr>
          <w:color w:val="000000"/>
        </w:rPr>
        <w:t>    </w:t>
      </w:r>
      <w:r>
        <w:rPr>
          <w:rFonts w:ascii="Arial;sans-serif" w:hAnsi="Arial;sans-serif"/>
          <w:b w:val="false"/>
          <w:color w:val="000000"/>
          <w:sz w:val="20"/>
        </w:rPr>
        <w:t>SURVIVAL    </w:t>
      </w:r>
      <w:hyperlink w:anchor="ic761b8a3131f4eae8add660a333b625f_7">
        <w:r>
          <w:rPr>
            <w:rStyle w:val="InternetLink"/>
            <w:rFonts w:ascii="Arial;sans-serif" w:hAnsi="Arial;sans-serif"/>
            <w:b w:val="false"/>
            <w:strike w:val="false"/>
            <w:dstrike w:val="false"/>
            <w:color w:val="000000"/>
            <w:sz w:val="20"/>
            <w:u w:val="none"/>
            <w:effect w:val="none"/>
          </w:rPr>
          <w:t>29</w:t>
        </w:r>
      </w:hyperlink>
    </w:p>
    <w:p>
      <w:pPr>
        <w:pStyle w:val="TextBody"/>
        <w:bidi w:val="0"/>
        <w:spacing w:lineRule="atLeast" w:line="240" w:before="0" w:after="0"/>
        <w:ind w:left="0" w:right="0" w:hanging="720"/>
        <w:jc w:val="both"/>
        <w:rPr/>
      </w:pPr>
      <w:r>
        <w:rPr>
          <w:rFonts w:ascii="Arial;sans-serif" w:hAnsi="Arial;sans-serif"/>
          <w:b w:val="false"/>
          <w:color w:val="000000"/>
          <w:sz w:val="20"/>
        </w:rPr>
        <w:t>26.20</w:t>
      </w:r>
      <w:r>
        <w:rPr>
          <w:color w:val="000000"/>
        </w:rPr>
        <w:t>    </w:t>
      </w:r>
      <w:r>
        <w:rPr>
          <w:rFonts w:ascii="Arial;sans-serif" w:hAnsi="Arial;sans-serif"/>
          <w:b w:val="false"/>
          <w:color w:val="000000"/>
          <w:sz w:val="20"/>
        </w:rPr>
        <w:t>RIDERS    </w:t>
      </w:r>
      <w:hyperlink w:anchor="ic761b8a3131f4eae8add660a333b625f_7">
        <w:r>
          <w:rPr>
            <w:rStyle w:val="InternetLink"/>
            <w:rFonts w:ascii="Arial;sans-serif" w:hAnsi="Arial;sans-serif"/>
            <w:b w:val="false"/>
            <w:strike w:val="false"/>
            <w:dstrike w:val="false"/>
            <w:color w:val="000000"/>
            <w:sz w:val="20"/>
            <w:u w:val="none"/>
            <w:effect w:val="none"/>
          </w:rPr>
          <w:t>29</w:t>
        </w:r>
      </w:hyperlink>
    </w:p>
    <w:p>
      <w:pPr>
        <w:pStyle w:val="TextBody"/>
        <w:bidi w:val="0"/>
        <w:spacing w:lineRule="atLeast" w:line="240" w:before="0" w:after="0"/>
        <w:ind w:left="0" w:right="0" w:hanging="720"/>
        <w:jc w:val="both"/>
        <w:rPr/>
      </w:pPr>
      <w:r>
        <w:rPr>
          <w:rFonts w:ascii="Arial;sans-serif" w:hAnsi="Arial;sans-serif"/>
          <w:b w:val="false"/>
          <w:color w:val="000000"/>
          <w:sz w:val="20"/>
        </w:rPr>
        <w:t>26.21</w:t>
      </w:r>
      <w:r>
        <w:rPr>
          <w:color w:val="000000"/>
        </w:rPr>
        <w:t>    </w:t>
      </w:r>
      <w:r>
        <w:rPr>
          <w:rFonts w:ascii="Arial;sans-serif" w:hAnsi="Arial;sans-serif"/>
          <w:b w:val="false"/>
          <w:color w:val="000000"/>
          <w:sz w:val="20"/>
        </w:rPr>
        <w:t>DISCLOSURE REGARDING CERTIFIED ACCESS SPECIALIST    </w:t>
      </w:r>
      <w:hyperlink w:anchor="ic761b8a3131f4eae8add660a333b625f_7">
        <w:r>
          <w:rPr>
            <w:rStyle w:val="InternetLink"/>
            <w:rFonts w:ascii="Arial;sans-serif" w:hAnsi="Arial;sans-serif"/>
            <w:b w:val="false"/>
            <w:strike w:val="false"/>
            <w:dstrike w:val="false"/>
            <w:color w:val="000000"/>
            <w:sz w:val="20"/>
            <w:u w:val="none"/>
            <w:effect w:val="none"/>
          </w:rPr>
          <w:t>29</w:t>
        </w:r>
      </w:hyperlink>
    </w:p>
    <w:p>
      <w:pPr>
        <w:pStyle w:val="TextBody"/>
        <w:bidi w:val="0"/>
        <w:spacing w:lineRule="atLeast" w:line="240" w:before="0" w:after="0"/>
        <w:ind w:left="0" w:right="0" w:hanging="720"/>
        <w:jc w:val="both"/>
        <w:rPr/>
      </w:pPr>
      <w:r>
        <w:rPr>
          <w:rFonts w:ascii="Arial;sans-serif" w:hAnsi="Arial;sans-serif"/>
          <w:b w:val="false"/>
          <w:color w:val="000000"/>
          <w:sz w:val="20"/>
        </w:rPr>
        <w:t>26.22</w:t>
      </w:r>
      <w:r>
        <w:rPr>
          <w:color w:val="000000"/>
        </w:rPr>
        <w:t>    </w:t>
      </w:r>
      <w:r>
        <w:rPr>
          <w:rFonts w:ascii="Arial;sans-serif" w:hAnsi="Arial;sans-serif"/>
          <w:b w:val="false"/>
          <w:color w:val="000000"/>
          <w:sz w:val="20"/>
        </w:rPr>
        <w:t>UTILITY USAGE INFORMATION    </w:t>
      </w:r>
      <w:hyperlink w:anchor="ic761b8a3131f4eae8add660a333b625f_7">
        <w:r>
          <w:rPr>
            <w:rStyle w:val="InternetLink"/>
            <w:rFonts w:ascii="Arial;sans-serif" w:hAnsi="Arial;sans-serif"/>
            <w:b w:val="false"/>
            <w:strike w:val="false"/>
            <w:dstrike w:val="false"/>
            <w:color w:val="000000"/>
            <w:sz w:val="20"/>
            <w:u w:val="none"/>
            <w:effect w:val="none"/>
          </w:rPr>
          <w:t>29</w:t>
        </w:r>
      </w:hyperlink>
    </w:p>
    <w:p>
      <w:pPr>
        <w:pStyle w:val="TextBody"/>
        <w:bidi w:val="0"/>
        <w:spacing w:lineRule="atLeast" w:line="240" w:before="0" w:after="0"/>
        <w:ind w:left="0" w:right="0" w:hanging="720"/>
        <w:jc w:val="both"/>
        <w:rPr/>
      </w:pPr>
      <w:r>
        <w:rPr>
          <w:rFonts w:ascii="Arial;sans-serif" w:hAnsi="Arial;sans-serif"/>
          <w:b w:val="false"/>
          <w:color w:val="000000"/>
          <w:sz w:val="20"/>
        </w:rPr>
        <w:t>26.23</w:t>
      </w:r>
      <w:r>
        <w:rPr>
          <w:color w:val="000000"/>
        </w:rPr>
        <w:t>    </w:t>
      </w:r>
      <w:r>
        <w:rPr>
          <w:rFonts w:ascii="Arial;sans-serif" w:hAnsi="Arial;sans-serif"/>
          <w:b w:val="false"/>
          <w:color w:val="000000"/>
          <w:sz w:val="20"/>
        </w:rPr>
        <w:t>QUALIFIED COMMERCIAL TENANTS    </w:t>
      </w:r>
      <w:hyperlink w:anchor="ic761b8a3131f4eae8add660a333b625f_7">
        <w:r>
          <w:rPr>
            <w:rStyle w:val="InternetLink"/>
            <w:rFonts w:ascii="Arial;sans-serif" w:hAnsi="Arial;sans-serif"/>
            <w:b w:val="false"/>
            <w:strike w:val="false"/>
            <w:dstrike w:val="false"/>
            <w:color w:val="000000"/>
            <w:sz w:val="20"/>
            <w:u w:val="none"/>
            <w:effect w:val="none"/>
          </w:rPr>
          <w:t>29</w:t>
        </w:r>
      </w:hyperlink>
    </w:p>
    <w:p>
      <w:pPr>
        <w:pStyle w:val="TextBody"/>
        <w:bidi w:val="0"/>
        <w:spacing w:lineRule="atLeast" w:line="240" w:before="0" w:after="0"/>
        <w:ind w:left="0" w:right="0" w:hanging="720"/>
        <w:jc w:val="both"/>
        <w:rPr/>
      </w:pPr>
      <w:r>
        <w:rPr>
          <w:rFonts w:ascii="Arial;sans-serif" w:hAnsi="Arial;sans-serif"/>
          <w:b w:val="false"/>
          <w:color w:val="000000"/>
          <w:sz w:val="20"/>
        </w:rPr>
        <w:t>26.24</w:t>
      </w:r>
      <w:r>
        <w:rPr>
          <w:color w:val="000000"/>
        </w:rPr>
        <w:t>    </w:t>
      </w:r>
      <w:r>
        <w:rPr>
          <w:rFonts w:ascii="Arial;sans-serif" w:hAnsi="Arial;sans-serif"/>
          <w:b w:val="false"/>
          <w:color w:val="000000"/>
          <w:sz w:val="20"/>
        </w:rPr>
        <w:t>COUNTERPARTS    </w:t>
      </w:r>
      <w:hyperlink w:anchor="ic761b8a3131f4eae8add660a333b625f_7">
        <w:r>
          <w:rPr>
            <w:rStyle w:val="InternetLink"/>
            <w:rFonts w:ascii="Arial;sans-serif" w:hAnsi="Arial;sans-serif"/>
            <w:b w:val="false"/>
            <w:strike w:val="false"/>
            <w:dstrike w:val="false"/>
            <w:color w:val="000000"/>
            <w:sz w:val="20"/>
            <w:u w:val="none"/>
            <w:effect w:val="none"/>
          </w:rPr>
          <w:t>29</w:t>
        </w:r>
      </w:hyperlink>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535305"/>
                <wp:effectExtent l="0" t="0" r="0" b="0"/>
                <wp:wrapNone/>
                <wp:docPr id="117" name="Frame116"/>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ii</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ii</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LEASE</w:t>
      </w:r>
    </w:p>
    <w:p>
      <w:pPr>
        <w:pStyle w:val="TextBody"/>
        <w:bidi w:val="0"/>
        <w:spacing w:before="0" w:after="0"/>
        <w:jc w:val="both"/>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ONE</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BASIC LEASE PROVISIONS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1.01    BASIC LEASE PROVISIONS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the event of any conflict between these Basic Lease Provisions and any other Lease provision, such other Lease provision shall control.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    PROJECT, BUILDING AND ADDRESS: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Project:</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Orchard Commons</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2688, 2698, 2702, 2708 ,and 2728 Orchard Parkway and 2720 Orchard Parkway/88 West Plumeria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San Jose, California 95134</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Building:</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88 West Plumeria Drive</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San Jose, California 95134</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(2)    LANDLORD AND ADDRESS:</w:t>
      </w:r>
    </w:p>
    <w:p>
      <w:pPr>
        <w:pStyle w:val="TextBody"/>
        <w:bidi w:val="0"/>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Orchard Commons, LLC,</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a Florida limited liability company</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Notices to Landlord shall be addressed:</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Orchard Commons, LLC</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300 Santana Row, Fifth Floor</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San Jose, CA  95128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Attention: Property Manager – Orchard Commons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with copies to the following: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Orchard Commons, LLC</w:t>
        <w:br/>
        <w:t>c/o MetLife Real Estate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425 Market Street, Suite 1050</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San Francisco, CA 94105</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Attention: Director, Equity Group</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Orchard Commons, LLC</w:t>
        <w:br/>
        <w:t>c/o MetLife Real Estate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425 Market Street, Suite 1050</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San Francisco, CA 94105</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Attention: Associate General Counsel</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    TENANT AND CURRENT ADDRESS: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Name:                    SI-BONE, INC.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State of [formation and type of entity]:    a Delaware corporation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    Federal Tax Identification Number: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Tenant shall promptly notify Landlord of any change in the foregoing items.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Notices to Tenant shall be addressed to Tenant at the Premises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(4)    DATE OF LEASE:  as of February 20, 2026</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(5)    LEASE TERM: One hundred two (102) full calendar months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(6)    PROJECTED COMMENCEMENT DATE: October 1, 2026</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(7)    PROJECTED EXPIRATION DATE:  March 31, 2035</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535305"/>
                <wp:effectExtent l="0" t="0" r="0" b="0"/>
                <wp:wrapNone/>
                <wp:docPr id="118" name="Frame117"/>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0"/>
        <w:ind w:left="0" w:right="0" w:hanging="720"/>
        <w:jc w:val="both"/>
        <w:rPr>
          <w:rFonts w:ascii="Arial;sans-serif" w:hAnsi="Arial;sans-serif"/>
          <w:b w:val="false"/>
          <w:color w:val="000000"/>
          <w:sz w:val="20"/>
        </w:rPr>
      </w:pPr>
      <w:r>
        <w:rPr>
          <w:rFonts w:ascii="Arial;sans-serif" w:hAnsi="Arial;sans-serif"/>
          <w:b w:val="false"/>
          <w:color w:val="000000"/>
          <w:sz w:val="20"/>
        </w:rPr>
        <w:t>(8)    MONTHLY BASE RENT (initial monthly installment due upon Tenant’s execution):</w:t>
      </w:r>
    </w:p>
    <w:p>
      <w:pPr>
        <w:pStyle w:val="TextBody"/>
        <w:bidi w:val="0"/>
        <w:spacing w:before="0" w:after="0"/>
        <w:ind w:left="0" w:right="0" w:hanging="720"/>
        <w:jc w:val="both"/>
        <w:rPr/>
      </w:pPr>
      <w:r>
        <w:rPr/>
      </w:r>
    </w:p>
    <w:tbl>
      <w:tblPr>
        <w:tblW w:w="3358" w:type="dxa"/>
        <w:jc w:val="left"/>
        <w:tblInd w:w="0" w:type="dxa"/>
        <w:tblLayout w:type="fixed"/>
        <w:tblCellMar>
          <w:top w:w="28" w:type="dxa"/>
          <w:left w:w="28" w:type="dxa"/>
          <w:bottom w:w="28" w:type="dxa"/>
          <w:right w:w="28" w:type="dxa"/>
        </w:tblCellMar>
      </w:tblPr>
      <w:tblGrid>
        <w:gridCol w:w="750"/>
        <w:gridCol w:w="658"/>
        <w:gridCol w:w="661"/>
        <w:gridCol w:w="376"/>
        <w:gridCol w:w="376"/>
        <w:gridCol w:w="537"/>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u w:val="single"/>
              </w:rPr>
            </w:pPr>
            <w:r>
              <w:rPr>
                <w:rFonts w:ascii="Arial;sans-serif" w:hAnsi="Arial;sans-serif"/>
                <w:b w:val="false"/>
                <w:color w:val="000000"/>
                <w:sz w:val="20"/>
                <w:u w:val="single"/>
              </w:rPr>
              <w:t xml:space="preserve">Period from/to </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u w:val="single"/>
              </w:rPr>
            </w:pPr>
            <w:r>
              <w:rPr>
                <w:rFonts w:ascii="Arial;sans-serif" w:hAnsi="Arial;sans-serif"/>
                <w:b w:val="false"/>
                <w:color w:val="000000"/>
                <w:sz w:val="20"/>
                <w:u w:val="single"/>
              </w:rPr>
              <w:t>Monthly</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Month 1 – Month 12</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$128,736.75*</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Month 13 – Month 24</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$132,607.27</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Month 25 – Month 36</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$136,604.00</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Month 37 – Month 48</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$140,684.87</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Month 49 – Month 60</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$144,891.95</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Month 61 – Month 72</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$149,225.25</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Month 73 – Month 84</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$153,684.75</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Month 85 – Month 96</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$158,312.55</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Month 97 – Month 102</w:t>
            </w:r>
          </w:p>
        </w:tc>
        <w:tc>
          <w:tcPr>
            <w:tcW w:w="128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$163,066.55</w:t>
            </w:r>
          </w:p>
        </w:tc>
      </w:tr>
    </w:tbl>
    <w:p>
      <w:pPr>
        <w:pStyle w:val="TextBody"/>
        <w:bidi w:val="0"/>
        <w:spacing w:before="0" w:after="0"/>
        <w:jc w:val="both"/>
        <w:rPr/>
      </w:pPr>
      <w:r>
        <w:rPr/>
      </w:r>
    </w:p>
    <w:p>
      <w:pPr>
        <w:pStyle w:val="TextBody"/>
        <w:bidi w:val="0"/>
        <w:spacing w:lineRule="auto" w:line="288" w:before="0" w:after="120"/>
        <w:jc w:val="both"/>
        <w:rPr/>
      </w:pPr>
      <w:r>
        <w:rPr>
          <w:rFonts w:ascii="Arial;sans-serif" w:hAnsi="Arial;sans-serif"/>
          <w:b w:val="false"/>
          <w:color w:val="000000"/>
          <w:sz w:val="20"/>
        </w:rPr>
        <w:t>*Notwithstanding anything in the foregoing to the contrary, provided that a Default (as defined in Section 11.01) by Tenant has not previously occurred, Landlord agrees to forbear in the collection of and abate the Monthly Base Rent due and payable for the first six (6) full calendar months of the Term totaling not more than Seven Hundred Seventy-Two Thousand Four Hundred Twenty and 50/100 Dollars ($772,420.50) in the aggregate (collectively, “Abated Rent”); provided, further, that in the event of a Default by Tenant at any time prior to the last day of the 102</w:t>
      </w:r>
      <w:r>
        <w:rPr>
          <w:rFonts w:ascii="Arial;sans-serif" w:hAnsi="Arial;sans-serif"/>
          <w:b w:val="false"/>
          <w:color w:val="000000"/>
          <w:sz w:val="13"/>
        </w:rPr>
        <w:t>nd</w:t>
      </w:r>
      <w:r>
        <w:rPr>
          <w:color w:val="000000"/>
        </w:rPr>
        <w:t xml:space="preserve"> </w:t>
      </w:r>
      <w:r>
        <w:rPr>
          <w:rFonts w:ascii="Arial;sans-serif" w:hAnsi="Arial;sans-serif"/>
          <w:b w:val="false"/>
          <w:color w:val="000000"/>
          <w:sz w:val="20"/>
        </w:rPr>
        <w:t>full calendar month following the Commencement Date (the "Outside Month") that results in termination of the Lease, a fraction of all previously Abated Rent, the numerator of which shall be the number of months remaining from and including the month in which such Default occurs until and including the Outside Month, and the denominator of which shall be the number of months from and including the month in which the Commencement Date occurs until and including the Outside Month, shall be immediately due and payable in full at that time without the necessity of further notice or action by Landlord..</w:t>
      </w:r>
    </w:p>
    <w:p>
      <w:pPr>
        <w:pStyle w:val="TextBody"/>
        <w:bidi w:val="0"/>
        <w:spacing w:lineRule="auto" w:line="319" w:before="0" w:after="0"/>
        <w:ind w:left="0" w:right="0" w:hanging="4752"/>
        <w:jc w:val="both"/>
        <w:rPr>
          <w:rFonts w:ascii="Arial;sans-serif" w:hAnsi="Arial;sans-serif"/>
          <w:b w:val="false"/>
          <w:color w:val="000000"/>
          <w:sz w:val="20"/>
        </w:rPr>
      </w:pPr>
      <w:r>
        <w:rPr>
          <w:rFonts w:ascii="Arial;sans-serif" w:hAnsi="Arial;sans-serif"/>
          <w:b w:val="false"/>
          <w:color w:val="000000"/>
          <w:sz w:val="20"/>
        </w:rPr>
        <w:t xml:space="preserve">(9)    RENT ADJUSTMENT DEPOSIT (initial monthly rate, until further notice): $34,329.80 </w:t>
      </w:r>
    </w:p>
    <w:p>
      <w:pPr>
        <w:pStyle w:val="TextBody"/>
        <w:bidi w:val="0"/>
        <w:spacing w:lineRule="auto" w:line="319" w:before="0" w:after="240"/>
        <w:ind w:left="0" w:right="0" w:hanging="4752"/>
        <w:jc w:val="both"/>
        <w:rPr>
          <w:color w:val="000000"/>
        </w:rPr>
      </w:pPr>
      <w:r>
        <w:rPr>
          <w:color w:val="000000"/>
        </w:rPr>
        <w:t>                        </w:t>
      </w:r>
      <w:r>
        <w:rPr>
          <w:rFonts w:ascii="Arial;sans-serif" w:hAnsi="Arial;sans-serif"/>
          <w:b w:val="false"/>
          <w:color w:val="000000"/>
          <w:sz w:val="20"/>
        </w:rPr>
        <w:t>(initial monthly installment due upon Tenant’s execution)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(10)    RENTABLE AREA OF THE PREMISES:    50,485 square feet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(11)    RENTABLE AREA OF THE PROJECT:    319,864 square feet</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(12)    SECURITY:    The cash and/or Letter of Credit in the amount of $163,066.55 (and any proceeds of the Letter of Credit drawn and held by Landlord) as provided in Article Five.</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(13)    SUITE NUMBER &amp;/OR ADDRESS OF PREMISES: 88 West Plumeria Drive, San Jose, California</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(14)    TENANT'S SHARE:    15.78%</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(15)    TENANT'S USE OF PREMISES:        Office, assembly, research and development, medical device lab, light manufacturing, warehousing, distribution, machine shop, administration and shipping in connection with such medical device lab use.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(16)    PARKING SPACES:    176 unreserved parking spaces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(17)    BROKERS:</w:t>
      </w:r>
    </w:p>
    <w:p>
      <w:pPr>
        <w:pStyle w:val="TextBody"/>
        <w:bidi w:val="0"/>
        <w:spacing w:lineRule="auto" w:line="288" w:before="0" w:after="240"/>
        <w:ind w:left="0" w:right="0" w:hanging="2160"/>
        <w:jc w:val="both"/>
        <w:rPr>
          <w:rFonts w:ascii="Arial;sans-serif" w:hAnsi="Arial;sans-serif"/>
          <w:b w:val="false"/>
          <w:color w:val="000000"/>
          <w:sz w:val="20"/>
        </w:rPr>
      </w:pPr>
      <w:r>
        <w:rPr>
          <w:rFonts w:ascii="Arial;sans-serif" w:hAnsi="Arial;sans-serif"/>
          <w:b w:val="false"/>
          <w:color w:val="000000"/>
          <w:sz w:val="20"/>
        </w:rPr>
        <w:t>Landlord's Broker:    [***]</w:t>
      </w:r>
    </w:p>
    <w:p>
      <w:pPr>
        <w:pStyle w:val="TextBody"/>
        <w:bidi w:val="0"/>
        <w:spacing w:lineRule="auto" w:line="288" w:before="0" w:after="240"/>
        <w:ind w:left="0" w:right="0" w:hanging="2160"/>
        <w:jc w:val="both"/>
        <w:rPr>
          <w:rFonts w:ascii="Arial;sans-serif" w:hAnsi="Arial;sans-serif"/>
          <w:b w:val="false"/>
          <w:color w:val="000000"/>
          <w:sz w:val="20"/>
        </w:rPr>
      </w:pPr>
      <w:r>
        <w:rPr>
          <w:rFonts w:ascii="Arial;sans-serif" w:hAnsi="Arial;sans-serif"/>
          <w:b w:val="false"/>
          <w:color w:val="000000"/>
          <w:sz w:val="20"/>
        </w:rPr>
        <w:t>Tenant's Broker:        [***]</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1.02    ENUMERATION OF EXHIBITS &amp; RIDER(S)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Exhibits and Rider(s) set forth below and attached to this Lease are incorporated in this Lease by this reference:</w:t>
      </w:r>
    </w:p>
    <w:p>
      <w:pPr>
        <w:pStyle w:val="TextBody"/>
        <w:bidi w:val="0"/>
        <w:spacing w:lineRule="auto" w:line="288" w:before="0" w:after="0"/>
        <w:jc w:val="both"/>
        <w:rPr/>
      </w:pPr>
      <w:r>
        <w:rPr>
          <w:rFonts w:ascii="Arial;sans-serif" w:hAnsi="Arial;sans-serif"/>
          <w:b w:val="false"/>
          <w:color w:val="000000"/>
          <w:sz w:val="20"/>
          <w:u w:val="single"/>
        </w:rPr>
        <w:t>EXHIBIT A</w:t>
      </w:r>
      <w:r>
        <w:rPr>
          <w:color w:val="000000"/>
        </w:rPr>
        <w:t xml:space="preserve"> </w:t>
      </w:r>
      <w:r>
        <w:rPr>
          <w:rFonts w:ascii="Arial;sans-serif" w:hAnsi="Arial;sans-serif"/>
          <w:b w:val="false"/>
          <w:color w:val="000000"/>
          <w:sz w:val="20"/>
        </w:rPr>
        <w:t>Plan of Premises</w:t>
      </w:r>
    </w:p>
    <w:p>
      <w:pPr>
        <w:pStyle w:val="TextBody"/>
        <w:bidi w:val="0"/>
        <w:spacing w:lineRule="auto" w:line="288" w:before="0" w:after="0"/>
        <w:jc w:val="both"/>
        <w:rPr/>
      </w:pPr>
      <w:r>
        <w:rPr>
          <w:rFonts w:ascii="Arial;sans-serif" w:hAnsi="Arial;sans-serif"/>
          <w:b w:val="false"/>
          <w:color w:val="000000"/>
          <w:sz w:val="20"/>
          <w:u w:val="single"/>
        </w:rPr>
        <w:t>EXHIBIT B</w:t>
      </w:r>
      <w:r>
        <w:rPr>
          <w:color w:val="000000"/>
        </w:rPr>
        <w:t xml:space="preserve"> </w:t>
      </w:r>
      <w:r>
        <w:rPr>
          <w:rFonts w:ascii="Arial;sans-serif" w:hAnsi="Arial;sans-serif"/>
          <w:b w:val="false"/>
          <w:color w:val="000000"/>
          <w:sz w:val="20"/>
        </w:rPr>
        <w:t>Workletter Agreement</w:t>
      </w:r>
    </w:p>
    <w:p>
      <w:pPr>
        <w:pStyle w:val="TextBody"/>
        <w:bidi w:val="0"/>
        <w:spacing w:lineRule="auto" w:line="288" w:before="0" w:after="0"/>
        <w:jc w:val="both"/>
        <w:rPr/>
      </w:pPr>
      <w:r>
        <w:rPr>
          <w:rFonts w:ascii="Arial;sans-serif" w:hAnsi="Arial;sans-serif"/>
          <w:b w:val="false"/>
          <w:color w:val="000000"/>
          <w:sz w:val="20"/>
          <w:u w:val="single"/>
        </w:rPr>
        <w:t>EXHIBIT C</w:t>
      </w:r>
      <w:r>
        <w:rPr>
          <w:color w:val="000000"/>
        </w:rPr>
        <w:t xml:space="preserve"> </w:t>
      </w:r>
      <w:r>
        <w:rPr>
          <w:rFonts w:ascii="Arial;sans-serif" w:hAnsi="Arial;sans-serif"/>
          <w:b w:val="false"/>
          <w:color w:val="000000"/>
          <w:sz w:val="20"/>
        </w:rPr>
        <w:t>Site Plan of Project</w:t>
      </w:r>
    </w:p>
    <w:p>
      <w:pPr>
        <w:pStyle w:val="TextBody"/>
        <w:bidi w:val="0"/>
        <w:spacing w:lineRule="auto" w:line="288" w:before="0" w:after="0"/>
        <w:jc w:val="both"/>
        <w:rPr/>
      </w:pPr>
      <w:r>
        <w:rPr>
          <w:rFonts w:ascii="Arial;sans-serif" w:hAnsi="Arial;sans-serif"/>
          <w:b w:val="false"/>
          <w:color w:val="000000"/>
          <w:sz w:val="20"/>
          <w:u w:val="single"/>
        </w:rPr>
        <w:t>EXHIBIT D</w:t>
      </w:r>
      <w:r>
        <w:rPr>
          <w:color w:val="000000"/>
        </w:rPr>
        <w:t xml:space="preserve"> </w:t>
      </w:r>
      <w:r>
        <w:rPr>
          <w:rFonts w:ascii="Arial;sans-serif" w:hAnsi="Arial;sans-serif"/>
          <w:b w:val="false"/>
          <w:color w:val="000000"/>
          <w:sz w:val="20"/>
        </w:rPr>
        <w:t>Permitted Hazardous Material</w:t>
      </w:r>
    </w:p>
    <w:p>
      <w:pPr>
        <w:pStyle w:val="TextBody"/>
        <w:bidi w:val="0"/>
        <w:spacing w:lineRule="auto" w:line="288" w:before="0" w:after="240"/>
        <w:jc w:val="left"/>
        <w:rPr/>
      </w:pPr>
      <w:r>
        <w:rPr>
          <w:rFonts w:ascii="Arial;sans-serif" w:hAnsi="Arial;sans-serif"/>
          <w:b w:val="false"/>
          <w:color w:val="000000"/>
          <w:sz w:val="20"/>
          <w:u w:val="single"/>
        </w:rPr>
        <w:t>EXHIBIT E</w:t>
      </w:r>
      <w:r>
        <w:rPr>
          <w:color w:val="000000"/>
        </w:rPr>
        <w:t xml:space="preserve"> </w:t>
      </w:r>
      <w:r>
        <w:rPr>
          <w:rFonts w:ascii="Arial;sans-serif" w:hAnsi="Arial;sans-serif"/>
          <w:b w:val="false"/>
          <w:color w:val="000000"/>
          <w:sz w:val="20"/>
        </w:rPr>
        <w:t>Fair Market Rental Rate</w:t>
        <w:br/>
      </w:r>
      <w:r>
        <w:rPr>
          <w:rFonts w:ascii="Arial;sans-serif" w:hAnsi="Arial;sans-serif"/>
          <w:b w:val="false"/>
          <w:color w:val="000000"/>
          <w:sz w:val="20"/>
          <w:u w:val="single"/>
        </w:rPr>
        <w:t>EXHIBIT F</w:t>
      </w:r>
      <w:r>
        <w:rPr>
          <w:color w:val="000000"/>
        </w:rPr>
        <w:t xml:space="preserve"> </w:t>
      </w:r>
      <w:r>
        <w:rPr>
          <w:rFonts w:ascii="Arial;sans-serif" w:hAnsi="Arial;sans-serif"/>
          <w:b w:val="false"/>
          <w:color w:val="000000"/>
          <w:sz w:val="20"/>
        </w:rPr>
        <w:t>Form of Letter of Credit</w:t>
      </w:r>
    </w:p>
    <w:p>
      <w:pPr>
        <w:pStyle w:val="TextBody"/>
        <w:bidi w:val="0"/>
        <w:spacing w:lineRule="auto" w:line="288" w:before="0" w:after="0"/>
        <w:jc w:val="both"/>
        <w:rPr/>
      </w:pPr>
      <w:r>
        <w:rPr>
          <w:rFonts w:ascii="Arial;sans-serif" w:hAnsi="Arial;sans-serif"/>
          <w:b w:val="false"/>
          <w:color w:val="000000"/>
          <w:sz w:val="20"/>
          <w:u w:val="single"/>
        </w:rPr>
        <w:t>RIDER 1</w:t>
      </w:r>
      <w:r>
        <w:rPr>
          <w:color w:val="000000"/>
        </w:rPr>
        <w:t xml:space="preserve"> </w:t>
      </w:r>
      <w:r>
        <w:rPr>
          <w:rFonts w:ascii="Arial;sans-serif" w:hAnsi="Arial;sans-serif"/>
          <w:b w:val="false"/>
          <w:color w:val="000000"/>
          <w:sz w:val="20"/>
        </w:rPr>
        <w:t>Commencement Date Agreement</w:t>
      </w:r>
    </w:p>
    <w:p>
      <w:pPr>
        <w:pStyle w:val="TextBody"/>
        <w:bidi w:val="0"/>
        <w:spacing w:lineRule="auto" w:line="288" w:before="0" w:after="240"/>
        <w:jc w:val="left"/>
        <w:rPr/>
      </w:pPr>
      <w:r>
        <w:rPr>
          <w:rFonts w:ascii="Arial;sans-serif" w:hAnsi="Arial;sans-serif"/>
          <w:b w:val="false"/>
          <w:color w:val="000000"/>
          <w:sz w:val="20"/>
          <w:u w:val="single"/>
        </w:rPr>
        <w:t>RIDER 2</w:t>
      </w:r>
      <w:r>
        <w:rPr>
          <w:color w:val="000000"/>
        </w:rPr>
        <w:t xml:space="preserve"> </w:t>
      </w:r>
      <w:r>
        <w:rPr>
          <w:rFonts w:ascii="Arial;sans-serif" w:hAnsi="Arial;sans-serif"/>
          <w:b w:val="false"/>
          <w:color w:val="000000"/>
          <w:sz w:val="20"/>
        </w:rPr>
        <w:t>Additional Provisions</w:t>
        <w:br/>
      </w:r>
      <w:r>
        <w:rPr>
          <w:rFonts w:ascii="Arial;sans-serif" w:hAnsi="Arial;sans-serif"/>
          <w:b w:val="false"/>
          <w:color w:val="000000"/>
          <w:sz w:val="20"/>
          <w:u w:val="single"/>
        </w:rPr>
        <w:t>RIDER 3</w:t>
      </w:r>
      <w:r>
        <w:rPr>
          <w:color w:val="000000"/>
        </w:rPr>
        <w:t xml:space="preserve"> </w:t>
      </w:r>
      <w:r>
        <w:rPr>
          <w:rFonts w:ascii="Arial;sans-serif" w:hAnsi="Arial;sans-serif"/>
          <w:b w:val="false"/>
          <w:color w:val="000000"/>
          <w:sz w:val="20"/>
        </w:rPr>
        <w:t>Landlord’s Sustainability Policies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1.03    DEFINITIONS</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535305"/>
                <wp:effectExtent l="0" t="0" r="0" b="0"/>
                <wp:wrapNone/>
                <wp:docPr id="119" name="Frame118"/>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 purposes hereof, the following terms shall have the following meanings: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ADJUSTMENT YEAR: The applicable calendar year or any portion thereof after the Commencement Date of this Lease for which a Rent Adjustment computation is being made.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AFFILIATE: Any Person (as defined below) which is currently owned or controlled by, owns or controls, or is under common ownership or control with Tenant. For purposes of this definition, the word "control," as used above means, with respect to a Person that is a corporation, the right to exercise, directly or indirectly, more than fifty percent (50%) of the voting rights attributable to the shares of the controlled corporation and, with respect to a Person that is not a corporation, the possession, directly or indirectly, of the power at all times to direct or cause the direction of the management and policies of the controlled Person. The word Person means an individual, partnership, trust, corporation, firm or other entity.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BUILDING: Each building in which the Premises is located, as specified in Section 1.01.</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COMMENCEMENT DATE: The date specified in Section 1.01 as the Projected Commencement Date, unless changed by operation of Article Two or Rider 2.</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COMMON AREAS: All areas of the Project made available by Landlord from time to time for the general common use or benefit of the tenants of the Building or Project, and their employees and invitees, or the public, as such areas currently exist and as they may be changed from time to time.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DECORATION: Tenant Alterations which do not require a building permit and which do not affect the facade or roof of the Building, or involve any of the structural elements of the Building, or involve any of the Building's systems, including its electrical, mechanical, plumbing, security, heating, ventilating, air-conditioning, communication, and fire and life safety systems.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DEFAULT RATE: Two (2) percentage points above the rate then most recently announced by Bank of America N.T. &amp; S.A. at its national headquarters as its corporate base lending rate, from time to time announced, but in no event higher than the maximum rate permitted by Law.</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DELIVERY DATE: The date for Landlord’s delivery to Tenant of possession of the Premises, if different from the Commencement Date, as provided in Rider 2.</w:t>
      </w:r>
    </w:p>
    <w:p>
      <w:pPr>
        <w:pStyle w:val="TextBody"/>
        <w:bidi w:val="0"/>
        <w:spacing w:lineRule="auto" w:line="288" w:before="0" w:after="240"/>
        <w:jc w:val="both"/>
        <w:rPr/>
      </w:pPr>
      <w:r>
        <w:rPr>
          <w:rFonts w:ascii="Arial;sans-serif" w:hAnsi="Arial;sans-serif"/>
          <w:b w:val="false"/>
          <w:color w:val="000000"/>
          <w:sz w:val="20"/>
        </w:rPr>
        <w:t xml:space="preserve">ENVIRONMENTAL LAWS: All Laws governing the use, storage, disposal or generation of any Hazardous Material or pertaining to environmental conditions on, under or about the Premises or any part of the Project, including the Comprehensive Environmental Response Compensation and Liability Act of 1980, as amended (42 U.S.C. Section 9601 </w:t>
      </w:r>
      <w:r>
        <w:rPr>
          <w:rFonts w:ascii="Arial;sans-serif" w:hAnsi="Arial;sans-serif"/>
          <w:b w:val="false"/>
          <w:color w:val="000000"/>
          <w:sz w:val="20"/>
          <w:u w:val="single"/>
        </w:rPr>
        <w:t>et</w:t>
      </w:r>
      <w:r>
        <w:rPr>
          <w:color w:val="000000"/>
        </w:rPr>
        <w:t xml:space="preserve"> </w:t>
      </w:r>
      <w:r>
        <w:rPr>
          <w:rFonts w:ascii="Arial;sans-serif" w:hAnsi="Arial;sans-serif"/>
          <w:b w:val="false"/>
          <w:color w:val="000000"/>
          <w:sz w:val="20"/>
          <w:u w:val="single"/>
        </w:rPr>
        <w:t>seq</w:t>
      </w:r>
      <w:r>
        <w:rPr>
          <w:rFonts w:ascii="Arial;sans-serif" w:hAnsi="Arial;sans-serif"/>
          <w:b w:val="false"/>
          <w:color w:val="000000"/>
          <w:sz w:val="20"/>
        </w:rPr>
        <w:t xml:space="preserve">.), and the Resource Conservation and Recovery Act of 1976, as amended (42 U.S.C. Section 6901 </w:t>
      </w:r>
      <w:r>
        <w:rPr>
          <w:rFonts w:ascii="Arial;sans-serif" w:hAnsi="Arial;sans-serif"/>
          <w:b w:val="false"/>
          <w:color w:val="000000"/>
          <w:sz w:val="20"/>
          <w:u w:val="single"/>
        </w:rPr>
        <w:t>et</w:t>
      </w:r>
      <w:r>
        <w:rPr>
          <w:color w:val="000000"/>
        </w:rPr>
        <w:t xml:space="preserve"> </w:t>
      </w:r>
      <w:r>
        <w:rPr>
          <w:rFonts w:ascii="Arial;sans-serif" w:hAnsi="Arial;sans-serif"/>
          <w:b w:val="false"/>
          <w:color w:val="000000"/>
          <w:sz w:val="20"/>
          <w:u w:val="single"/>
        </w:rPr>
        <w:t>seq</w:t>
      </w:r>
      <w:r>
        <w:rPr>
          <w:rFonts w:ascii="Arial;sans-serif" w:hAnsi="Arial;sans-serif"/>
          <w:b w:val="false"/>
          <w:color w:val="000000"/>
          <w:sz w:val="20"/>
        </w:rPr>
        <w: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EXPIRATION DATE: The date specified in Section 1.01 unless changed by operation of Article Two.</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FORCE MAJEURE: Any accident, casualty, act of God, war or civil commotion, strike or labor troubles, or any cause whatsoever beyond the reasonable control of Landlord, including water shortages, energy shortages or governmental preemption in connection with an act of God, a national emergency, or by reason of Law, or by reason of the conditions of supply and demand which have been or are affected by act of God, war or other emergency.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HAZARDOUS MATERIAL: Such substances, material and wastes which are or become regulated under any Environmental Law; or which are classified as hazardous or toxic or medical waste or biohazardous waste under any Environmental Law; and explosives, firearm ammunition, flammable material, radioactive material, asbestos, polychlorinated biphenyls and petroleum and its byproducts. Hazardous Material shall include by way of illustration, and without limiting the generality of the foregoing, the following: (i) those substances included within the definitions of "hazardous substances," "hazardous materials," "toxic substances" or "solid waste" under all present and future federal, state and local laws (whether under common law, statute, rule, regulation or otherwise) relating to the protection of human health or the environment, including California Senate Bill 245 (Statutes of 1987, Chapter 1302), the Safe Drinking Water and Toxic Enforcement Act of 1986 (commonly known as Proposition 65) and the Comprehensive Environmental Response, Compensation and Liability Act of 1980, as amended, 42 U.S.C. Section 9601 et seq., the Resource Conservation and Recovery Act of 1976, 42 U.S.C. Section 6901 et seq., and the Hazardous Materials Transportation Act, 49 U.S.C. Sections 1801, et seq., all as heretofore and hereafter amended, or in any regulations promulgated pursuant to said laws; (ii) those substances defined as "hazardous wastes" in Section 25117 of the California Health &amp; Safety Code or as "hazardous substances" in Section 25316 of the California Health &amp; Safety Code, or in any regulations promulgated pursuant to said laws; (iii) those substances listed in the United States Department of Transportation Table (49 CFR 172.101 and amendments thereto) or designated by the Environmental Protection Agency (or any successor agency) as hazardous substances (see, e.g., 40 CFR Part 302 and amendments thereto); (iv) such other substances, materials and wastes which are or become regulated under applicable local, state or federal law or by the United States government or which are or become classified as hazardous or toxic under federal, state or local laws or regulations, including California Health &amp; Safety Code, Division 20, and Title 26 of the California Code of Regulations; and (v) any material, waste or substance which contains petroleum, asbestos or polychlorinated biphenyls, is designated as a "hazardous substance" pursuant to Section 311 of the Clean Water Act of 1977, 33 U.S.C. Sections 1251, et seq. (33 U.S.C. § 1321), is listed pursuant to Section 307 of the Clean Water Act of 1977 (33 U.S.C. § 1317), or contains any flammable, explosive or radioactive material.</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535305"/>
                <wp:effectExtent l="0" t="0" r="0" b="0"/>
                <wp:wrapNone/>
                <wp:docPr id="120" name="Frame119"/>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INDEMNITEES: Collectively, Landlord, any Mortgagee or ground lessor of the Property, the property manager and the leasing manager for the Property and their respective directors, officers, agents and employees.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LAND: The parcel(s) of real estate on which the Building and Project are located.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LANDLORD WORK: None.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LAWS OR LAW: All laws, ordinances, rules, regulations, other requirements, orders, rulings or decisions adopted or made by any governmental body, agency, department or judicial authority having jurisdiction over the Property, the Premises or Tenant's activities at the Premises and any covenants, conditions or restrictions of record which affect the Property.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LEASE: This instrument and all exhibits and riders attached hereto, as may be amended from time to time.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LEASE YEAR: The twelve month period beginning on the first day of the first month following the Commencement Date (unless the Commencement Date is the first day of a calendar month in which case beginning on the Commencement Date), and each subsequent twelve month, or shorter, period until the Expiration Date.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MONTHLY BASE RENT: The monthly rent specified in Section 1.01.</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MORTGAGEE: Any holder of a mortgage, deed of trust or other security instrument encumbering the Property.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NATIONAL HOLIDAYS: New Year's Day, President’s Day, Memorial Day, Independence Day, Labor Day, Thanksgiving Day and Christmas Day and other holidays recognized by the Landlord and any janitorial or other unions servicing the Building in accordance with their contracts.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OPERATING EXPENSES: All Taxes, costs, expenses and disbursements of every kind and nature which Landlord shall pay or become obligated to pay in connection with the ownership, management, operation, maintenance, repair and replacement of the Project, all buildings and parts thereof, as follows, with such adjustments and exclusions as follow:</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(a)    Subject to the Exclusions specifically set forth in Subsection (c) below, Operating Expenses shall include the following, by way of illustration only and not limitation: (1) all commercially reasonable costs, expenses and disbursements, including all charges of independent contractors, for all operation, services, maintenance, repair and replacements (and if any replacements are classified as capital costs, they shall be amortized as described in item (a)(6) below) provided by Landlord pursuant to Section 6.01, Section 8.01 or any other provision of the Lease, including all inspection contracts for the roof and roof membrane, preventive maintenance contracts, maintenance contracts or service contracts with respect to any of the foregoing; (2) all insurance premiums and other costs (including deductibles), including the cost of rental insurance (“Insurance Expenses”); (3) all license, permit and inspection fees; (4) all costs of water, sewer, or other utility or service which Landlord provides (and which Tenant does not itself provide or directly contract for and which is not separately metered or sub-metered to Tenant); (5) all costs of changing power, telephone or utility providers for the Building or Project; (6) all costs of capital improvements made or capital assets acquired for the Building or Project that are intended to comply with Laws, reduce or control Operating Expenses or are reasonably necessary for the health or safety of the occupants of the Project or needed to operate and/or maintain or repair the Property, Building Common Area and/or the Site at substantially the same levels in quality as prior to such improvement, all of which capital costs, and all capital costs recoverable pursuant to item (a)(1) above, shall be amortized on a straight-line basis over the useful life of such improvements, together with interest at a rate of the lesser of eight percent (8%) per annum or the maximum rate permitted by law, on the unamortized balance; (7) all dues, assessments and other expenses pursuant to any covenants, conditions and restrictions, or any reciprocal easements, or any owner’s association now or hereafter affecting the Project; (8) all costs and expenses related to Landlord's retention of consultants in connection with the routine review, inspection, testing, monitoring, analysis and control of Hazardous Material, retention of consultants in connection with the clean-up of Hazardous Material, and all costs and expenses related to the implementation of recommendations made by such consultants concerning the use, generation, storage, manufacture, production, storage, release, discharge, disposal or clean-up of Hazardous Material on, under or about the Premises or the Project; (9) all costs and fees incurred by Landlord in connection with the management and operation of this Lease and the Project, including the cost of those services which are customarily performed by a property management services company provided, however, the management fee shall not exceed two and one-half percent (2.5%) of the gross revenues of the Project; (10) all wages, salaries, payroll taxes, fringe benefits and other labor costs, including the cost of workers' compensation and disability insurance in connection with any of the foregoing; (11) all supplies, materials, equipment and tools in connection with any of the foregoing; (12) all fees or other charges incurred in connection with membership in any energy conservation, air quality, environmental, traffic management or similar organization; (13) costs and expenses of repairs, resurfacing, repairing, maintenance, painting, lighting and similar items, including appropriate reserves; and (14) Taxes. If any Operating Expense, though paid in one year, relates to more than one calendar year, at the option of Landlord such expense may be proportionately allocated among such related calendar years.</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(b)    Operating Expenses shall be adjusted as described in this Subsection. In the event the Project (or any building thereof) is less than 100% occupied during all of any Adjustment Year, or any tenant provides itself (or contracts directly for) a service of a type which Landlord would supply under the Lease and which costs would be included in Operating Expenses if paid or incurred by Landlord, or any such tenant is separately metered or sub-metered for such service, or any tenant pays directly to a third party or directly reimburses Landlord for an item of Operating Expenses (for example, paying Taxes directly to the taxing authority or reimbursing Landlord directly for Taxes), then Operating Expenses that vary with occupancy for such Adjustment Year shall be increased, employing </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535305"/>
                <wp:effectExtent l="0" t="0" r="0" b="0"/>
                <wp:wrapNone/>
                <wp:docPr id="121" name="Frame120"/>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sound management practices, to equal the amount of Operating Expenses that vary with occupancy that would have been paid or incurred by Landlord had the Project and buildings been 100% occupied, on the average, during the entire Adjustment Year and had such service been provided without separate metering or sub-metering or had such direct payment or reimbursement not been made, and the amount so determined shall be deemed to have been the amount of Operating Expenses for such Adjustment Year; provided, however, that such adjustment shall fairly allocate variable Operating Expenses so that Landlord does not, as a result of such adjustment, receive reimbursements from tenants in excess of its expenditures. If Tenant pays or directly reimburses Landlord for such category of Operating Expense, such category of Operating Expense shall be excluded from the determination of Operating Expenses for the purposes of this Lease.</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(c)    Operating Expenses shall not include the following (“Exclusions”): (1) costs of alterations solely attributable to space to be occupied by Tenant or other new or existing tenants of the Project; (2) depreciation charges; (3) interest and principal payments on loans (except for interest on the unamortized balance of capital expenditures or improvements which Landlord is allowed to include in Operating Expenses as provided above); (4) ground rental payments; (5) real estate brokerage and leasing commissions; (6) advertising and marketing expenses; (7) repairs to the extent reimbursed by net proceeds of insurance or net payments by third parties; (8) expenses incurred in negotiating leases of other tenants in the Project or enforcing lease obligations of other tenants in the Project; (9) replacement of or structural repairs to: (a) the roof, (b) the exterior walls, (c) foundation or other structural elements (if any) of the Building; (10) Wages and benefits of employees who do not devote substantially all of their time to the Building unless such wages and benefits are prorated to reflect time spent on operating and managing the Building vis-a-vis time spent on matters unrelated to operating and managing the Building and employees above the level of manager of the Building; (11) reserves of any kind; (12) costs, fees and compensation (excluding, however, management fees) paid to Landlord or to subsidiaries or affiliates of Landlord for services in the Building to the extent the same exceed the charges for comparable services rendered by unaffiliated third parties of comparable stature and reputation; (13) costs to be made at Landlord’s sole cost elsewhere in this Lease; and (14) costs of earthquake insurance deductible allocable to the Building in excess of One Hundred Thousand ($100,000) per calendar year (the “Annual Limit”); provided however, to the extent that such costs in any calendar year exceed such amount, such excess costs may be amortized over the lesser or (i) the average useful life of the repaired or replaced item as reasonably determined by Landlord, or (ii) 10 years, in each case, together with interest thereon at the Reference Rate, and included in Operating Expenses allocable to the Building in subsequent years, but not in excess of such Annual Limit per calendar year.</w:t>
      </w:r>
    </w:p>
    <w:p>
      <w:pPr>
        <w:pStyle w:val="TextBody"/>
        <w:bidi w:val="0"/>
        <w:spacing w:lineRule="auto" w:line="288" w:before="0" w:after="240"/>
        <w:jc w:val="both"/>
        <w:rPr/>
      </w:pPr>
      <w:r>
        <w:rPr>
          <w:rFonts w:ascii="Arial;sans-serif" w:hAnsi="Arial;sans-serif"/>
          <w:b w:val="false"/>
          <w:color w:val="000000"/>
          <w:sz w:val="20"/>
        </w:rPr>
        <w:t xml:space="preserve">PREMISES: The space located in the Building at the Suite Number listed in Section 1.01 and depicted on </w:t>
      </w:r>
      <w:r>
        <w:rPr>
          <w:rFonts w:ascii="Arial;sans-serif" w:hAnsi="Arial;sans-serif"/>
          <w:b w:val="false"/>
          <w:color w:val="000000"/>
          <w:sz w:val="20"/>
          <w:u w:val="single"/>
        </w:rPr>
        <w:t>Exhibit A</w:t>
      </w:r>
      <w:r>
        <w:rPr>
          <w:color w:val="000000"/>
        </w:rPr>
        <w:t xml:space="preserve"> </w:t>
      </w:r>
      <w:r>
        <w:rPr>
          <w:rFonts w:ascii="Arial;sans-serif" w:hAnsi="Arial;sans-serif"/>
          <w:b w:val="false"/>
          <w:color w:val="000000"/>
          <w:sz w:val="20"/>
        </w:rPr>
        <w:t>attached hereto.</w:t>
      </w:r>
    </w:p>
    <w:p>
      <w:pPr>
        <w:pStyle w:val="TextBody"/>
        <w:bidi w:val="0"/>
        <w:spacing w:lineRule="auto" w:line="288" w:before="0" w:after="240"/>
        <w:jc w:val="both"/>
        <w:rPr/>
      </w:pPr>
      <w:r>
        <w:rPr>
          <w:rFonts w:ascii="Arial;sans-serif" w:hAnsi="Arial;sans-serif"/>
          <w:b w:val="false"/>
          <w:color w:val="000000"/>
          <w:sz w:val="20"/>
        </w:rPr>
        <w:t xml:space="preserve">PROJECT or PROPERTY: As of the date hereof, the Project is known as Orchard Commons and consists of (a) those buildings (including the Building) whose general location are shown on the Site Plan of the Project attached as </w:t>
      </w:r>
      <w:r>
        <w:rPr>
          <w:rFonts w:ascii="Arial;sans-serif" w:hAnsi="Arial;sans-serif"/>
          <w:b w:val="false"/>
          <w:color w:val="000000"/>
          <w:sz w:val="20"/>
          <w:u w:val="single"/>
        </w:rPr>
        <w:t>Exhibit C</w:t>
      </w:r>
      <w:r>
        <w:rPr>
          <w:rFonts w:ascii="Arial;sans-serif" w:hAnsi="Arial;sans-serif"/>
          <w:b w:val="false"/>
          <w:color w:val="000000"/>
          <w:sz w:val="20"/>
        </w:rPr>
        <w:t>, located in San Jose, California, (b) associated vehicular and parking areas, landscaping and improvements; (c) the Land on which the foregoing are located and any associated interests in real property; (d) the personal property, fixtures, machinery, equipment, systems and apparatus located in or used in conjunction with any of the foregoing. The Project may also be referred to as the Property. Landlord reserves the right from time to time to add or remove buildings, areas and improvements to or from the Project. In the event of any such addition or removal which affects Rentable Area of the Project, Landlord shall make a corresponding recalculation and adjustment of any affected Rentable Area and Tenant’s Share.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REAL PROPERTY: The Property excluding any personal property.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RENT: Collectively, Monthly Base Rent, Rent Adjustments and Rent Adjustment Deposits, and all other charges, payments, late fees or other amounts required to be paid by Tenant under this Lease.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RENT ADJUSTMENT: Any amounts owed by Tenant for payment of Operating Expenses. The Rent Adjustments shall be determined and paid as provided in Article Four.</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RENT ADJUSTMENT DEPOSIT: An amount equal to Landlord's estimate of the Rent Adjustment attributable to each month of the applicable Adjustment Year. On or before the Commencement Date and beginning of each Adjustment Year or with Landlord's Statement (defined in Article Four), Landlord may estimate and notify Tenant in writing of its estimate of Operating Expenses. The Rent Adjustment Deposit is applicable at the beginning of the Term and until further notice shall be the amount, if any, specified in Section 1.01. Nothing contained herein shall be construed to limit the right of Landlord from time to time during any calendar year to revise its estimate of Operating Expenses and to notify Tenant in writing thereof and of revision by prospective adjustments in Tenant's Rent Adjustment Deposit payable over the remainder of such year. The last estimate by Landlord shall remain in effect as the applicable Rent Adjustment Deposit unless and until Landlord notifies Tenant in writing of a change.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RENTABLE AREA OF THE BUILDING: The amount of square footage set forth in Section 1.01, which represents the sum of the rentable area of all space intended for occupancy in the Building and which is subject to the provisions of Section 2.04.</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RENTABLE AREA OF THE PREMISES: The amount of square footage set forth in Section 1.01, subject to the provisions of Section 2.04.</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RENTABLE AREA OF THE PROJECT: The amount of square footage set forth in Section 1.01, which represents the sum of the rentable area of all space intended for occupancy in the Project.</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535305"/>
                <wp:effectExtent l="0" t="0" r="0" b="0"/>
                <wp:wrapNone/>
                <wp:docPr id="122" name="Frame121"/>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SECURITY: The cash and/or Letter of Credit, if any, specified in Section 1.01 as Security paid and/or delivered to Landlord as security for Tenant's performance of its obligations under this Lease, and any proceeds of the Letter of Credit drawn and held by Landlord, all as more particularly provided in Article Five.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SUBSTANTIALLY COMPLETE or SUBSTANTIAL COMPLETION: The completion of the Tenant Work, except for minor insubstantial details of construction, decoration or mechanical adjustments which remain to be done.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TAXES: All federal, state and local governmental taxes, assessments (including assessment bonds) and charges of every kind or nature, whether general, special, ordinary or extraordinary, which Landlord shall pay or become obligated to pay because of or in connection with the ownership, leasing, management, control or operation of the Property or any of its components (including any personal property used in connection therewith), which may also include any rental or similar taxes levied in lieu of or in addition to general real and/or personal property taxes. For purposes hereof, Taxes for any year shall be Taxes which are assessed for any period of such year, whether or not such Taxes are billed and payable in a subsequent calendar year. There shall be included in Taxes for any year the amount of all fees, costs and expenses (including reasonable attorneys' fees) paid by Landlord during such year in seeking or obtaining any refund or reduction of Taxes. Taxes for any year shall be reduced by the net amount of any tax refund received by Landlord attributable to such year. If a special assessment payable in installments is levied against any part of the Property, Taxes for any year shall include only the installment of such assessment and any interest payable or paid during such year. Taxes shall not include any federal or state inheritance, documentary transfer, franchise, general or net income, gift or estate taxes, except that if a change occurs in the method of taxation resulting in whole or in part in the substitution of any such taxes, or any other assessment, for any Taxes as above defined, such substituted taxes or assessments shall be included in the Taxes.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TENANT ADDITIONS: Collectively, Tenant Work and Tenant Alterations.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TENANT ALTERATIONS: Any alterations, improvements, additions, installations or construction in or to the Premises or any Real Property systems serving the Premises done or caused to be done by Tenant after the date hereof, whether prior to or after the Commencement Date (including Tenant Work).</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TENANT PARTIES: As defined in Section 7.01.</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TENANT WORK: All work installed or furnished to the Premises by Tenant in connection with Tenant’s initial occupancy pursuant to Rider 2.</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TENANT'S SHARE: Shall mean the percentage specified in Section 1.01 which represents the ratio of the Rentable Area of the Premises to the Rentable Area of the Project, subject to the provisions of Section 2.04.</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TERM: The term of this Lease commencing on the Commencement Date and expiring on the Expiration Date.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TERMINATION DATE: The Expiration Date or such earlier date as this Lease terminates or Tenant's right to possession of the Premises terminates.</w:t>
      </w:r>
    </w:p>
    <w:p>
      <w:pPr>
        <w:pStyle w:val="TextBody"/>
        <w:bidi w:val="0"/>
        <w:spacing w:lineRule="auto" w:line="288" w:before="0" w:after="240"/>
        <w:jc w:val="both"/>
        <w:rPr/>
      </w:pPr>
      <w:r>
        <w:rPr>
          <w:rFonts w:ascii="Arial;sans-serif" w:hAnsi="Arial;sans-serif"/>
          <w:b w:val="false"/>
          <w:color w:val="000000"/>
          <w:sz w:val="20"/>
        </w:rPr>
        <w:t xml:space="preserve">WORKLETTER: The agreement regarding the manner of completion of Landlord Work, if any, and Tenant Work, if any, set forth on </w:t>
      </w:r>
      <w:r>
        <w:rPr>
          <w:rFonts w:ascii="Arial;sans-serif" w:hAnsi="Arial;sans-serif"/>
          <w:b w:val="false"/>
          <w:color w:val="000000"/>
          <w:sz w:val="20"/>
          <w:u w:val="single"/>
        </w:rPr>
        <w:t>Exhibit B</w:t>
      </w:r>
      <w:r>
        <w:rPr>
          <w:color w:val="000000"/>
        </w:rPr>
        <w:t xml:space="preserve"> </w:t>
      </w:r>
      <w:r>
        <w:rPr>
          <w:rFonts w:ascii="Arial;sans-serif" w:hAnsi="Arial;sans-serif"/>
          <w:b w:val="false"/>
          <w:color w:val="000000"/>
          <w:sz w:val="20"/>
        </w:rPr>
        <w:t>hereto.</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TWO</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PREMISES, TERM, FAILURE TO GIVE POSSESSION, COMMON AREAS AND PARKING</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2.01    LEASE OF PREMISES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Landlord hereby leases to Tenant and Tenant hereby leases from Landlord the Premises for the Term and upon the terms, covenants and conditions provided in this Lease.</w:t>
      </w:r>
    </w:p>
    <w:p>
      <w:pPr>
        <w:pStyle w:val="TextBody"/>
        <w:bidi w:val="0"/>
        <w:spacing w:lineRule="auto" w:line="319" w:before="0" w:after="240"/>
        <w:ind w:left="0" w:right="0" w:hanging="720"/>
        <w:jc w:val="left"/>
        <w:rPr>
          <w:rFonts w:ascii="Arial;sans-serif" w:hAnsi="Arial;sans-serif"/>
          <w:b w:val="false"/>
          <w:color w:val="000000"/>
          <w:sz w:val="20"/>
        </w:rPr>
      </w:pPr>
      <w:r>
        <w:rPr>
          <w:rFonts w:ascii="Arial;sans-serif" w:hAnsi="Arial;sans-serif"/>
          <w:b w:val="false"/>
          <w:color w:val="000000"/>
          <w:sz w:val="20"/>
        </w:rPr>
        <w:t>2.02    TERM</w:t>
      </w:r>
    </w:p>
    <w:p>
      <w:pPr>
        <w:pStyle w:val="TextBody"/>
        <w:bidi w:val="0"/>
        <w:spacing w:lineRule="auto" w:line="319"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(a)    The Commencement Date shall be the earlier to occur of</w:t>
      </w:r>
    </w:p>
    <w:p>
      <w:pPr>
        <w:pStyle w:val="TextBody"/>
        <w:bidi w:val="0"/>
        <w:spacing w:lineRule="auto" w:line="319" w:before="0" w:after="240"/>
        <w:ind w:left="0" w:right="0" w:firstLine="720"/>
        <w:jc w:val="left"/>
        <w:rPr>
          <w:rFonts w:ascii="Arial;sans-serif" w:hAnsi="Arial;sans-serif"/>
          <w:b w:val="false"/>
          <w:color w:val="000000"/>
          <w:sz w:val="20"/>
        </w:rPr>
      </w:pPr>
      <w:r>
        <w:rPr>
          <w:rFonts w:ascii="Arial;sans-serif" w:hAnsi="Arial;sans-serif"/>
          <w:b w:val="false"/>
          <w:color w:val="000000"/>
          <w:sz w:val="20"/>
        </w:rPr>
        <w:t>(i) the Projected Commencement Date, or</w:t>
      </w:r>
    </w:p>
    <w:p>
      <w:pPr>
        <w:pStyle w:val="TextBody"/>
        <w:bidi w:val="0"/>
        <w:spacing w:lineRule="auto" w:line="319"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(ii) the date of Tenant’s commencement of its business operations (and its machine shop and warehouse functions) in substantially all of the Premises, provided that Tenant’s change of address to the Premises shall not, by such action itself, be deemed commencement of its business operations.</w:t>
      </w:r>
    </w:p>
    <w:p>
      <w:pPr>
        <w:pStyle w:val="TextBody"/>
        <w:bidi w:val="0"/>
        <w:spacing w:lineRule="auto" w:line="319" w:before="0" w:after="240"/>
        <w:jc w:val="both"/>
        <w:rPr/>
      </w:pPr>
      <w:r>
        <w:rPr>
          <w:color w:val="000000"/>
        </w:rPr>
        <w:t>    </w:t>
      </w:r>
      <w:r>
        <w:rPr>
          <w:rFonts w:ascii="Arial;sans-serif" w:hAnsi="Arial;sans-serif"/>
          <w:b w:val="false"/>
          <w:color w:val="000000"/>
          <w:sz w:val="20"/>
        </w:rPr>
        <w:t xml:space="preserve">(b)    Within thirty (30) days after delivery to Tenant of the proposed Commencement Date Agreement in the         form attached as </w:t>
      </w:r>
      <w:r>
        <w:rPr>
          <w:rFonts w:ascii="Arial;sans-serif" w:hAnsi="Arial;sans-serif"/>
          <w:b w:val="false"/>
          <w:color w:val="000000"/>
          <w:sz w:val="20"/>
          <w:u w:val="single"/>
        </w:rPr>
        <w:t>Rider 1</w:t>
      </w:r>
      <w:r>
        <w:rPr>
          <w:color w:val="000000"/>
        </w:rPr>
        <w:t xml:space="preserve"> </w:t>
      </w:r>
      <w:r>
        <w:rPr>
          <w:rFonts w:ascii="Arial;sans-serif" w:hAnsi="Arial;sans-serif"/>
          <w:b w:val="false"/>
          <w:color w:val="000000"/>
          <w:sz w:val="20"/>
        </w:rPr>
        <w:t>hereto, Landlord and Tenant shall enter into the Commencement Date             Agreement confirming the Commencement Date and the Expiration Date. If Tenant fails to enter into         such agreement, then the Commencement Date and the Expiration Date shall be the dates designated         by Landlord in such agreement.</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2.03    FAILURE TO GIVE POSSESSION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See Rider 2.</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535305"/>
                <wp:effectExtent l="0" t="0" r="0" b="0"/>
                <wp:wrapNone/>
                <wp:docPr id="123" name="Frame122"/>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2.04    AREA OF PREMISES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Landlord and Tenant agree that for all purposes of this Lease the Rentable Area of the Premises, the Rentable Area of the Building and the Rentable Area of the Project as set forth in Article One are controlling, and are not subject to revision after the date of this Lease. Landlord shall not have any right to relocate the Premises during the Term. </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2.05    CONDITION OF PREMISES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See Rider 2.</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2.06    COMMON AREAS &amp; PARKING</w:t>
      </w:r>
    </w:p>
    <w:p>
      <w:pPr>
        <w:pStyle w:val="TextBody"/>
        <w:bidi w:val="0"/>
        <w:spacing w:lineRule="auto" w:line="288" w:before="0" w:after="240"/>
        <w:ind w:left="0" w:right="0" w:firstLine="720"/>
        <w:jc w:val="both"/>
        <w:rPr/>
      </w:pPr>
      <w:r>
        <w:rPr>
          <w:rFonts w:ascii="Arial;sans-serif" w:hAnsi="Arial;sans-serif"/>
          <w:b w:val="false"/>
          <w:color w:val="000000"/>
          <w:sz w:val="20"/>
        </w:rPr>
        <w:t>(a)    </w:t>
      </w:r>
      <w:r>
        <w:rPr>
          <w:rFonts w:ascii="Arial;sans-serif" w:hAnsi="Arial;sans-serif"/>
          <w:b w:val="false"/>
          <w:color w:val="000000"/>
          <w:sz w:val="20"/>
          <w:u w:val="single"/>
        </w:rPr>
        <w:t>Right to Use Common Areas</w:t>
      </w:r>
      <w:r>
        <w:rPr>
          <w:rFonts w:ascii="Arial;sans-serif" w:hAnsi="Arial;sans-serif"/>
          <w:b w:val="false"/>
          <w:color w:val="000000"/>
          <w:sz w:val="20"/>
        </w:rPr>
        <w:t>.  Tenant shall have the non-exclusive right, in common with others, to the use of any common entrances, ramps, drives and similar access and serviceways and other Common Areas in the Project. The rights of Tenant hereunder in and to the Common Areas shall at all times be subject to the rights of Landlord and other tenants and owners in the Project who use the same in common with Tenant, and it shall be the duty of Tenant to keep all the Common Areas free and clear of any obstructions created or permitted by Tenant or resulting from Tenant's operations. Tenant shall not use the Common Areas or common facilities of the Building or the Project, including the Building's electrical room, parking lot or trash enclosures, for storage purposes. Nothing herein shall affect the right of Landlord at any time to remove any persons not authorized to use the Common Areas or common facilities from such areas or facilities or to prevent their use by unauthorized persons.</w:t>
      </w:r>
    </w:p>
    <w:p>
      <w:pPr>
        <w:pStyle w:val="TextBody"/>
        <w:bidi w:val="0"/>
        <w:spacing w:lineRule="auto" w:line="288" w:before="0" w:after="240"/>
        <w:ind w:left="0" w:right="0" w:firstLine="720"/>
        <w:jc w:val="both"/>
        <w:rPr/>
      </w:pPr>
      <w:r>
        <w:rPr>
          <w:rFonts w:ascii="Arial;sans-serif" w:hAnsi="Arial;sans-serif"/>
          <w:b w:val="false"/>
          <w:color w:val="000000"/>
          <w:sz w:val="20"/>
        </w:rPr>
        <w:t>(b)    </w:t>
      </w:r>
      <w:r>
        <w:rPr>
          <w:rFonts w:ascii="Arial;sans-serif" w:hAnsi="Arial;sans-serif"/>
          <w:b w:val="false"/>
          <w:color w:val="000000"/>
          <w:sz w:val="20"/>
          <w:u w:val="single"/>
        </w:rPr>
        <w:t>Changes in Common Areas</w:t>
      </w:r>
      <w:r>
        <w:rPr>
          <w:rFonts w:ascii="Arial;sans-serif" w:hAnsi="Arial;sans-serif"/>
          <w:b w:val="false"/>
          <w:color w:val="000000"/>
          <w:sz w:val="20"/>
        </w:rPr>
        <w:t>.  Landlord reserves the right, at any time and from time to time to (1) make alterations in or additions to the Common Areas or common facilities of the Project, including constructing new buildings or changing the location, size, shape or number of the driveways, entrances, parking spaces, parking areas, loading and unloading areas, landscape areas and walkways, (2) designate property to be included in or eliminate property from the Common Areas or common facilities of the Project, (3) close temporarily any of the Common Areas or common facilities of the Project for maintenance purposes, and (4) use the Common Areas and common facilities of the Project while engaged in making alterations in or additions and repairs to the Project; provided, however, that reasonable access to the Premises and parking at or near the Project remains available.</w:t>
      </w:r>
    </w:p>
    <w:p>
      <w:pPr>
        <w:pStyle w:val="TextBody"/>
        <w:bidi w:val="0"/>
        <w:spacing w:lineRule="auto" w:line="288" w:before="0" w:after="240"/>
        <w:ind w:left="0" w:right="0" w:firstLine="720"/>
        <w:jc w:val="both"/>
        <w:rPr/>
      </w:pPr>
      <w:r>
        <w:rPr>
          <w:rFonts w:ascii="Arial;sans-serif" w:hAnsi="Arial;sans-serif"/>
          <w:b w:val="false"/>
          <w:color w:val="000000"/>
          <w:sz w:val="20"/>
        </w:rPr>
        <w:t>(c)    </w:t>
      </w:r>
      <w:r>
        <w:rPr>
          <w:rFonts w:ascii="Arial;sans-serif" w:hAnsi="Arial;sans-serif"/>
          <w:b w:val="false"/>
          <w:color w:val="000000"/>
          <w:sz w:val="20"/>
          <w:u w:val="single"/>
        </w:rPr>
        <w:t>Parking</w:t>
      </w:r>
      <w:r>
        <w:rPr>
          <w:rFonts w:ascii="Arial;sans-serif" w:hAnsi="Arial;sans-serif"/>
          <w:b w:val="false"/>
          <w:color w:val="000000"/>
          <w:sz w:val="20"/>
        </w:rPr>
        <w:t xml:space="preserve">.  During the Term, Tenant (and its employees) shall be permitted, without a parking charge except as provided below, to park up to the number of passenger vehicles set forth in (or determined in accordance with any formula, if any, set forth in) Section 1.01, on an unreserved basis, in the common parking areas as designated by Landlord from time to time for use by occupants of the Building. Tenant acknowledges and agrees that the parking spaces in the Project's parking facility may include a mixture of spaces for compact vehicles as well as full-size passenger automobiles, and that Tenant shall not use parking spaces for vehicles larger than the striped size of the parking spaces. Tenant agrees to comply with those parking regulations and rules which Landlord establishes from time to time (which may include Landlord’s designation of reserved spaces and the requirement that vehicles bear a permanently affixed sticker) and, in the event a surcharge or regulatory fee may be imposed by any governmental authority with reference to parking, Tenant shall pay, per vehicle, to Landlord in advance (monthly or on such other basis as may be imposed by the governmental authority) such surcharge or fee as additional rent under this Lease. Tenant agrees that no vehicles belonging to, or subject to the control of Tenant or its employees, shall be “stored” in the parking area or parked overnight. If any vehicle is using the parking or loading areas contrary to any provision of this Section, Landlord shall have the right, in addition to all other rights and remedies of Landlord under this Lease, to remove or tow away the vehicle without prior notice to Tenant, and the cost thereof shall be paid to Landlord within ten (10) days after notice from Landlord to Tenant.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THREE</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RENT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Tenant agrees to pay to Landlord at the first office specified in Section 1.01, or to such other persons, or at such other places designated by Landlord, without any prior demand therefor in immediately available funds and without any deduction or offset whatsoever, Rent, including Monthly Base Rent and Rent Adjustments in accordance with Article Four, during the Term. Monthly Base Rent shall be paid monthly in advance on the first day of each month of the Term, except that the first installment of Monthly Base Rent shall be paid by Tenant to Landlord concurrently with execution of this Lease. Monthly Base Rent shall be prorated for partial months within the Term. Unpaid Rent shall bear interest at the Default Rate from the date due until paid. Tenant's covenant to pay Rent shall be independent of every other covenant in this Lease.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FOUR</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OPERATING EXPENSES, RENT ADJUSTMENTS AND PAYMENTS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4.01    RENT ADJUSTMENTS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Tenant shall pay to Landlord Rent Adjustments, including Rent Adjustment Deposits, with respect to each Adjustment Year as follows: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    The Rent Adjustment Deposit representing Tenant’s Share of Operating Expenses for the applicable Adjustment Year monthly in advance during the Term at the same time and manner as for payment of Monthly Base Rent, including advance payment of the first installment of the Rent Adjustment Deposit upon execution and delivery of this Lease; and</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535305"/>
                <wp:effectExtent l="0" t="0" r="0" b="0"/>
                <wp:wrapNone/>
                <wp:docPr id="124" name="Frame123"/>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(2)    Any Rent Adjustments due in excess of the Rent Adjustment Deposits in accordance with Section 4.02. Rent Adjustments due from Tenant to Landlord for any Adjustment Year shall be Tenant's Share of Operating Expenses for such year.</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4.02    STATEMENT OF LANDLORD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Within one hundred twenty (120) days after the end of each Adjustment Year within the Term, or as soon thereafter as reasonably possible, Landlord will furnish Tenant a reasonably detailed statement ("Landlord's Statement") showing the following: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    Operating Expenses for the last Adjustment Year;</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(2)    The amount of Rent Adjustments due Landlord for the last Adjustment Year, less credit for Rent Adjustment Deposits paid, if any; and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(3)    Any change in the Rent Adjustment Deposit due monthly in the current Adjustment Year, including the amount or revised amount due for months preceding any such change pursuant to Landlord's Statement.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Tenant shall pay to Landlord within thirty (30) days after receipt of such statement any amounts for Rent Adjustments then due in accordance with Landlord's Statement. Any amounts due from Landlord to Tenant pursuant to this Section shall be credited to the Rent Adjustment Deposit next coming due, or refunded to Tenant if the Term has already expired provided Tenant is not in default hereunder. No interest or penalties shall accrue on any amounts which Landlord is obligated to credit or refund to Tenant by reason of this Section 4.02. Landlord's failure to deliver Landlord's Statement or to compute the amount of the Rent Adjustments shall not constitute a waiver by Landlord of its right to deliver such items nor constitute a waiver or release of Tenant's obligations to pay such amounts. The Rent Adjustment Deposit shall be credited against Rent Adjustments due for the applicable Adjustment Year. During the last complete calendar year or during any partial calendar year in which the Lease terminates, Landlord may include in the Rent Adjustment Deposit its estimate of Rent Adjustments which may not be finally determined until after the termination of this Lease. Tenant's obligation to pay Rent Adjustments survives the expiration or termination of the Lease. Notwithstanding the foregoing, in no event shall the sum of Monthly Base Rent and the Rent Adjustments be less than the Monthly Base Rent payable.</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4.03    BOOKS AND RECORDS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Landlord shall maintain books and records showing Operating Expenses and Taxes in accordance with sound accounting and management practices, consistently applied. The Tenant or its representative (which representative shall be a certified public accountant licensed to do business in the state in which the Property is located and whose primary business is certified public accounting) shall have the right, for a period of sixty (60) days following the date upon which Landlord's Statement is delivered to Tenant, to examine the Landlord's books and records with respect to the items in the foregoing statement of Operating Expenses and Taxes during normal business hours, upon written notice, delivered at least three (3) business days in advance. If Tenant does not object in writing to Landlord's Statement within sixty (60) days of Tenant's receipt thereof, specifying the nature of the item in dispute and the reasons therefor, then Landlord's Statement shall be considered final and accepted by Tenant. Any amount due to the Landlord as shown on Landlord's Statement, whether or not disputed by Tenant as provided herein shall be paid by Tenant when due as provided above, without prejudice to any such written exception. If Tenant elects to have Landlord’s books and records examined, Tenant shall bear the cost of such examination, unless such examination discloses that Landlord has overstated the total costs payable by Tenant, and such overstatement is later confirmed by mutual agreement of the parties or by a court of competent jurisdiction, by more than five percent (5%) of the actual amount of such costs, in which event Landlord shall pay Tenant's reasonable and actual costs of such examination (not to exceed $3,000.00). Landlord shall promptly refund any overcharges to Tenant.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4.04    TENANT OR LEASE SPECIFIC TAXES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addition to Monthly Base Rent, Rent Adjustments, Rent Adjustment Deposits and other charges to be paid by Tenant, Tenant shall pay to Landlord, upon demand, any and all taxes payable by Landlord (other than federal or state inheritance, general income, gift or estate taxes) whether or not now customary or within the contemplation of the parties hereto: (a) upon, allocable to, or measured by the Rent payable hereunder, including any gross receipts tax or excise tax levied by any governmental or taxing body with respect to the receipt of such rent; or (b) upon or with respect to the possession, leasing, operation, management, maintenance, alteration, repair, use or occupancy by Tenant of the Premises or any portion thereof; or (c) upon the measured value of Tenant's personal property or trade fixtures located in the Premises or in any storeroom or any other place in the Premises or the Property, or the areas used in connection with the operation of the Property, it being the intention of Landlord and Tenant that, to the extent possible, Tenant shall cause such taxes on personal property or trade fixtures to be billed to and paid directly by Tenant; (d) resulting from Tenant Work or Tenant Alterations to the Premises, whether title thereto is in Landlord or Tenant; or (e) upon this transaction. Taxes paid by Tenant pursuant to this Section 4.04 shall not be included in any computation of Taxes as part of Operating Expenses.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FIVE</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SECURITY DEPOSIT</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    Tenant, at Tenant’s sole cost and expense, shall provide Landlord, simultaneously with Tenant’s execution and delivery of this Lease to Landlord, with the “Letter of Credit” (defined below) as security (“Security”) for the full and faithful performance by Tenant of each and every term, provision, covenant, and condition of this Lease. If </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535305"/>
                <wp:effectExtent l="0" t="0" r="0" b="0"/>
                <wp:wrapNone/>
                <wp:docPr id="125" name="Frame124"/>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Tenant fails timely to perform any of the terms, provisions, covenants and conditions of this Lease or any other document executed by Tenant in connection with this Lease, including, but not limited to, the payment of Rent or the repair of damage to the Premises caused by Tenant (excluding normal wear and tear), then after the expiration of any applicable notice and cure period hereunder (or if Tenant has failed to pay any installment of Rent within five (5) business days after the same is due, then, without any obligation on the part of Landlord to provide Tenant written notice of such failure), Landlord may use, apply, or retain the whole or any part of the Security for the payment of any Rent not paid when due, for the cost of repairing such damage, for the cost of cleaning the Premises, for the payment of any other sum which Landlord may expend or may be required to expend by reason of Tenant's failure to perform, and otherwise for compensation of Landlord for any other loss or damage to Landlord occasioned by Tenant's failure to perform, including, but not limited to, any loss of future Rent and any damage or deficiency in the reletting of the Premises (whether such loss, damages or deficiency accrue before or after summary proceedings or other reentry by Landlord) and the amount of the unpaid past Rent, future Rent loss, and all other losses, costs and damages, that Landlord would be entitled to recover if Landlord were to pursue recovery under Section 11.02(b) or (c) of this Lease or California Civil Code Section 1951.2 or 1951.4 (and any supplements, amendments, replacements and substitutions thereof and therefor from time to time). If Landlord so uses, applies or retains all or part of the Security, Tenant shall within five (5) business days after demand pay or deliver to Landlord in immediately available funds the sum necessary to replace the amount used, applied or retained, except as specified in (d) below. If Tenant has fully and faithfully performed and observed all of Tenant's obligations under the terms, provisions, covenants and conditions of this Lease, the Security (except any amount retained for application by Landlord as provided herein) shall be returned or paid over to Tenant no later than forty-five (45) days after the latest of: (i) the Termination Date; or (ii) the removal of Tenant from the Premises; (iii) the surrender of the Premises by Tenant to Landlord in accordance with this Lease. Provided, however, in no event shall any such return be construed as an admission by Landlord that Tenant has performed all of its obligations hereunder.</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(b)    The Security, whether in the form of cash, Letter of Credit and/or Letter of Credit Proceeds (defined below), shall not be deemed an advance rent deposit or an advance payment of any kind, or a measure of Landlord’s damages with respect to Tenant’s failure to perform, nor shall any action or inaction of Landlord with respect to it or its use or application be a waiver of, or bar or defense to, enforcement of any right or remedy of Landlord. Landlord shall not be required to keep the Security separate from its general funds and shall not have any fiduciary duties or other duties (except as set forth in this Section) concerning the Security. Tenant shall not be entitled to any interest on the Security. In the event of any sale, lease or transfer of Landlord's interest in the Building, Landlord shall have the right to transfer the Security, or balance thereof, to the vendee, transferee or lessee and any such transfer shall release Landlord from all liability for the return of the Security. Tenant thereafter shall look solely to such vendee, transferee or lessee for the return or payment of the Security. Tenant shall not assign or encumber or attempt to assign or encumber the Security or any interest in it and Landlord shall not be bound by any such assignment, encumbrance, attempted assignment or attempted encumbrance, and regardless of one or more assignments of this Lease, Landlord may return the Security to the original Tenant without liability to any assignee. Tenant hereby waives any and all rights of Tenant under the provisions of Section 1950.7 of the California Civil Code, and any and all rights of Tenant under all provisions of law, now or hereafter enacted, regarding security deposits.</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(c)    Notwithstanding anything to the contrary contained in this Lease, Tenant shall have the right initially or at any time during the Term to substitute a letter of credit in the amount of the Security Deposit specified in this Lease (the “Letter of Credit”) for a cash security deposit as the Security under this Lease. Such Letter of Credit shall conform to the requirements set forth in Section 7 of Rider 2. Within fifteen (15) business days of the date Tenant delivers a conforming Letter of Credit to Landlord, Landlord shall return the Security Deposit to Tenant, and Landlord shall have no further obligation to return or account for the Security Deposit. After Tenant’s delivery of a conforming Letter of Credit and Landlord’s return of the Security Deposit to Tenant, references to the “Security” in this Lease shall refer to the Letter of Credit.</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(d)    If Tenant fails timely to perform any obligation under this Article Five, such breach shall constitute a Default by Tenant under this Lease without any right to or requirement of any further notice or cure period under any other Article of this Lease, except such notice and cure period expressly provided under this Article Five.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SIX</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UTILITIES &amp; SERVICES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6.01    LANDLORD'S GENERAL SERVICES</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(a)    Landlord shall provide services and maintenance only as expressly provided in this Section 6.01 and Article Eight below.</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(b)    Landlord shall provide water through Landlord’s existing water pipes and permit Tenant to connect to Landlord’s existing water and sewer pipes as provided in Section 6.02(b) below for the purpose of providing such utilities to the Premises. Landlord shall not be obligated to provide any chilled water, tempered water or water heater, nor shall Landlord be obligated to provide any restroom facility or plumbing above the slab.</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(c)    Landlord shall provide electricity to Landlord’s existing main electrical panel and permit Tenant to connect to such panel for the purpose of providing such utility to the Premises as provided in Section 6.02(b) below.</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(d)    Landlord shall permit Tenant to connect to Landlord’s existing main telephone panel for the purpose of providing such utility to the Premises as provided in Sections 6.02(b) and 6.03 below.</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535305"/>
                <wp:effectExtent l="0" t="0" r="0" b="0"/>
                <wp:wrapNone/>
                <wp:docPr id="126" name="Frame125"/>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6.02    TENANT TO OBTAIN &amp; PAY DIRECTLY</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(a)    Tenant shall be responsible for and shall pay promptly all charges for janitorial service and all utilities (except as provided in Sections 6.02(b) and (c)), materials and services furnished directly to or used by Tenant in, on or about the Premises, together with all taxes thereon. Tenant shall contract directly with the providing companies for such utilities and services, subject to all other provisions of this Lease. If a particular utility is provided only to a master meter for the Building and Tenant cannot obtain and pay for such utility directly with the utility, then such utility shall be separately metered or submetered to the Premises by Landlord at Landlord’s sole cost.</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(b)    All connections to Landlord’s existing electrical, water, sewer and telephone systems contemplated by Section 6.01 shall be subject to all other provisions of this Lease, including Landlord’s prior written approval, in Landlord’s reasonable discretion, of all relevant factors, including allocation of available capacity of each system, the extent to which the system is safely capable for the desired connection, and other provisions of Article Nine. Tenant shall make, operate, maintain and repair, at its sole cost and expense, all connections, to or of any electrical panel, breaker, feeder, wiring, conduits, transformer, plumbing and any additional equipment necessary to connect Tenant’s facilities to any Building Systems. Tenant's use of electric current shall at no time exceed the capacity of the wiring, feeders and risers providing electric current to the Premises or the Building. The consent of Landlord to the installation of electric equipment shall not relieve Tenant from the obligation to limit usage of electricity to no more than such capacity.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(c)    Without limiting the generality of the foregoing, Tenant, at Tenant’s sole cost and expense, shall provide, install, operate, maintain, repair and replace meters (or if direct connection to the utility for the Premises exclusively is not available, then separate submeter(s)) for Tenant’s consumption of electricity (and upon Landlord’s request, for water and any other utility which Landlord permits Tenant to use). For any utility provided to the Premises through a master meter to the Building and separately submetered to Tenant, Tenant shall pay Landlord within thirty (30) days after receipt of a statement for all costs of such electricity (and water or other utility which is separately submetered) used by or furnished to Tenant, as shown by such submeter(s). For any billing period which will not be completed and billed before the Lease terminates, Landlord may bill Tenant in advance on an estimated basis, subject to subsequent adjustment for any further amount due from Tenant or credit/refund due from Landlord when the final submeter readings are done. Tenant’s obligation to pay such amounts survives the expiration or termination of this Lease. Tenant shall cause all submeters installed by Tenant for any purpose, whether for electricity, water or other utility to be tested and certified prior to Tenant’s occupancy of the Premises and thereafter at least annually by a State of California certified testing company, at Tenant’s sole cost and expense.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6.03    TELEPHONE SERVICES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All telephone and communication connections which Tenant may desire outside the Premises and the contractors performing work in connection therewith shall be subject to Landlord's prior written approval, in Landlord's sole discretion. As to any such connections or work outside the Premises requiring Landlord’s approval, Landlord reserves the right to designate and control the entity or entities providing telephone or other communication cable installation, removal, repair and maintenance outside the Premises and to restrict and control access to telephone cabinets or panels. Tenant shall be responsible for and shall pay all costs incurred in connection with the installation and maintenance of telephone and communication wiring in the Premises, including any hook-up, access and maintenance fees related to the installation of such in the Premises; and there shall be included in Operating Expenses for the Building all installation, removal, hook-up or maintenance costs incurred by Landlord in connection with telephone and communication wiring serving the Building which are not allocable to any individual users of such service but are allocable to the Building generally. If Tenant fails to maintain all telephone and communication wiring in the Premises and such failure affects or interferes with the operation or maintenance of any other telephone communication wiring serving the Building, Landlord or any vendor hired by Landlord may enter into and upon the Premises forthwith and perform such work as Landlord deems necessary in order to eliminate any such interference (and Landlord may recover from Tenant all of Landlord's costs in connection therewith). No later than the Termination Date, Tenant agrees to remove all telephone communication wiring installed by Tenant for and during Tenant's occupancy that Landlord requests Tenant to remove.</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6.04    FAILURE OR INTERRUPTION OF UTILITY OR SERVICE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To the extent that any equipment or machinery furnished or maintained by Landlord is used in the delivery of utilities to Tenant pursuant to Sections 6.01 or 6.02 and breaks down or ceases to function properly, Landlord shall use commercially reasonable diligence to repair same promptly. In the event of any failure, stoppage or interruption of, or change in, any utilities or services supplied by Landlord which are not directly obtained by Tenant, Landlord shall use commercially reasonable diligence to have service promptly resumed. In either event covered by the preceding two sentences, if the cause of any such failure, stoppage or interruption of, or change in, utilities or services is within the control of a public utility, other public or quasi-public entity, or utility provider, notification to such utility or entity of such failure, stoppage or interruption and request to remedy the same shall constitute "reasonable diligence" by Landlord to have service promptly resumed. Notwithstanding any other provision of this Section to the contrary, in the event of any failure, stoppage or interruption of, or change in, any utility or other service furnished to the Premises or the Project resulting from any cause, including changes in service provider or Landlord's compliance with any voluntary or similar governmental or business guidelines now or hereafter published or any requirements now or hereafter established by any governmental agency, board or bureau having jurisdiction over the operation of the Project: (a) Landlord shall not be liable for, and Tenant shall not be entitled to, any abatement or reduction of Rent; (b) no such failure, stoppage, or interruption of any such utility or service shall constitute an eviction of Tenant or relieve Tenant of the obligation to perform any covenant or agreement of this Lease to be performed by Tenant; and (c) Landlord shall not be in breach of this Lease nor be liable to Tenant for damages or otherwise.</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535305"/>
                <wp:effectExtent l="0" t="0" r="0" b="0"/>
                <wp:wrapNone/>
                <wp:docPr id="127" name="Frame126"/>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6.05    SIGNAGE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Except as provided in Rider 2, Tenant shall not install any signage within the Project, the Building or the Premises (if visible from the exterior of the Premises) without obtaining the prior written approval of Landlord (which shall not be unreasonably withheld, conditioned or delayed), and Tenant shall be responsible for procurement, installation, maintenance and removal of any such signage installed by Tenant, and all costs in connection therewith. Tenant, at its sole cost and expense, shall be responsible for obtaining all necessary approvals and/or permits with respect to all of its signage, and for causing any such signage to at all times comply with Landlord's current Project signage criteria, with any master associations, declaration or covenants, conditions and restrictions which apply to the Project and with all Laws.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SEVEN</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POSSESSION, USE AND CONDITION OF PREMISES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7.01    POSSESSION AND USE OF PREMISES</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(a)    Tenant shall occupy and use the Premises only for the uses specified in Section 1.01 to conduct Tenant's business. Tenant shall not occupy or use the Premises (or permit the use or occupancy of the Premises) for any purpose or in any manner which: (1) is unlawful or in violation of any Law or Environmental Law; (2) may be dangerous to persons or property or which may increase the cost of, or invalidate, any policy of insurance carried on the Building or covering its operations; (3) is contrary to or prohibited by the terms and conditions of this Lease or the rules and regulations as provided in Article Eighteen; (4) contrary to or prohibited by the articles, bylaws or rules of any owner’s association affecting the Project; (5) would unreasonably interfere with the rights of other tenants or would tend to create or continue a nuisance; (6) would constitute any waste in or upon the Premises or Project; or (7) includes maintaining, servicing, repairing, fueling or refueling any truck or vehicle of any kind on the Premises or the Project, except as may be required to replace propane tanks mounted on any propane-powered forklifts. Without limiting the generality of the foregoing, Tenant shall not bring upon the Premises or any portion of the Project or use the Premises or permit the Premises or any portion thereof to be used for the growing, manufacturing, administration, distribution (including without limitation, any retail sales), possession, use or consumption of any cannabis, marijuana or cannabinoid product or compound, regardless of the legality or illegality of the same.</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(b)    Landlord and Tenant acknowledge that the Americans With Disabilities Act of 1990 (42 U.S.C. §12101 et seq.) and regulations and guidelines promulgated thereunder, as all of the same may be amended and supplemented from time to time (collectively referred to herein as the "ADA") establish requirements for business operations, accessibility and barrier removal, and that such requirements may or may not apply to the Premises, the Building and the Project depending on, among other things: (1) whether Tenant's business is deemed a "public accommodation" or "commercial facility", (2) whether such requirements are "readily achievable", and (3) whether a given alteration affects a "primary function area" or triggers "path of travel" requirements. The parties hereby agree that: (a) Landlord shall be responsible for ADA Title III compliance in the Common Areas, except as provided below, (b) Tenant shall be responsible for ADA Title III compliance in the Premises, including any leasehold improvements or other work to be performed in the Premises under or in connection with this Lease, (c) Landlord may perform, or require that Tenant perform, and Tenant shall be responsible for the cost of, ADA Title III "path of travel" requirements triggered by Tenant Additions in the Premises, and (d) Landlord may perform, or require Tenant to perform, and Tenant shall be responsible for the cost of, ADA Title III compliance in the Common Areas necessitated by the Building being deemed to be a "public accommodation" instead of a "commercial facility" as a result of Tenant's specific use of the Premises. Tenant shall be solely responsible for requirements under Title I of the ADA relating to Tenant's employees.</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(c)    Landlord and Tenant agree to cooperate and use commercially reasonable efforts to participate in traffic management programs generally applicable to businesses located in or about the area and Tenant shall encourage and support van and car pooling by, and staggered and flexible working hours for, its office workers and service employees to the extent reasonably permitted by the requirements of Tenant's business. Neither this Section or any other provision of this Lease is intended to or shall create any rights or benefits in any other person, firm, company, governmental entity or the public.</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(d)    Tenant agrees to reasonably cooperate with Landlord and to comply with any and all guidelines or controls concerning energy management imposed upon Landlord by federal or state governmental organizations or by any energy conservation association to which Landlord is a party or which is applicable to the Building.</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7.02    HAZARDOUS MATERIAL</w:t>
      </w:r>
    </w:p>
    <w:p>
      <w:pPr>
        <w:pStyle w:val="TextBody"/>
        <w:bidi w:val="0"/>
        <w:spacing w:lineRule="auto" w:line="288" w:before="0" w:after="240"/>
        <w:ind w:left="0" w:right="0" w:firstLine="720"/>
        <w:jc w:val="both"/>
        <w:rPr/>
      </w:pPr>
      <w:r>
        <w:rPr>
          <w:rFonts w:ascii="Arial;sans-serif" w:hAnsi="Arial;sans-serif"/>
          <w:b w:val="false"/>
          <w:color w:val="000000"/>
          <w:sz w:val="20"/>
        </w:rPr>
        <w:t xml:space="preserve">(a)    Tenant shall not use, generate, manufacture, produce, store, handle, release, discharge, or dispose of, on, under or about the Premises or any part of the Project, or transport to or from the Premises or any part of the Project, any Hazardous Material, or allow any “Tenant Parties” (as defined below) to do so except to the extent expressly provided below. For purposes of this Lease, “Tenant Parties” shall mean all occupants or users of the Premises permitted or suffered by Tenant, or the employees, servants, agents, contractors, customers or invitees of Tenant or of any such occupants or users. Provided that the Premises are used only for the uses specified in Section 1.01 above, Tenant shall be permitted to use and store in, and transport to and from, the Premises Hazardous Material identified on </w:t>
      </w:r>
      <w:r>
        <w:rPr>
          <w:rFonts w:ascii="Arial;sans-serif" w:hAnsi="Arial;sans-serif"/>
          <w:b w:val="false"/>
          <w:color w:val="000000"/>
          <w:sz w:val="20"/>
          <w:u w:val="single"/>
        </w:rPr>
        <w:t>Exhibit D</w:t>
      </w:r>
      <w:r>
        <w:rPr>
          <w:color w:val="000000"/>
        </w:rPr>
        <w:t xml:space="preserve"> </w:t>
      </w:r>
      <w:r>
        <w:rPr>
          <w:rFonts w:ascii="Arial;sans-serif" w:hAnsi="Arial;sans-serif"/>
          <w:b w:val="false"/>
          <w:color w:val="000000"/>
          <w:sz w:val="20"/>
        </w:rPr>
        <w:t xml:space="preserve">hereto and by this reference incorporated herein ("Permitted Hazardous Material") so long as: (i) each item of the Permitted Hazardous Material is used or stored in, or transported to and from, the Premises only to the extent necessary for Tenant's operation of its business at the Premises; (ii) at no time shall any Permitted Hazardous Material be in use or storage at the Premises in excess of the quantity specified therefor in </w:t>
      </w:r>
      <w:r>
        <w:rPr>
          <w:rFonts w:ascii="Arial;sans-serif" w:hAnsi="Arial;sans-serif"/>
          <w:b w:val="false"/>
          <w:color w:val="000000"/>
          <w:sz w:val="20"/>
          <w:u w:val="single"/>
        </w:rPr>
        <w:t>Exhibit D</w:t>
      </w:r>
      <w:r>
        <w:rPr>
          <w:rFonts w:ascii="Arial;sans-serif" w:hAnsi="Arial;sans-serif"/>
          <w:b w:val="false"/>
          <w:color w:val="000000"/>
          <w:sz w:val="20"/>
        </w:rPr>
        <w:t xml:space="preserve">; (iii) Tenant shall not install any underground tanks of any type; and (iv) the conditions and provisions set forth in this Section 7.02 are complied with. Tenant shall comply with and shall cause all Tenant Parties to comply with all </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535305"/>
                <wp:effectExtent l="0" t="0" r="0" b="0"/>
                <wp:wrapNone/>
                <wp:docPr id="128" name="Frame127"/>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Environmental Laws and other Laws pertaining to Tenant's occupancy and use of the Premises and concerning the proper use, generation, manufacture, production, storage, handling, release, discharge, removal and disposal of any Hazardous Material introduced to the Premises, the Building or the Property by Tenant or any of the Tenant Parties. Without limiting the generality of the foregoing:</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(1)Tenant shall provide Landlord promptly with copies of: (x) all permits, licenses and other governmental and regulatory approvals with respect to the use, generation, manufacture, production, storage, handling, release, discharge, removal and disposal by Tenant or Any of the Tenant Parties of Hazardous Material at the Project; and (y) each hazardous material management plan or similar document (“Plan(s)”) with respect to use, generation, manufacture, production, storage, handling, release, discharge, removal or disposal of Hazardous Material by Tenant or any of the Tenant Parties necessary to comply with Environmental Laws or other Laws prepared by or on behalf of Tenant or any of the Tenant Parties (whether or not required to be submitted to a governmental agency).</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(2)If Tenant is notified of any investigation or violation of any Environmental Laws or other Laws arising from any activity of Tenant or any of the Tenant Parties at the Property, or if Tenant knows, or has reasonable cause to believe, that a Hazardous Material has come to be located in, on, under or about the Premises or the Project, other than as previously consented to by Landlord, Tenant shall immediately give written notice of such fact to Landlord, and provide Landlord with a copy of all reports, notices, claims or other documentation which it has concerning the presence of such Hazardous Material. In such event or in the event Landlord reasonably believes that there exists a violation of this Lease or Environmental Law or other Laws by Tenant or any of the Tenant Parties, Landlord may conduct, at Tenant’s reasonable expense, such tests and studies as Landlord deems desirable relating to compliance by Tenant or any of the Tenant Parties with this Lease, Environmental Laws, other Laws, or relating to the alleged presence of Hazardous Material introduced to the Premises, the Building or the Property by Tenant or any of the Tenant Parties.</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(3)Neither Tenant nor any of the Tenant Parties shall cause or permit any Hazardous Material to be released, discharged or disposed of in, on, under, or about the Premises or the Project (including through the plumbing or sanitary sewer system) and shall promptly, at Tenant’s expense, take all investigatory and/or remedial action reasonably recommended, whether or not formally ordered or required, for the cleanup of any contamination of, and for the maintenance, security and/or monitoring of the Premises, the Project or neighboring properties, that was caused or materially contributed to by Tenant, or pertaining to or involving any Hazardous Material brought onto the Premises or the Project by Tenant or any of the Tenant Parties.</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(4)Tenant shall, no later than the Termination Date, surrender the Premises to Landlord free of Hazardous Material introduced by Tenant and with all remedial and/or closure plans completed (and deliver evidence thereof to Landlord).</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(b)    To the extent permitted by law, Tenant hereby indemnifies and agrees to protect, defend and hold the Indemnitees harmless against all actions, claims, demands, liability, costs and expenses, including attorneys' fees and expenses for the defense thereof, arising from the use, generation, manufacture, production, storage, handling, release, threatened release, discharge, disposal, transportation to or from, or presence of any Hazardous Material on, under or about the Premises or any part of the Project caused by Tenant or by any of the Tenant Parties, whether before, during or after the Term. Tenant's obligations under this Section 7.02 shall survive the expiration or earlier termination of this Lease. In case of any action or proceeding brought against the Indemnitees by reason of any such claim, upon notice from Landlord, Tenant covenants to defend such action or proceeding by counsel approved by Landlord, in Landlord's reasonable discretion. Landlord reserves the right to settle, compromise or dispose of any and all actions, claims and demands related to the foregoing indemnity.</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(c)    The right to use and store in, and transport to and from, the Premises the Permitted Hazardous Material may not be assigned or otherwise transferred by such original Tenant without the prior written consent of Landlord, which consent may be withheld in Landlord's reasonable discretion. Any consent by Landlord pursuant to Article Ten to an assignment, transfer, subletting, mortgage, pledge, hypothecation or encumbrance of this Lease, and any interest therein or right or privilege appurtenant thereto, shall not constitute consent by Landlord to the use or storage at, or transportation to, the Premises of any Hazardous Material (including a Permitted Hazardous Material) by any such assignee, sublessee or transferee unless Landlord expressly agrees otherwise in writing. Any consent by Landlord to the use or storage at, or transportation to or from the Premises, of any Hazardous Material (including a Permitted Hazardous Material) by an assignee, sublessee or transferee of Tenant shall not constitute a waiver of Landlord's right to refuse such consent as to any subsequent assignee or transferee.</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(d)    Tenant acknowledges that the sewer piping at the Project is made of ABS plastic. Accordingly, without Landlord's prior written consent, which may be given or withheld in Landlord's sole discretion, only ordinary domestic sewage is permitted to be put into the drains at the Premises. UNDER NO CIRCUMSTANCES SHALL Tenant EVER DEPOSIT ANY ESTERS OR KETONES (USUALLY FOUND IN SOLVENTS TO CLEAN UP PETROLEUM PRODUCTS) IN THE DRAINS AT THE PREMISES. If Tenant desires to put any substances other than ordinary domestic sewage into the drains, it shall first submit to Landlord a complete description of each such substance, including its chemical composition, and a sample of such substance suitable for laboratory testing. Landlord shall promptly determine whether or not the substance can be deposited into the drains and its determination shall be absolutely binding on Tenant. Upon demand, Tenant shall reimburse Landlord for expenses incurred by Landlord in making such determination. If any substances not so approved hereunder are deposited in the drains in Tenant's Premises, Tenant shall be liable to Landlord for all damages resulting therefrom, including but not limited to all costs and expenses incurred by Landlord in repairing or replacing the piping so damaged.</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535305"/>
                <wp:effectExtent l="0" t="0" r="0" b="0"/>
                <wp:wrapNone/>
                <wp:docPr id="129" name="Frame128"/>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(e)    Upon any violation of any of the foregoing covenants, in addition to all remedies available to a landlord against the defaulting tenant, including but not limited to those set forth in Article Eleven of this Lease, Tenant expressly agrees that upon any such violation Landlord may, at its option (i) immediately terminate this Lease by giving written notice to Tenant of such termination, or (ii) continue this Lease in effect until compliance by Tenant with its clean-up and removal covenant (notwithstanding the expiration of the Term). No action by Landlord hereunder shall impair the obligations of Tenant pursuant to this Section 7.02.</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7.03    LANDLORD ACCESS TO PREMISES; APPROVALS</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    Tenant shall permit Landlord to erect, use and maintain pipes, ducts, wiring and conduits in and through the Premises, so long as Tenant's use, layout or design of the Premises is not materially affected or altered. Landlord or Landlord's agents shall have the right to enter upon the Premises in the event of an emergency by giving Tenant such notice as is reasonable under the circumstances, which may be oral, or upon reasonable prior written notice to Tenant, to inspect the Premises, to perform janitorial and other services (if any), to conduct safety and other testing in the Premises and to make such repairs, alterations, improvements or additions to the Premises or the Building or other parts of the Property as Landlord may deem necessary or desirable (including all alterations, improvements and additions in connection with a change in service provider or providers). Janitorial and cleaning services (if any) shall be performed after normal business hours. Any entry or work by Landlord may be during normal business hours and Landlord shall use reasonable efforts to minimize interference with Tenant’s occupancy of the Premises; provided, however, that in the case of non-emergency entries at any time that are likely to materially interfere with Tenant’s occupancy of the Premises, Landlord shall provide Tenant with reasonable prior written notice.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(b)    If Tenant shall not be personally present to permit an entry into the Premises when for any reason an entry therein shall be necessary or permissible, Landlord (or Landlord's agents), after attempting to notify Tenant (unless Landlord believes an emergency situation exists), may enter the Premises without rendering Landlord or its agents liable therefor, and without relieving Tenant of any obligations under this Lease.</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(c)    Landlord may enter the Premises for the purpose of conducting such inspections, tests and studies as Landlord may deem desirable or necessary to confirm Tenant's compliance with all Laws and Environmental Laws or for other purposes necessary in Landlord's reasonable judgment to ensure the sound condition of the Property and the systems serving the Property. Landlord's rights under this Section 7.03 (c) are for Landlord's own protection only, and Landlord has not, and shall not be deemed to have assumed, any responsibility to Tenant or any other party as a result of the exercise or non-exercise of such rights, for compliance with Laws or Environmental Laws or for the accuracy or sufficiency of any item or the quality or suitability of any item for its intended use.</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(d)    Landlord may do any of the foregoing, or undertake any of the inspection or work described in the preceding paragraphs without such action constituting an actual or constructive eviction of Tenant, in whole or in part, or giving rise to an abatement of Rent by reason of loss or interruption of business of the Tenant, or otherwise.</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(e)    The review, approval or consent of Landlord with respect to any item required or permitted under this Lease is for Landlord's own protection only, and Landlord has not, and shall not be deemed to have assumed, any responsibility to Tenant or any other party, as a result of the exercise or non-exercise of such rights, for compliance with Laws or Environmental Laws or for the accuracy or sufficiency of any item or the quality or suitability of any item for its intended use.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7.04    QUIET ENJOYMENT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Landlord covenants, in lieu of any implied covenant of quiet possession or quiet enjoyment, that so long as Tenant is in compliance with the covenants and conditions set forth in this Lease, Tenant shall have the right to quiet enjoyment of the Premises without hindrance or interference from Landlord or those claiming through Landlord, and subject to the covenants and conditions set forth in the Lease and to the rights of any Mortgagee or ground lessor.</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EIGHT</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MAINTENANCE</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8.01    LANDLORD'S MAINTENANCE</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    Subject to Article Fourteen and Section 8.02, Landlord shall maintain in good condition the following: (1) structural portions of the Building; (2) roof (including skylights and membrane and flashing); (3) bearing and exterior walls (excluding interior side of walls, all glass and exterior doors which face or open into any space occupied by Tenant or other tenants); (4) foundation; (5) under-slab standard sewer and plumbing system of the Building; (6) standard feeder lines for electricity and other utilities to the main panels to which Tenant may connect (as described in Article Six), except for any parts of such lines and facilities which are owned and/or maintained by the respective utility; (7) fire sprinkler system and any fire detection/warning; and (8) the Building's standard heating, ventilating and air conditioning system. Landlord reserves the right to perform or to enter into contracts (“Service Contracts”) for regularly scheduled inspections, maintenance and service for the following: (i) pest control and/or extermination; and (ii) for equipment and improvements, whether serving any Common Areas or serving or located in the Premises (except for any special, non-standard equipment installed at Tenant’s sole cost and which Tenant has the right to remove upon expiration of the Term): heating, ventilating and air conditioning systems and equipment; roof and roof membrane; sprinkler system and any fire detection/warning system; and other systems, equipment or improvements. Landlord shall not be required to make any repair under this Section 8.01 to the Premises or Project (either as initially delivered by Landlord or thereafter) resulting from (a) any Tenant Additions performed by, for or because of Tenant or to special equipment or systems installed by, for or because of Tenant, (b) Tenant’s failure to observe any condition or perform </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535305"/>
                <wp:effectExtent l="0" t="0" r="0" b="0"/>
                <wp:wrapNone/>
                <wp:docPr id="130" name="Frame129"/>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any obligation of Tenant under this Lease, (c) any misuse or neglect of Tenant, its employees, servants, agents, contractors, invitees or customers, (d) fire and other casualty, except as provided by Article Fourteen, or (e) condemnation, except as provided by Article Fifteen.</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(b)    Subject to Article Fourteen and Section 8.02, Landlord shall also (i) operate and maintain in good condition the Common Areas of the Project, including the landscaping and irrigation therefor, common drives, ramps, access and serviceways (including sweeping, striping and slurry coating), outdoor lighting of the Common Areas, and (ii) operate, manage and maintain in good condition any Project signage, except any specific identification of Tenant or other tenants on any monument(s) or multi-tenant sign platform(s), if any.</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(c)    Except as provided in Article Fourteen and Article Fifteen, there shall be no abatement of rent, no allowance to Tenant for diminution of rental value and no liability of Landlord by reason of inconvenience, annoyance or any injury to or interference with Tenant's business arising from the making of or the failure to provide or perform any service, maintenance or repairs in or to any portion of the Project or in or to any fixtures, appurtenances or equipment therein. Tenant waives the right to make repairs at Landlord's expense under any Law now or hereafter in effect.</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8.02    TENANT'S MAINTENANCE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Subject to the provisions of Article Fourteen, Tenant shall, at Tenant's sole cost and expense, maintain in good and clean condition, and make all repairs (except for any maintenance and repair which Landlord is expressly required to make pursuant to Section 8.01) to the following: (a) the Premises and fixtures therein, including the interior walls, interior side of exterior walls, glass and windows of the Premises, all doors to the Premises and all doors within the Premises; (b) slab within the Premises, and without limiting the generality of the foregoing, Tenant shall also cause any racking system to be designed by an engineer who has been reasonably approved in writing by Landlord, and any such system and its use shall be appropriate for, and shall not cause any damage to, the slab; (c) the electrical, lighting, plumbing and heating, ventilating and air conditioning systems or other utilities to the extent located within or exclusively serving the Premises (including both standard and non-standard equipment); (d) the area immediately surrounding the Premises (including all service-ways, loading docks and dock areas adjacent to the Premises, and garbage enclosures serving the Premises); and (e) Tenant's signage. Tenant shall deliver to Landlord a copy of any maintenance contract entered into by Tenant with respect to the Premises with respect to any equipment or improvement for which Landlord does not carry a maintenance or service contract pursuant to Section 8.01(a) above. Notwithstanding anything contained in Section 8.01, but subject to the waivers set forth in Section 16.04, Tenant shall pay for any repairs to the Building or the Project which are caused by the negligence or carelessness or intentional misconduct of Tenant or its assignees, subtenants or employees, or of the respective agents of any of the foregoing persons, or of any other persons permitted in the Building or elsewhere in the Project by Tenant or any of them. </w:t>
      </w:r>
    </w:p>
    <w:p>
      <w:pPr>
        <w:pStyle w:val="TextBody"/>
        <w:bidi w:val="0"/>
        <w:spacing w:lineRule="auto" w:line="288" w:before="0" w:after="240"/>
        <w:jc w:val="both"/>
        <w:rPr/>
      </w:pPr>
      <w:r>
        <w:rPr>
          <w:rFonts w:ascii="Arial;sans-serif" w:hAnsi="Arial;sans-serif"/>
          <w:b w:val="false"/>
          <w:color w:val="000000"/>
          <w:sz w:val="20"/>
        </w:rPr>
        <w:t>During the initial Term only, Tenant’s obligation with respect to the costs and expenses associated with Tenant’s repair and maintenance of any HVAC unit serving the Premises (“</w:t>
      </w:r>
      <w:r>
        <w:rPr>
          <w:rFonts w:ascii="Arial;sans-serif" w:hAnsi="Arial;sans-serif"/>
          <w:b/>
          <w:color w:val="000000"/>
          <w:sz w:val="20"/>
        </w:rPr>
        <w:t>Premises HVAC Unit(s)</w:t>
      </w:r>
      <w:r>
        <w:rPr>
          <w:color w:val="000000"/>
        </w:rPr>
        <w:t>”</w:t>
      </w:r>
      <w:r>
        <w:rPr>
          <w:rFonts w:ascii="Arial;sans-serif" w:hAnsi="Arial;sans-serif"/>
          <w:b w:val="false"/>
          <w:color w:val="000000"/>
          <w:sz w:val="20"/>
        </w:rPr>
        <w:t>) (but expressly excluding replacement of the Premises HVAC Units) shall not exceed a total cumulative amount equal to $3,000 per Premises HVAC Unit in any twelve (12) month period of the initial Term (the “</w:t>
      </w:r>
      <w:r>
        <w:rPr>
          <w:rFonts w:ascii="Arial;sans-serif" w:hAnsi="Arial;sans-serif"/>
          <w:b/>
          <w:color w:val="000000"/>
          <w:sz w:val="20"/>
        </w:rPr>
        <w:t>HVAC Cap</w:t>
      </w:r>
      <w:r>
        <w:rPr>
          <w:color w:val="000000"/>
        </w:rPr>
        <w:t>”</w:t>
      </w:r>
      <w:r>
        <w:rPr>
          <w:rFonts w:ascii="Arial;sans-serif" w:hAnsi="Arial;sans-serif"/>
          <w:b w:val="false"/>
          <w:color w:val="000000"/>
          <w:sz w:val="20"/>
        </w:rPr>
        <w:t>). The HVAC Cap shall not apply to any repair and maintenance obligations which are covered by Tenant’s preventative maintenance/service contract or would have been covered if Tenant had procured and maintained a preventative maintenance/service contract as required above or to any repair and/or above-normal maintenance caused by Tenant or any Tenant Party or any of Tenant’s transferees, contractors or licensees. Prior to performing any such repair or maintenance to any of the Premises HVAC Units, Tenant shall notify Landlord in writing (Tenant’s “</w:t>
      </w:r>
      <w:r>
        <w:rPr>
          <w:rFonts w:ascii="Arial;sans-serif" w:hAnsi="Arial;sans-serif"/>
          <w:b/>
          <w:color w:val="000000"/>
          <w:sz w:val="20"/>
        </w:rPr>
        <w:t>HVAC Repair Notice</w:t>
      </w:r>
      <w:r>
        <w:rPr>
          <w:color w:val="000000"/>
        </w:rPr>
        <w:t>”</w:t>
      </w:r>
      <w:r>
        <w:rPr>
          <w:rFonts w:ascii="Arial;sans-serif" w:hAnsi="Arial;sans-serif"/>
          <w:b w:val="false"/>
          <w:color w:val="000000"/>
          <w:sz w:val="20"/>
        </w:rPr>
        <w:t>) of the necessity of such repairs or maintenance and Tenant’s estimated cost thereof. Landlord, at its sole option, may investigate the type and necessity of any such contemplated repair or maintenance item, and procure a cost estimate of repairs or maintenance necessary to enable the Premises HVAC Units to operate in a good, safe and satisfactory condition. Landlord may elect to perform any such repair or maintenance of the Premises HVAC Units by providing written notice of such election within five (5) days of receiving notice from Tenant’s HVAC Repair Notice. In the event Landlord elects to perform or have its contractors perform any such repair or maintenance of the Premises HVAC Units, Tenant shall reimburse Landlord its costs and expenses incurred in performing such repair and maintenance of the applicable Premises HVAC Unit up to an amount equal to the HVAC Cap. The Premises HVAC Cap shall only apply to the repair and maintenance of the Premises HVAC Units and shall not apply to any required replacement of any Premises HVAC Units. Notwithstanding the terms of this Section 8.02, and except to the extent caused by the negligence or willful misconduct of Tenant or any Tenant Parties, and so long as Tenant strictly complies with the requirements of this Section 8.02, to the extent Landlord is made aware and Landlord determines in its reasonable discretion that expenditures of a capital nature for the replacement of any heating, ventilation and air conditioning system (which is otherwise Tenant’s obligation to repair and maintain pursuant to the terms of this Lease) are necessary or are otherwise prudent to perform, Landlord shall cause such work to be completed and Tenant shall pay the amortized portion of such expenditure in the same manner as set forth in Section 1.03 of this Lease (i.e., amortized over the average useful life of the repaired or replaced item as reasonably determined by Landlord, together with interest thereon at the Reference Rate).  Tenant shall be responsible for paying amortized amounts due during the Term and any extension thereof.</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NINE</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ALTERATIONS AND IMPROVEMENTS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9.01    TENANT ALTERATIONS</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(a)    The following provisions shall apply to the completion of any Tenant Alterations:</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535305"/>
                <wp:effectExtent l="0" t="0" r="0" b="0"/>
                <wp:wrapNone/>
                <wp:docPr id="131" name="Frame130"/>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(1)    Tenant shall not, except as provided herein, without the prior written consent of Landlord, which consent shall not be unreasonably withheld, make or cause to be made any Tenant Alterations in or to the Premises or any Property systems serving the Premises. Tenant shall not, except as provided herein, without the prior written consent of Landlord, in Landlord’s sole discretion, make or cause to be made any Tenant Alterations which affect any structural elements of the Building, its foundation, its roof, its exterior, or any areas outside the Building. Prior to making any Tenant Alterations, Tenant shall give Landlord ten (10) days prior written notice (or such earlier notice as would be necessary pursuant to applicable Law) to permit Landlord sufficient time to post appropriate notices of non-responsibility. Subject to all other requirements of this Article Nine, Tenant may undertake Decoration work without Landlord's prior written consent. Tenant shall furnish Landlord with the names and addresses of all contractors and subcontractors and copies of all contracts. All Tenant Alterations shall be completed at such time and in such manner as Landlord may from time to time designate, and only by contractors or mechanics approved by Landlord, which approval shall not be unreasonably withheld, provided, however, that Landlord may, in its sole discretion, specify the engineers and contractors to perform all work relating to the Building's systems (including the mechanical, heating, plumbing, security, ventilating, air-conditioning, electrical, communication and the fire and life safety systems in the Building). The contractors, mechanics and engineers who may be used are further limited to those whose work will not cause or threaten to cause disharmony or interference with Landlord or other tenants in the Building and their respective agents and contractors performing work in or about the Building. Landlord may further condition its consent upon Tenant furnishing to Landlord and Landlord approving prior to the commencement of any work or delivery of materials to the Premises related to the Tenant Alterations such of the following as specified by Landlord: architectural plans and specifications, opinions from Landlord's engineers stating that the Tenant Alterations will not in any way adversely affect the Building's systems, necessary permits and licenses, certificates of insurance, and such other documents in such form reasonably requested by Landlord. In connection with any Tenant Alteration (but not the Tenant Work) that is estimated to cost in excess of $150,000.00, Landlord may, in the exercise of reasonable judgment, request that Tenant provide Landlord with appropriate evidence of Tenant's ability to complete and pay for the completion of the Tenant Alterations such as a performance bond or letter of credit. Upon completion of the Tenant Alterations, Tenant shall deliver to Landlord an as-built mylar and digitized (if available) set of plans and specifications for the Tenant Alterations.</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(2)    Tenant shall pay the cost of all Tenant Alterations and the cost of decorating the Premises and any work to the Property occasioned thereby. In connection with completion of any Tenant Alterations (other than Decoration work), Tenant shall pay Landlord a construction fee of two percent (2%) of the hard costs thereof, and all elevator and hoisting charges (if any) at Landlord's then standard rate. Upon completion of Tenant Alterations, Tenant shall furnish Landlord with contractors' affidavits and full and final waivers of lien and receipted bills covering all labor and materials expended and used in connection therewith and such other documentation reasonably requested by Landlord or Mortgagee.</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(3)    Tenant agrees to complete all Tenant Alterations (i) in accordance with all Laws, Environmental Laws, all requirements of applicable insurance companies and in accordance with Landlord's reasonable construction rules and regulations, and (ii) in a good and workmanlike manner with the use of good grades of materials. Tenant shall notify Landlord immediately if Tenant receives any notice of violation of any Law in connection with completion of any Tenant Alterations and shall immediately take such steps as are necessary to remedy such violation. In no event shall such supervision or right to supervise by Landlord nor shall any approvals given by Landlord under this Lease constitute any warranty by Landlord to Tenant of the adequacy of the design, workmanship or quality of such work or materials for Tenant's intended use or of compliance with the requirements of Section 9.01(a)(3)(i) and (ii) above or impose any liability upon Landlord in connection with the performance of such work.</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(b)    All Tenant Additions to the Premises whether installed by Landlord or Tenant, shall without compensation or credit to Tenant, become part of the Premises and the property of Landlord at the time of their installation and shall remain in the Premises, unless pursuant to Article Twelve, Tenant may remove them or is required to remove them at Landlord's request.</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(c)    To the extent that any work in connection with Tenant’s connections to Landlord’s existing electrical, water, sewer and telephone systems pursuant to Section 6.02, or performance of Tenant’s obligations pursuant to Section 8.02, or performance of any Tenant Alterations permitted above, would require access by Tenant to or through space of another lessee or occupant of the Building (“Occupied Space”), any such access shall be further subject to the following conditions: (i) Tenant’s reasonable prior written request to Landlord, so that Landlord may in turn give or make reasonable advance written notice and/or request to such lessee or occupant; (ii) coordination by Tenant so that the time of such entries shall be at mutually convenient dates and times for the lessee or occupant, Landlord and Tenant, provided however, Tenant agrees that Landlord or such lessee or occupant may require that such entry or entries be outside of normal business hours; (iii) Tenant shall use commercially reasonable efforts to avoid interference, and to minimize unavoidable interference, from any such access with the occupancy of such lessee or occupant; (iv) during all times of all such access, Tenant, and/or those entering on its behalf, must be accompanied by a security escort and Tenant shall pay for such escort(s) and representative(s); and (v) in connection with any such access, Tenant shall promptly pay for all damage caused by Tenant and/or those entering at its direction or on its behalf, and at the option of Landlord, Tenant shall perform any such repairs and restoration.</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9.02    LIENS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Tenant shall not permit any lien or claim for lien of any mechanic, laborer or supplier or any other lien to be filed against the Building, the Land, the Premises, or any other part of the Property arising out of work performed, or alleged to have </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535305"/>
                <wp:effectExtent l="0" t="0" r="0" b="0"/>
                <wp:wrapNone/>
                <wp:docPr id="132" name="Frame131"/>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been performed by, or at the direction of, or on behalf of Tenant. If any such lien or claim for lien is filed, Tenant shall within ten (10) days of receiving notice of such lien or claim (a) have such lien or claim for lien released of record or (b) deliver to Landlord a bond in form, content, amount, and issued by surety, satisfactory to Landlord, indemnifying, protecting, defending and holding harmless the Indemnitees against all costs and liabilities resulting from such lien or claim for lien and the foreclosure or attempted foreclosure thereof. If Tenant fails to take any of the above actions, Landlord, in addition to its rights and remedies under Article Eleven, without investigating the validity of such lien or claim for lien, may pay or discharge the same and Tenant shall, as payment of additional Rent hereunder, reimburse Landlord upon demand for the amount so paid by Landlord, including Landlord's expenses and attorneys' fees.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TEN</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ASSIGNMENT AND SUBLETTING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10.01    ASSIGNMENT AND SUBLETTING</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    Without the prior written consent of Landlord, which may be withheld in Landlord's sole discretion, Tenant may not sublease, assign, mortgage, pledge, hypothecate or otherwise transfer or permit the transfer of this Lease or the encumbering of Tenant's interest therein in whole or in part, by operation of Law or otherwise or permit the use or occupancy of the Premises, or any part thereof, by anyone other than Tenant, provided, however, if Landlord chooses not to recapture the space proposed to be subleased or assigned as provided in Section 10.02, Landlord shall not unreasonably withhold its consent to a subletting or assignment under this Section 10.01. Tenant agrees that the provisions governing sublease and assignment set forth in this Article Ten shall be deemed to be reasonable. If Tenant desires to enter into any sublease of the Premises or assignment of this Lease, Tenant shall deliver written notice thereof to Landlord ("Tenant's Notice"), together with the identity of the proposed subtenant or assignee and the proposed principal terms thereof and financial and other information sufficient for Landlord to make an informed judgment with respect to such proposed subtenant or assignee at least thirty (30) days prior to the commencement date of the term of the proposed sublease or assignment. If Tenant proposes to sublease less than all of the Rentable Area of the Premises, the space proposed to be sublet and the space retained by Tenant must each be a marketable unit and otherwise in compliance with all Laws. Landlord shall notify Tenant in writing of its approval or disapproval of the proposed sublease or assignment or its decision to exercise its rights under Section 10.02 within twenty (20) days after receipt of Tenant's Notice (and all required information). In no event may Tenant sublease any portion of the Premises or assign the Lease to any other tenant of the Project if Landlord has space available for lease in the Project that is comparable to the space Tenant desires to sublet or assign. Landlord shall be deemed to have comparable space if it has, or will have, space available in the Project that is approximately the same size as the space Tenant desires to sublet or assign within six (6) months of the proposed commencement of the proposed sublease or assignment. Tenant shall deliver to Landlord any advertising which Tenant or its agents intend to use with respect to the space proposed to be sublet.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(b)    With respect to Landlord's consent to an assignment or sublease, Landlord may take into consideration any factors which are permitted by law, and the reasons for which Landlord's denial shall be deemed to be reasonable shall include, without limitation, the following:</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(i)    the business reputation or creditworthiness of any proposed subtenant or assignee is not reasonably acceptable to Landlord; or</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(ii)    in Landlord's reasonable judgment the proposed assignee or subtenant would diminish the value or reputation of the Building or Landlord; or</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(iii)    any proposed assignee's or subtenant's use of the Premises would violate Section 7.01 of the Lease or would violate the provisions of any other leases of tenants in the Project;</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(iv)    the proposed assignee or subtenant is either a governmental agency, a school or similar operation, or a medical related practice; or</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(v)    the proposed subtenant or assignee is a bona fide prospective tenant of Landlord in the Project as demonstrated by a written proposal dated within ninety (90) days prior to the date of Tenant's request. Notwithstanding the above, Landlord will not withhold its consent solely because the proposed subtenant or assignee is a prospective tenant of the Project if Landlord does not have space available for lease in the Project that is comparable to the space Tenant desires to sublet or assign. Landlord shall be deemed to have comparable space if it has, or will have, space available in the Project that is approximately the same size as the space Tenant desires to sublet or assign within six (6 )months of the proposed commencement of the proposed sublease or assignment; or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(vi)    the proposed subtenant or assignee would materially increase the estimated pedestrian and vehicular traffic to and from the Premises and the Building.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no event shall Landlord be obligated to consider a consent to any proposed assignment of the Lease which would assign less than the entire Premises. In the event Landlord wrongfully withholds its consent to any proposed sublease of the Premises or assignment of the Lease, Tenant's sole and exclusive remedy therefor shall be to seek specific performance of Landlord's obligations to consent to such sublease or assignment or to seek injunctive or declaratory relief.</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    Any sublease or assignment shall be expressly subject to the terms and conditions of this Lease. Any subtenant or assignee shall execute such documents as Landlord may reasonably require to evidence such subtenant </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535305"/>
                <wp:effectExtent l="0" t="0" r="0" b="0"/>
                <wp:wrapNone/>
                <wp:docPr id="133" name="Frame132"/>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or assignee's assumption of the obligations and liabilities of Tenant under this Lease. Tenant shall deliver to Landlord a copy of all agreements executed by Tenant and the proposed subtenant and assignee with respect to the Premises. Landlord's approval of a sublease, assignment, hypothecation, transfer or third party use or occupancy shall not constitute a waiver of Tenant’s obligation to obtain Landlord’s consent to further assignments or subleases, hypothecations, transfers or third party use or occupancy.</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(d)    For purposes of this Article Ten, an assignment shall be deemed to include a change in the majority control of Tenant, resulting from any transfer, sale or assignment of shares of stock of Tenant occurring by operation of Law or otherwise if Tenant is a corporation whose shares of stock are not traded publicly. If Tenant is a partnership, any change in the partners of Tenant shall be deemed to be an assignment.</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(e)    For purposes of this Lease, a “Permitted Transferee” shall mean any Person which: (i) is an Affiliate; or (ii) is the corporation or other entity resulting from a merger, consolidation or non-bankruptcy reorganization with Tenant; or (iii) is otherwise a deemed assignee due to a change of control under section 10.01(d) above; or (iv) purchases substantially all the assets of Tenant as a going concern. Notwithstanding anything to the contrary in Sections 10.01(a) and (b), 10.02 and 10.03, provided there is no uncured Default under this Lease, Tenant shall have the right, without the prior written consent of Landlord, to assign this Lease to a Permitted Transferee or to sublease the Premises or any part thereof to a Permitted Transferee provided that: (1) Landlord receives thirty (30) days prior written notice of an assignment or sublease (including a proposed transaction described in subparts (i), (ii), (iii) or (iv) of this Section 10.01(e)); provided that Tenant may give notice in less than thirty (30) days in connection with a pending transaction described in subparts (ii) and (iv) of this Section 10.01(e) to the extent that Tenant is precluded, by the terms of the transaction or, if Tenant’s stock is publicly traded, by applicable securities’ laws, from making disclosure of the transaction itself; (2) with respect to an assignment of this Lease or a sublease of more than half the Premises, the Permitted Transferee’s net worth is not less than Tenant’s net worth immediately prior to such assignment or subletting; (3) the Permitted Transferee expressly assumes in writing satisfactory to Landlord all of the obligations of Tenant under this Lease and delivers such assumption to Landlord no later than fifteen (15) days (or such lesser time as is appropriate in connection with a pending transaction described in subparts (ii) and (iv) of this Section 10.01(e) to the extent that Tenant is precluded, by the terms of the transaction or, if Tenant’s stock is publicly traded, by applicable securities laws, from making disclosure of the transaction itself) prior to the effective date of the assignment; (4) Landlord receives no later than five (5) days before the effective date a fully executed copy of the applicable assignment or sublease agreement between Tenant and the Permitted Transferee; and (5) promptly after Landlord's written request, Tenant and the Permitted Transferee provide such reasonable documents and information which Landlord reasonably requests for the purpose of substantiating whether or not the assignment or sublease is to a Permitted Transferee. All determinations of net worth for purposes of this Subsection shall exclude any value attributable to goodwill or going concern value. With respect to any proposed assignment under subparts (ii) or (iv) of this Section 10.01(e)), Tenant shall pay Landlord, no later than thirty (30) days prior to the effective date of such proposed assignment, a processing fee of Five Thousand Dollars ($5,000.00), which shall be Landlord’s earned fee whether or not the proposed assignment is completed by Tenant.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(f)    With respect to any sublease to a Permitted Transferee pursuant to Subsection (e) above, Tenant hereby irrevocably assigns to Landlord, effective upon any such sublease, all rent and other payments due from subtenant under the sublease, provided however, that Tenant shall have a license to collect such rent and other payments until the occurrence of a default by Tenant under any of the provisions of the Lease, and notice to Tenant of such Default shall not be a prerequisite to Landlord’s right to collect subrent. At any time at Landlord’s option, Landlord shall have the right to give notice to the subtenant of such assignment. Landlord shall credit Tenant with any rent received by Landlord under such assignment but the acceptance of any payment on account of rent from the subtenant as the result of any such default shall in no manner whatsoever serve to release Tenant from any liability under the terms, covenants, conditions, provisions or agreement under the Lease. No such payment of rent or any other payment by the subtenant directly to Landlord and/or acceptance of such payment(s) by Landlord, regardless of the circumstances or reasons therefor, shall in any manner whatsoever be deemed an attornment by the subtenant to Landlord in the absence of a specific written agreement signed by Landlord to such an effect. For purposes of this Subsection, any use or occupancy by a Permitted Transferee (unless it is an assignee) without a formal sublease shall for the purposes of this Subsection be deemed to be a sublease at the same rental rate as provided in the Lease.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10.02    RECAPTURE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the event that Tenant desires to assign the Lease or sublease more than 75% of the Premises for more than 75% of the then remaining Term, Landlord shall have the option to exclude from the Premises covered by this Lease ("recapture"), the space proposed to be sublet or subject to the assignment, effective as of the proposed commencement date of such sublease or assignment. If Landlord elects to recapture, which election shall be made by notice to Tenant within twenty (20) days after Tenant’s request for sublease or assignment, Tenant shall surrender possession of the space proposed to be subleased or subject to the assignment to Landlord on the effective date of recapture of such space from the Premises, such date being the Termination Date for such space. Effective as of the date of recapture of any portion of the Premises pursuant to this section, the Monthly Base Rent, Rentable Area of the Premises and Tenant's Share shall be adjusted accordingly. This Section 10.02 shall not apply to transfers to Permitted Transferees.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10.03    EXCESS RENT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Tenant shall pay Landlord on the first day of each month during the term of the sublease or assignment, fifty percent (50%) of the amount by which the sum of all rent and other consideration (direct or indirect) due from the subtenant or assignee for such month exceeds: (i) that portion of the Monthly Base Rent and Rent Adjustments due under this Lease for said month which is allocable to the space sublet or assigned; and (ii) the following costs and expenses for </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535305"/>
                <wp:effectExtent l="0" t="0" r="0" b="0"/>
                <wp:wrapNone/>
                <wp:docPr id="134" name="Frame133"/>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the subletting or assignment of such space: (1) brokerage commissions and attorneys' fees and expenses, (2) the actual costs paid in making any improvements or substitutions in the Premises required by any sublease or assignment; and (3) "free rent" periods, costs of any inducements or concessions given to subtenant or assignee, moving costs, and other amounts in respect of such subtenant's or assignee's other leases or occupancy arrangements. All such costs and expenses shall be amortized over the term of the sublease or assignment pursuant to sound accounting principles.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10.04    TENANT LIABILITY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the event of any sublease or assignment, whether or not with Landlord’s consent, Tenant shall not be released or discharged from any liability, whether past, present or future, under this Lease, including any liability arising from the exercise of any renewal or expansion option, to the extent such exercise is expressly permitted by Landlord. Tenant's liability shall remain primary, and in the event of default by any subtenant, assignee or successor of Tenant in performance or observance of any of the covenants or conditions of this Lease, Landlord may proceed directly against Tenant without the necessity of exhausting remedies against said subtenant, assignee or successor. After any assignment, Landlord may consent to subsequent assignments or subletting of this Lease, or amendments or modifications of this Lease with assignees of Tenant, without notifying Tenant, or any successor of Tenant, and without obtaining its or their consent thereto, and such action shall not relieve Tenant or any successor of Tenant of liability under this Lease. If Landlord grants consent to such sublease or assignment, Tenant shall pay all reasonable attorneys' fees and expenses incurred by Landlord with respect to such assignment or sublease. In addition, if Tenant has any options to extend the term of this Lease or to add other space to the Premises, such options shall not be available to any subtenant or assignee (other than a Permitted Transferee which is an assignee of the Lease and which has satisfied the requirements of Sections 10.01 and 10.05 of this Lease), directly or indirectly without Landlord's express written consent, which may be withheld in Landlord's sole discretion.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10.05    ASSUMPTION AND ATTORNMENT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Tenant shall assign this Lease as permitted herein, the assignee shall expressly assume all of the obligations of Tenant hereunder in a written instrument satisfactory to Landlord and furnished to Landlord not later than fifteen (15) days prior to the effective date of the assignment. If Tenant shall sublease the Premises as permitted herein, Tenant shall, at Landlord's option, within fifteen (15) days following any request by Landlord, obtain and furnish to Landlord the written agreement of such subtenant to the effect that the subtenant will attorn to Landlord and will pay all subrent directly to Landlord if Tenant is in default beyond any notice and cure period.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ELEVEN</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DEFAULT AND REMEDIES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11.01    EVENTS OF DEFAULT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occurrence or existence of any one or more of the following shall constitute a "Default" by Tenant under this Lease:</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(i)Tenant fails to pay any installment or other payment of Rent including Rent Adjustment Deposits or Rent Adjustments within three (3) business days after the date when due;</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(ii)Tenant fails to observe or perform any of the other covenants, conditions or provisions of this Lease or the Workletter and fails to cure such default within thirty (30) days after written notice thereof to Tenant (except in connection with a failure to perform under Section 20.01 such thirty (30) day period shall not apply and the period shall be only five (5) days), unless the default involves a hazardous condition, which shall be cured forthwith or unless the failure to perform is a Default for which this Lease specifies there is no cure or grace period, provided that, if Tenant has exercised reasonable diligence to cure such failure and such failure cannot reasonably be cured within such thirty (30) day period, then such cure period shall be extended, but not in excess of an additional ninety (90) days, so long as Tenant diligently and continuously prosecutes the cure to completion;</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(iii)the interest of Tenant in this Lease is levied upon under execution or other legal process;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(iv)a petition is filed by or against Tenant to declare Tenant bankrupt or seeking a plan of reorganization or arrangement under any Chapter of the Bankruptcy Act, or any amendment, replacement or substitution therefor, or to delay payment of, reduce or modify Tenant's debts, which in the case of an involuntary action is not discharged within thirty (30) days;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(v)Tenant is declared insolvent by Law or any assignment of Tenant's property is made for the benefit of creditors;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(vi)a receiver is appointed for Tenant or Tenant's property, which appointment is not discharged within thirty (30) days;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(vii)any action taken by or against Tenant to reorganize or modify Tenant's capital structure in a materially adverse way which in the case of an involuntary action is not discharged within thirty (30) days;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(viii)upon the dissolution of Tenant; or</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535305"/>
                <wp:effectExtent l="0" t="0" r="0" b="0"/>
                <wp:wrapNone/>
                <wp:docPr id="135" name="Frame134"/>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(ix)upon the third occurrence within any Lease Year that Tenant fails to pay Rent when due or has breached a particular covenant of this Lease (whether or not such failure or breach is thereafter cured within any stated cure or grace period or statutory period).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11.02    LANDLORD'S REMEDIES</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(a)    A Default shall constitute a breach of the Lease for which Landlord shall have the rights and remedies set forth in this Section 11.02 and all other rights and remedies set forth in this Lease or now or hereafter allowed by Law, whether legal or equitable, and all rights and remedies of Landlord shall be cumulative and none shall exclude any other right or remedy.</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(b)    With respect to a Default, at any time Landlord may terminate Tenant's right to possession by written notice to Tenant stating such election. Upon the termination of Tenant’s right to possession pursuant to this Section 11.02, Tenant's right to possession shall terminate and this Lease shall terminate, and Tenant shall remain liable as hereinafter provided. Upon such termination, Landlord shall have the right, subject to applicable Law, to re-enter the Premises and dispossess Tenant and the legal representatives of Tenant and all other occupants of the Premises by unlawful detainer or other summary proceedings, or otherwise as permitted by Law, regain possession of the Premises and remove their property (including their trade fixtures, personal property and those Tenant Additions which Tenant is required or permitted to remove under Article Twelve), but Landlord shall not be obligated to effect such removal, and such property may, at Landlord's option, be stored elsewhere, sold or otherwise dealt with as permitted by Law, at the risk of, expense of and for the account of Tenant, and the proceeds of any sale shall be applied pursuant to Law. Landlord shall in no event be responsible for the value, preservation or safekeeping of any such property. Tenant hereby waives all claims for damages that may be caused by Landlord's removing or storing Tenant's personal property pursuant to this Section or Section 12.01, and Tenant hereby indemnifies, and agrees to defend, protect and hold harmless, the Indemnitees from any and all loss, claims, demands, actions, expenses, liability and cost (including attorneys' fees and expenses) arising out of or in any way related to such removal or storage. Upon such written termination of Tenant's right to possession and this Lease, Landlord shall have the right to recover damages for Tenant's Default as provided herein or by Law, including the following damages provided by California Civil Code Section 1951.2:</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(1)the worth at the time of award of the unpaid Rent which had been earned at the time of termination;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(2)the worth at the time of award of the amount by which the unpaid Rent which would have been earned after termination until the time of award exceeds the amount of such Rent loss that Tenant proves could reasonably have been avoided;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(3)the worth at the time of award of the amount by which the unpaid Rent for the balance of the term of this Lease after the time of award exceeds the amount of such Rent loss that Tenant proves could be reasonably avoided; and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(4)any other amount necessary to compensate Landlord for all the detriment proximately caused by Tenant's failure to perform its obligations under this Lease or which in the ordinary course of things would be likely to result therefrom. The word "rent" as used in this Section 11.02 shall have the same meaning as the defined term Rent in this Lease. The "worth at the time of award" of the amount referred to in clauses (1) and (2) above is computed by allowing interest at the Default Rate. The worth at the time of award of the amount referred to in clause (3) above is computed by discounting such amount at the discount rate of the Federal Reserve Bank of San Francisco at the time of award plus one percent (1%). For the purpose of determining unpaid Rent under clause (3) above, the monthly Rent reserved in this Lease shall be deemed to be the sum of the Monthly Base Rent, and monthly Storage Space Rent, if any, and the amounts last payable by Tenant as Rent Adjustments for the calendar year in which Landlord terminated this Lease as provided hereinabove.</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(c)    Even if Tenant is in Default and/or has abandoned the Premises, this Lease shall continue in effect for so long as Landlord does not terminate Tenant's right to possession by written notice as provided in Section 11.02(b) above, and Landlord may enforce all its rights and remedies under this Lease, including the right to recover Rent as it becomes due under this Lease. In such event, Landlord shall have all of the rights and remedies of a landlord under California Civil Code Section 1951.4 (lessor may continue Lease in effect after Tenant's Default and abandonment and recover Rent as it becomes due, if Tenant has the right to sublet or assign, subject only to reasonable limitations), or any successor statute. During such time as Tenant is in Default, if Landlord has not terminated this Lease by written notice and if Tenant requests Landlord's consent to an assignment of this Lease or a sublease of the Premises, subject to Landlord's option to recapture pursuant to Section 10.02, Landlord shall not unreasonably withhold its consent to such assignment or sublease. Tenant acknowledges and agrees that the provisions of Article Ten shall be deemed to constitute reasonable limitations of Tenant's right to assign or sublet. Tenant acknowledges and agrees that in the absence of written notice pursuant to Section 11.02(b) above terminating Tenant's right to possession, no other act of Landlord shall constitute a termination of Tenant's right to possession or an acceptance of Tenant's surrender of the Premises, including acts of maintenance or preservation or efforts to relet the Premises or the appointment of a receiver upon initiative of Landlord to protect Landlord's interest under this Lease or the withholding of consent to a subletting or assignment, or terminating a subletting or assignment, if in accordance with other provisions of this Lease.</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(d)    In the event that Landlord seeks an injunction with respect to a breach or threatened breach by Tenant of any of the covenants, conditions or provisions of this Lease, Tenant agrees to pay the premium for any bond required in connection with such injunction.</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535305"/>
                <wp:effectExtent l="0" t="0" r="0" b="0"/>
                <wp:wrapNone/>
                <wp:docPr id="136" name="Frame135"/>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(e)    Tenant hereby waives any and all rights to relief from forfeiture, redemption or reinstatement granted by Law (including California Civil Code of Procedure Sections 1174 and 1179) in the event of Tenant being evicted or dispossessed for any cause or in the event of Landlord obtaining possession of the Premises by reason of Tenant's Default or otherwise;</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(f)    When this Lease requires giving or service of a notice of Default or of a failure of Tenant to observe or perform any covenant, condition or provision of this Lease which will constitute a Default unless Tenant so observes or performs within any applicable cure period, and so long as the notice given or served provides Tenant the longer of any applicable cure period required by this Lease or by statute, then the giving of any equivalent or similar statutory notice, including any equivalent or similar notices required by California Code of Civil Procedure Section 1161 or any similar or successor statute, shall replace and suffice as any notice required under this Lease. When a statute requires service of a notice in a particular manner, service of that notice (or a similar notice required by this Lease) pursuant to the statutory service of notice procedures shall be sufficient in lieu of, and shall satisfy, any requirements to give notice to the addresses and in the manner required by Article Twenty-four, and without limiting the foregoing, any notice of unlawful detainer required by California Code of Civil Procedure Section 1161 or any similar or successor statute with respect to termination of possession, recovery of possession, eviction, termination of the Lease or similar action or proceeding shall not be required to be given pursuant to Article Twenty-four or to the notice addresses for Tenant set forth in this Lease, but instead may be served as required by Code of Civil Procedure Section 1162 or any similar or successor statute, and for purposes of Code of Civil Procedure Section 1162 or any similar or successor statute, Tenant's "place of residence" and "usual place of business" shall mean the address of the Premises.</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(g)    The voluntary or other surrender or termination of this Lease, or a mutual termination or cancellation thereof, shall not work a merger and shall terminate all or any existing assignments, subleases, subtenancies or occupancies permitted by Tenant, except if and as otherwise specified in writing by Landlord.</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(h)    No delay or omission in the exercise of any right or remedy of Landlord upon any default by Tenant, and no exercise by Landlord of its rights pursuant to Section 26.15 to perform any duty which Tenant fails timely to perform, shall impair any right or remedy or be construed as a waiver. No provision of this Lease shall be deemed waived by Landlord unless such waiver is in a writing signed by Landlord. The waiver by Landlord of any breach of any provision of this Lease shall not be deemed a waiver of any subsequent breach of the same or any other provision of this Lease.</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11.03    ATTORNEY'S FEES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Tenant shall be liable for, and shall pay upon demand, all costs and expenses, including reasonable attorneys’ fees, incurred by Landlord in enforcing Tenant’s performance of its obligations under this Lease, or resulting from Tenant’s Default (regardless of whether suit is initiated), or incurred by Landlord in any litigation, negotiation or transaction in which Tenant causes Landlord, without Landlord’s fault, to become involved or concerned.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11.04    BANKRUPTCY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following provisions shall apply in the event of the bankruptcy or insolvency of Tenant:</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(a)    In connection with any proceeding under Chapter 7 of the Bankruptcy Code where the trustee of Tenant elects to assume this Lease for the purposes of assigning it, such election or assignment, may only be made upon compliance with the provisions of (b) and (c) below, which conditions Landlord and Tenant acknowledge to be commercially reasonable. In the event the trustee elects to reject this Lease then Landlord shall immediately be entitled to possession of the Premises without further obligation to Tenant or the trustee.</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(b)    Any election to assume this Lease under Chapter 11 or 13 of the Bankruptcy Code by Tenant as debtor-in-possession or by Tenant's trustee (the "Electing Party") must provide for:</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Electing Party to cure or provide to Landlord adequate assurance that it will cure all monetary defaults under this Lease within fifteen (15) days from the date of assumption and it will cure all nonmonetary defaults under this Lease within thirty (30) days from the date of assumption. Landlord and Tenant acknowledge such condition to be commercially reasonable.</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(c)    If the Electing Party has assumed this Lease or elects to assign Tenant's interest under this Lease to any other person, such interest may be assigned only if the intended assignee has provided adequate assurance of future performance (as herein defined), of all of the obligations imposed on Tenant under this Lease.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 the purposes hereof, "adequate assurance of future performance" means that Landlord has ascertained that each of the following conditions has been satisfied: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(i)The assignee has submitted a current financial statement, certified by its chief financial officer, which shows a net worth and working capital in amounts sufficient to assure the future performance by the assignee of Tenant's obligations under this Lease; and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(ii)Landlord has obtained consents or waivers from any third parties which may be required under a lease, mortgage, financing arrangement, or other agreement by which Landlord is bound, to enable Landlord to permit such assignment.</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535305"/>
                <wp:effectExtent l="0" t="0" r="0" b="0"/>
                <wp:wrapNone/>
                <wp:docPr id="137" name="Frame136"/>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(d)    Landlord's acceptance of rent or any other payment from any trustee, receiver, assignee, person, or other entity will not be deemed to have waived, or waive, the requirement of Landlord's consent, Landlord's right to terminate this Lease for any transfer of Tenant's interest under this Lease without such consent, or Landlord's claim for any amount of Rent due from Tenant.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11.05    LANDLORD’S DEFAULT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Landlord shall be in default hereunder in the event Landlord has not begun and pursued with reasonable diligence the cure of any failure of Landlord to meet its obligations hereunder within thirty (30) days after the receipt by Landlord of written notice from Tenant of the alleged failure to perform. In no event shall Tenant have the right to terminate or rescind this Lease as a result of Landlord's default as to any covenant or agreement contained in this Lease. Tenant hereby waives such remedies of termination and rescission and hereby agrees that Tenant's remedies for default hereunder and for breach of any promise or inducement shall be limited to a suit for damages and/or injunction. In addition, Tenant hereby covenants that, prior to the exercise of any such remedies, it will give Mortgagee notice and a reasonable time to cure any default by Landlord.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TWELVE</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SURRENDER OF PREMISES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Upon the Termination Date, Tenant shall surrender and vacate the Premises immediately and deliver possession thereof to Landlord in a clean, good and tenantable condition, ordinary wear and tear, damage by casualty (subject to the terms of Article 14) and damage caused by Landlord, and Landlord’s obligations excepted. Tenant shall deliver to Landlord all keys to the Premises. Tenant shall remove from the Premises all movable personal property of Tenant and Tenant's trade fixtures, including, subject to Section 6.03, cabling for any of the foregoing. Tenant shall be entitled to remove such Tenant Additions which at the time of their installation Landlord and Tenant agreed may be removed by Tenant. Tenant shall also remove such other Tenant Additions as required by Landlord, including any Tenant Additions containing Hazardous Material. Tenant immediately shall repair all damage resulting from removal of any of Tenant's property, furnishings, Tenant’s Personal Property or Tenant Additions, shall close all floor, ceiling and roof openings and shall restore the Premises to a tenantable condition as reasonably determined by Landlord. If any of the Tenant Additions which were installed by Tenant involved the lowering of ceilings, raising of floors or the installation of specialized wall or floor coverings or lights, then Tenant shall also be obligated to return such surfaces to their condition prior to the commencement of this Lease. If any of the Tenant Additions which were installed by Tenant involved constructing staircases or other openings between floors, Tenant shall also be required to close such staircases or other openings between floors. Notwithstanding any of the foregoing to the contrary, if so requested by Tenant in writing (and prominently in all capital and bold lettering which also states that such request is pursuant to Section 12.01 of the Lease) at the time Tenant requests approval of any Tenant Work or subsequent Tenant Alterations, Landlord shall advise Tenant at the time of Landlord’s approval of such Tenant Work or Tenant Alterations as to whether Landlord will require that such Tenant Work or Tenant Alterations be removed by Tenant from the Premises; provided, however, regardless of the foregoing, in any event, Landlord may require removal of any Tenant Additions containing Hazardous Material and all Tenant’s trade fixtures, and, subject to Section 6.03, cabling and wiring installed for Tenant’s personal property or trade fixtures. In the event possession of the Premises is not delivered to Landlord when required hereunder, or if Tenant shall fail to remove those items described above, Landlord may (but shall not be obligated to), at Tenant's expense, remove any of such property and store, sell or otherwise deal with such property as provided in Section 11.02(b), including the waiver and indemnity obligations provided in that Section, and undertake, at Tenant's expense, such restoration work as Landlord deems necessary or advisable.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Notwithstanding any of the foregoing to the contrary, if so requested by Tenant in writing (and prominently in all capital and bold lettering which also states that such request is pursuant to Section 12.01 of the Lease) Landlord shall advise Tenant at the time of Landlord’s approval of the Final Space Plan (as defined in Exhibit B attached hereto) as to whether the improvements constructed in accordance with such Final Space Plan can remain in the Premises following the expiration or earlier termination of this Lease; provided, however, regardless of the foregoing, in any event, Landlord may require removal of any Tenant Additions containing Hazardous Materials and all Tenant’s trade fixtures, and, subject to Section 6.03, cabling and wiring installed for Tenant’s personal property or trade fixtures. However, Landlord approves the preliminary Space Plan attached hereto as Schedule B-1, and except as shown on Schedule B-1, Tenant shall not be required to restore any improvements shown or specified on such Space Plan.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THIRTEEN</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HOLDING OVER</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Tenant shall pay Landlord (i) for the first ninety (90) days of any holdover, one hundred twenty-five percent (125%) of the monthly Base Rent payable for the month immediately preceding the holding over (plus Rent Adjustments which Landlord may reasonably estimate), and (ii) following the expiration of such ninety (90) day period, one hundred fifty percent (150%) of the monthly Base Rent payable for the month immediately preceding the holding over (plus increases for Rent Adjustments which Landlord may reasonably estimate), for each month or portion thereof that Tenant retains possession of the Premises, or any portion thereof, after the Termination Date (without reduction for any partial month that Tenant retains possession). Tenant shall also pay all damages sustained by Landlord by reason of such retention of possession. The provisions of this Article shall not constitute a waiver by Landlord of any re-entry rights of Landlord and Tenant's continued occupancy of the Premises shall be as a tenancy in sufferance. </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535305"/>
                <wp:effectExtent l="0" t="0" r="0" b="0"/>
                <wp:wrapNone/>
                <wp:docPr id="138" name="Frame137"/>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FOURTEEN</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DAMAGE BY FIRE OR OTHER CASUALTY</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14.01    SUBSTANTIAL UNTENANTABILITY</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(a)    If any fire or other casualty (whether insured or uninsured) renders all or a substantial portion of the Premises or the Building untenantable, Landlord shall, with reasonable promptness after the occurrence of such damage, estimate the length of time that will be required to substantially complete the repair and restoration and shall by notice advise Tenant of such estimate ("Landlord's Notice"). If Landlord estimates that the amount of time required to substantially complete such repair and restoration will exceed one hundred eighty (180) days from the date such damage occurred, then Landlord, or Tenant if all or a substantial portion of the Premises is rendered untenantable, shall have the right to terminate this Lease as of the date of such damage upon giving written notice to the other at any time within twenty (20) days after delivery of Landlord's Notice, provided that if Landlord so chooses, Landlord's Notice may also constitute such notice of termination.</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(b)    In the event that the Building is damaged or destroyed to the extent of more than twenty-five percent (25%) of its replacement cost or to any extent if no insurance proceeds or insufficient insurance proceeds are receivable by Landlord, or if the buildings at the Project shall be damaged to the extent of fifty percent (50%) or more of the replacement value or to any extent if no insurance proceeds or insufficient insurance proceeds are receivable by Landlord, and regardless of whether or not the Premises be damaged, Landlord may elect by written notice to Tenant given within thirty (30) days after the occurrence of the casualty to terminate this Lease in lieu of so restoring the Premises, in which event this Lease shall terminate as of the date specified in Landlord's notice, which date shall be no later than sixty (60) days following the date of Landlord's notice.</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(c)    Unless this Lease is terminated as provided in the preceding Subsections 14.01 (a) and (b), Landlord shall proceed with reasonable promptness to repair and restore the Premises to its condition as existed prior to such casualty, subject to reasonable delays for insurance adjustments and Force Majeure delays, and also subject to zoning Laws and building codes then in effect. Landlord shall have no liability to Tenant, and Tenant shall not be entitled to terminate this Lease if such repairs and restoration are not in fact completed within the time period estimated by Landlord so long as Landlord shall proceed with reasonable diligence to complete such repairs and restoration.</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(d)    Tenant acknowledges that Landlord shall be entitled to the full proceeds of any insurance coverage, whether carried by Landlord or Tenant, for damages to the Premises, except for those proceeds of Tenant's insurance of its own personal property and equipment which would be removable by Tenant at the Termination Date. All such insurance proceeds shall be payable to Landlord whether or not the Premises are to be repaired and restored, provided, however, if this Lease is not terminated and the parties proceed to repair and restore Tenant Additions at Tenant's cost, to the extent Landlord received proceeds of Tenant's insurance covering Tenant Additions, such proceeds shall be applied to reimburse Tenant for its cost of repairing and restoring Tenant Additions.</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(e)    Notwithstanding anything in this Article Fourteen to the contrary: (i) Landlord shall have no duty pursuant to this Section to repair or restore any portion of any Tenant Additions or to expend for any repair or restoration of the Premises or Building amounts in excess of insurance proceeds paid to Landlord and available for repair or restoration; and (ii) Tenant shall not have the right to terminate this Lease pursuant to this Section if any damage or destruction was caused by the willful misconduct or neglect of Tenant, its agent or employees. Whether or not the Lease is terminated pursuant to this Article Fourteen, in no event shall Tenant be entitled to any compensation or damages for loss of the use of the whole or any part of the Premises or for any inconvenience or annoyance occasioned by any such damage, destruction, rebuilding or restoration of the Premises or the Building or access thereto subject to Section 14.03.</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(f)    Any repair or restoration of the Premises performed by Tenant shall be in accordance with the provisions of Article Nine hereof.</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14.02    INSUBSTANTIAL UNTENANTABILITY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Unless this Lease is terminated as provided in the preceding Subsections 14.01 (a) and (b), then Landlord shall proceed to repair and restore the Building or the Premises other than Tenant Additions, with reasonable promptness, unless such damage is to the Premises and occurs during the last six (6) months of the Term, in which event either Tenant or Landlord shall have the right to terminate this Lease as of the date of such casualty by giving written notice thereof to the other within twenty (20) days after the date of such casualty. Notwithstanding the foregoing, Landlord’s obligation to repair shall be limited in accordance with the provisions of Section 14.01 above.</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14.03    RENT ABATEMENT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Except for the negligence or willful misconduct of Tenant or its agents, employees, contractors or invitees, if all or any part of the Premises are rendered untenantable by fire or other casualty and this Lease is not terminated, Monthly Base Rent and Rent Adjustments shall abate for that part of the Premises which is untenantable on a per diem basis from the date of the casualty until Landlord has Substantially Completed the repair and restoration work in the Premises which it is required to perform, provided, that as a result of such casualty, Tenant does not occupy the portion of the Premises which is untenantable during such period.</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535305"/>
                <wp:effectExtent l="0" t="0" r="0" b="0"/>
                <wp:wrapNone/>
                <wp:docPr id="139" name="Frame138"/>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14.04    WAIVER OF STATUTORY REMEDIES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provisions of this Lease, including this Article Fourteen, constitute an express agreement between Landlord and Tenant with respect to any and all damage to, or destruction of, the Premises or the Property or any part of either, and any Law, including Sections 1932(2), 1933(4), 1941 and 1942 of the California Civil Code, with respect to any rights or obligations concerning damage or destruction shall have no application to this Lease or to any damage to or destruction of all or any part of the Premises or the Property or any part of either, and are hereby waived.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FIFTEEN</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EMINENT DOMAIN</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15.01    TAKING OF WHOLE OR SUBSTANTIAL PART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the event the whole or any substantial part of the Building or of the Premises is taken or condemned by any competent authority for any public use or purpose (including a deed given in lieu of condemnation) and is thereby rendered untenantable, this Lease shall terminate as of the date title vests in such authority or any earlier date on which possession is required to be surrendered to such authority, and Monthly Base Rent and Rent Adjustments shall be apportioned as of the Termination Date. Further, if at least twenty-five percent (25%) of the rentable area of the Project is taken or condemned by any competent authority for any public use or purpose (including a deed given in lieu of condemnation), and regardless of whether or not the Premises be so taken or condemned, Landlord may elect by written notice to Tenant to terminate this Lease as of the date title vests in such authority or any earlier date on which possession is required to be surrendered to such authority, and Monthly Base Rent and Rent Adjustments shall be apportioned as of the Termination Date. Landlord may, without any obligation to Tenant, agree to sell or convey to the taking authority the Premises, the Building, the Project or any portion thereof sought by the taking authority, free from this Lease and the right of Tenant hereunder, without first requiring that any action or proceeding be instituted or, if instituted, pursued to a judgment. Notwithstanding anything to the contrary herein set forth, in the event the taking of the Building or Premises is temporary (for less than the remaining term of the Lease), Landlord may elect either (i) to terminate this Lease or (ii) permit Tenant to receive the entire award attributable to the Premises in which case Tenant shall continue to pay Rent and this Lease shall not terminate.</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15.02    TAKING OF PART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the event a part of the Building or the Premises is taken or condemned by any competent authority (or a deed is delivered in lieu of condemnation) and this Lease is not terminated, the Lease shall be amended to reduce or increase, as the case may be, the Monthly Base Rent and Tenant's Share to reflect the Rentable Area of the Premises or Building, as the case may be, remaining after any such taking or condemnation. Landlord, upon receipt and to the extent of the award in condemnation (or proceeds of sale) shall make necessary repairs and restorations to the Premises (exclusive of Tenant Additions) and to the Building to the extent necessary to constitute the portion of the Building not so taken or condemned as a complete architectural and economically efficient unit. Notwithstanding the foregoing, if as a result of any taking, or a governmental order that the grade of any street or alley adjacent to the Building is to be changed and such taking or change of grade makes it necessary or desirable to substantially remodel or restore the Building or prevents the economical operation of the Building, Landlord shall have the right to terminate this Lease upon ninety (90) days prior written notice to Tenant.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15.03    COMPENSATION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Landlord shall be entitled to receive the entire award (or sale proceeds) from any such taking, condemnation or sale without any payment to Tenant, and Tenant hereby assigns to Landlord Tenant's interest, if any, in such award; provided, however, Tenant shall have the right separately to pursue against the condemning authority a separate award in respect of the loss, if any, to Tenant Additions paid for by Tenant without any credit or allowance from Landlord, for fixtures or personal property of Tenant, or for relocation or business interruption expenses, so long as there is no diminution of Landlord's award as a result.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SIXTEEN</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INSURANCE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16.01    TENANT'S INSURANCE</w:t>
      </w:r>
    </w:p>
    <w:p>
      <w:pPr>
        <w:pStyle w:val="TextBody"/>
        <w:bidi w:val="0"/>
        <w:spacing w:lineRule="auto" w:line="288" w:before="0" w:after="240"/>
        <w:jc w:val="both"/>
        <w:rPr/>
      </w:pPr>
      <w:r>
        <w:rPr>
          <w:rFonts w:ascii="Arial;sans-serif" w:hAnsi="Arial;sans-serif"/>
          <w:b w:val="false"/>
          <w:color w:val="000000"/>
          <w:sz w:val="20"/>
        </w:rPr>
        <w:t>Tenant, at Tenant's expense, agrees to maintain in force, with a company or companies acceptable to Landlord, during the Term: (a) Commercial General Liability Insurance on a primary basis and without any right of contribution from any insurance carried by Landlord covering the Premises on an occurrence basis against all claims for personal injury, bodily injury, death and property damage, including contractual liability covering the indemnification provisions in this Lease. Such insurance shall be for such limits that are reasonably required by Landlord from time to time but not less than a combined single limit of Five Million and No/100 Dollars ($5,000,000.00); (b) Workers' Compensation and Employers' Liability Insurance to the extent required by and in accordance with the Laws of the State of California; (c) "All Risks" or “special cause of loss” property insurance in an amount adequate to cover the full replacement cost of all Tenant Additions to the Premises, equipment, installations, fixtures and contents of the Premises in the event of loss; and (d) In the event a motor vehicle is to be used by Tenant in connection with its business operation from the Premises, Comprehensive Automobile Liability Insurance coverage with limits of not less than One Million and No/100 Dollars ($1,000,000.00)</w:t>
      </w:r>
      <w:r>
        <w:rPr>
          <w:color w:val="000000"/>
        </w:rPr>
        <w:t xml:space="preserve"> </w:t>
      </w:r>
      <w:r>
        <w:rPr>
          <w:rFonts w:ascii="Arial;sans-serif" w:hAnsi="Arial;sans-serif"/>
          <w:b w:val="false"/>
          <w:color w:val="000000"/>
          <w:sz w:val="20"/>
        </w:rPr>
        <w:t>combined single limit coverage against bodily injury liability and property damage liability arising out of the use by or on behalf of Tenant, its agents and employees in connection with this Lease, of any owned, non-owned or hired motor vehicles; and (e) such other insurance or coverages as Landlord reasonably requires.</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535305"/>
                <wp:effectExtent l="0" t="0" r="0" b="0"/>
                <wp:wrapNone/>
                <wp:docPr id="140" name="Frame139"/>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16.02    FORM OF POLICIES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Each policy referred to in 16.01 shall satisfy the following requirements. Each policy shall (i) name Landlord and the Indemnitees as additional insureds (except Workers’ Compensation and Employers’ Liability Insurance), (ii) be issued by one or more responsible insurance companies licensed to do business in the State of California reasonably satisfactory to Landlord, (iii) where applicable, provide for deductible amounts satisfactory to Landlord and not permit co-insurance, (iv) shall provide that such insurance may not be canceled or amended without thirty (30) days' prior written notice to the Landlord, and (v) each policy of "All-Risks" property insurance shall provide that the policy shall not be invalidated should the insured waive in writing prior to a loss, any or all rights of recovery against any other party for losses covered by such policies. Tenant shall deliver to Landlord, certificates of insurance and at Landlord's request, copies of all policies and renewals thereof to be maintained by Tenant hereunder, not less than ten (10) days prior to the Commencement Date and not less than ten (10) days prior to the expiration date of each policy.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16.03    LANDLORD'S INSURANCE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Landlord agrees to purchase and keep in full force and effect during the Term hereof, including any extensions or renewals thereof, insurance under policies issued by insurers of recognized responsibility, qualified to do business in the State of California on the Building in amounts not less than the greater of eighty (80%) percent of the then full replacement cost (without depreciation) of the Building (above foundations and excluding Tenant Additions to the Premises) or an amount sufficient to prevent Landlord from becoming a co-insurer under the terms of the applicable policies, against fire and such other risks as may be included in standard forms of all risk coverage insurance reasonably available from time to time. Landlord agrees to maintain in force during the Term, Commercial General Liability Insurance covering the Building on an occurrence basis against all claims for personal injury, bodily injury, death and property damage. Such insurance shall be for a combined single limit of Five Million and No/100 Dollars ($5,000,000.00). Neither Landlord's obligation to carry such insurance nor the carrying of such insurance shall be deemed to be an indemnity by Landlord with respect to any claim, liability, loss, cost or expense due, in whole or in part, to Tenant's negligent acts or omissions or willful misconduct. Without obligation to do so, Landlord may, in its sole discretion from time to time, carry insurance in amounts greater and/or for coverage additional to the coverage and amounts set forth above.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16.04    WAIVER OF SUBROGATION</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(a)    Landlord agrees that it will include in its "All Risks" policies appropriate clauses pursuant to which the insurance companies (i) waive all right of subrogation against Tenant with respect to losses payable under such policies and/or (ii) agree that such policies shall not be invalidated should the insured waive in writing prior to a loss any or all right of recovery against any party for losses covered by such policies.</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(b)    Tenant agrees to include, so long as the same is permitted under the laws of the State of California, in its "All Risks" insurance policy or policies on Tenant Additions to the Premises, whether or not removable, and on Tenant's furniture, furnishings, fixtures and other property removable by Tenant under the provisions of this Lease appropriate clauses pursuant to which the insurance company or companies (i) waive the right of subrogation against Landlord and/or any tenant of space in the Building with respect to losses payable under such policy or policies and/or (ii) agree that such policy or policies shall not be invalidated should the insured waive in writing prior to a loss any or all right of recovery against any party for losses covered by such policy or policies. If Tenant is unable to obtain in such policy or policies either of the clauses described in the preceding sentence, Tenant shall, if legally possible and without necessitating a change in insurance carriers, have Landlord named in such policy or policies as an additional insured. If Landlord shall be named as an additional insured in accordance with the foregoing, Landlord agrees to endorse promptly to the order of Tenant, without recourse, any check, draft, or order for the payment of money representing the proceeds of any such policy or representing any other payment growing out of or connected with said policies, and Landlord does hereby irrevocably waive any and all rights in and to such proceeds and payments.</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(c)    Landlord hereby waives any and all right of recovery which it might otherwise have against Tenant, its servants, agents and employees, for loss or damage occurring to the Real Property and the fixtures, appurtenances and equipment therein, except Tenant Additions, to the extent the same is covered by Landlord's insurance or would be covered had Landlord maintained insurance required hereunder, notwithstanding that such loss or damage may result from the negligence or fault of Tenant, its servants, agents or employees. Tenant hereby waives any and all right of recovery which it might otherwise have against Landlord, its servants, and employees and against every other tenant in the Real Property who shall have executed a similar waiver as set forth in this Section 16.04 (c) for loss or damage to Tenant Additions, whether or not removable, and to Tenant's furniture, furnishings, fixtures and other property removable by Tenant under the provisions hereof to the extent the same is covered or coverable by Tenant's insurance required under this Lease, notwithstanding that such loss or damage may result from the negligence or fault of Landlord, its servants, agents or employees, or such other tenant and the servants, agents or employees thereof.</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(d)    Landlord and Tenant hereby agree to advise the other promptly if the clauses to be included in their respective insurance policies pursuant to subparagraphs (a) and (b) above cannot be obtained on the terms hereinbefore provided and thereafter to furnish the other with a certificate of insurance or copy of such policies showing the naming of the other as an additional insured, as aforesaid. Landlord and Tenant hereby also agree to notify the other promptly of any cancellation or change of the terms of any such policy which would affect such clauses or naming. All such policies which name both Landlord and Tenant as additional insureds shall, to the extent obtainable, contain agreements by the insurers to the effect that no act or omission of any additional insured will invalidate the policy as to the other additional insureds.</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535305"/>
                <wp:effectExtent l="0" t="0" r="0" b="0"/>
                <wp:wrapNone/>
                <wp:docPr id="141" name="Frame140"/>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24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24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16.05    NOTICE OF CASUALTY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Tenant shall give Landlord notice in case of a fire or accident in the Premises promptly after Tenant is aware of such event.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SEVENTEEN</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WAIVER OF CLAIMS AND INDEMNITY</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17.01    WAIVER OF CLAIMS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To the extent permitted by Law, Tenant releases the Indemnitees from, and waives all claims for, damage to person or property sustained by the Tenant or any occupant of the Premises or the Property resulting directly or indirectly from any existing or future condition, defect, matter or thing in and about the Premises or the Property, or any part of either, or any equipment or appurtenance therein, or resulting from any accident in or about the Premises or the Property, or resulting directly or indirectly from any act or neglect of any tenant or occupant of the Property or of any other person, including Landlord's agents and servants, except to the extent caused by the willful and wrongful act of any of the Indemnitees. If any such damage, whether to the Premises or the Property or any part of either, or whether to Landlord or to other tenants in the Property, results from any act or neglect of Tenant, its employees, servants, agents, contractors, invitees or customers, Tenant shall be liable therefor and Landlord may, at Landlord's option, repair such damage and Tenant shall, upon demand by Landlord, as payment of additional Rent hereunder, reimburse Landlord within ten (10) days of demand for the total cost of such repairs, in excess of amounts, if any, paid to Landlord under insurance covering such damages. Tenant shall not be liable for any such damage caused by its acts or neglect if Landlord or a tenant has recovered the full amount of the damage from proceeds of insurance policies and the insurance company has waived its right of subrogation against Tenant.</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17.02    INDEMNITY BY TENANT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To the extent permitted by Law, Tenant hereby indemnifies, and agrees to protect, defend and hold the Indemnitees harmless, against any and all actions, claims, demands, liability, costs and expenses, including attorneys' fees and expenses for the defense thereof, arising from Tenant's occupancy of the Premises, from the undertaking of any Tenant Additions or repairs to the Premises, from the conduct of Tenant's business on the Premises, or from any breach or default on the part of Tenant in the performance of any covenant or agreement on the part of Tenant to be performed pursuant to the terms of this Lease, or from any willful act or negligence of Tenant, its agents, contractors, servants, employees, customers or invitees, in or about the Premises or the Property or any part of either. In case of any action or proceeding brought against the Indemnitees by reason of any such claim, upon notice from Landlord, Tenant covenants to defend such action or proceeding by counsel approved by Landlord, in Landlord's reasonable discretion. Landlord or Tenant may settle, compromise or dispose of any and all actions, claims and demands related to the foregoing indemnity, subject to the prior written approval of the other, which approval shall not be unreasonably withheld. The foregoing indemnity shall not operate to apply or relieve an Indemnitee of liability to the extent such liability is caused by the gross negligence or willful and wrongful act of such Indemnitee. Further, the foregoing indemnity is subject to and shall not diminish any waivers in effect in accordance with Section 16.04 by Landlord or its insurers to the extent of amounts, if any, paid to Landlord under its "All-Risks" property insurance.</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17.03    WAIVER OF CONSEQUENTIAL DAMAGES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To the extent permitted by law, Tenant hereby waives and releases Indemnitees from any consequential damages, including loss of business or profits as a result of any injury or damage, whether or not caused by the negligence, or by the willful and wrongful act, of any of the Indemnitees. To the extent permitted by law, but except for damages recoverable pursuant to Section 7.02, Sections 11.02(b) and (c), Article Thirteen, and Section 20.02, Landlord hereby waives and releases Tenant from any consequential damages, including loss of business or profits as a result of any injury or damage, whether or not caused by the negligence, or by the willful and wrongful act, of Tenant.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EIGHTEEN</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RULES AND REGULATIONS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Tenant agrees for itself and for its subtenants, employees, agents, and invitees to comply with all reasonable rules and regulations for use of the Premises, the Building, the Phase and the Project imposed by Landlord, as the same may be revised from time to time, including the following: (a) Tenant shall comply with all of the requirements of Landlord's emergency response plan, as the same may be amended from time to time; and (b) Tenant shall not place any furniture, furnishings, fixtures or equipment in the Premises in a manner so as to obstruct the windows of the Premises to cause the Building, in Landlord's good faith determination, to appear unsightly from the exterior. Such rules and regulations are and shall be imposed for the cleanliness, good appearance, proper maintenance, good order and reasonable use of the Premises, the Building, the Phase and the Project and as may be necessary for the enjoyment of the Building and the Project by all tenants and their clients, customers, and employees. Nothing in this Lease shall be construed to impose upon the Landlord any duty or obligation to enforce the rules and regulations as set forth above or as hereafter adopted, or the terms, covenants or conditions of any other lease as against any other tenant, and the Landlord shall not be liable to the Tenant for violation of the same by any other tenant, its servants, employees, agents, visitors or licensees. If there is a conflict between this Lease and any rules and regulations enacted after the date of this Lease, the terms of this Lease shall control. Landlord shall not be liable to Tenant for or in connection with the failure of any other tenant of the Project to comply with any rules and regulations applicable to such other tenant under its lease; provided, however, Landlord shall use reasonable efforts to enforce the rules and regulations consistently and uniformly with respect to other tenants as applicable to such other tenants under their respective leases and shall not systematically discriminate against Tenant in the enforcement of the rules and regulations.</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535305"/>
                <wp:effectExtent l="0" t="0" r="0" b="0"/>
                <wp:wrapNone/>
                <wp:docPr id="142" name="Frame141"/>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25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25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NINETEEN</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LANDLORD'S RESERVED RIGHTS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Landlord shall have the following rights exercisable without notice to Tenant and without liability to Tenant for damage or injury to persons, property or business and without being deemed an eviction or disturbance of Tenant's use or possession of the Premises or giving rise to any claim for offset or abatement of Rent: (1) to change the Building's name or street address upon thirty (30) days' prior written notice to Tenant; (2) to install, affix and maintain all signs on the exterior and/or interior of the Building; (3) to designate and/or approve prior to installation, all types of signs, window shades, blinds, drapes, awnings or other similar items, and all internal lighting that may be visible from the exterior of the Premises; (4) upon at least twenty-four (24) hours’ prior notice to Tenant, to display the Premises to prospective purchasers at reasonable hours at any time during the Term and to prospective tenants at reasonable hours during the last twelve (12) months of the Term; (5) to grant to any party the exclusive right to conduct any business or render any service in or to the Building, provided such exclusive right shall not operate to prohibit Tenant from using the Premises for the purpose permitted hereunder; (6) to change the arrangement and/or location of entrances or passageways, doors and doorways, corridors, elevators, stairs, washrooms or public portions of the Building, and to close entrances, doors, corridors, elevators or other facilities, provided that such action shall not materially and adversely interfere with Tenant's access to the Premises or the Building; (7) to have access for Landlord and other tenants of the Building to any mail chutes and boxes located in or on the Premises as required by any applicable rules of the United States Post Office; and (8) to close the Building after normal business hours, except that Tenant and its employees and invitees shall be entitled to admission at all times, under such regulations as Landlord prescribes for security purposes.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TWENTY</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ESTOPPEL CERTIFICATE</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20.01    IN GENERAL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Within fifteen (15) days after request therefor by Landlord, Mortgagee or any prospective mortgagee or owner, Tenant agrees as directed in such request to execute an Estoppel Certificate in recordable form, binding upon Tenant, certifying (i) that this Lease is unmodified and in full force and effect (or if there have been modifications, a description of such modifications and that this Lease as modified is in full force and effect); (ii) the dates to which Rent has been paid; (iii) that Tenant is in the possession of the Premises if that is the case; (iv) that to Tenant’s knowledge, Landlord is not in default under this Lease, or, if Tenant believes Landlord is in default, the nature thereof in detail; (v) that Tenant has no offsets or defenses to the performance of its obligations under this Lease (or if Tenant believes there are any offsets or defenses, a full and complete explanation thereof); (vi) that the Premises have been completed in accordance with the terms and provisions hereof, that Tenant has accepted the Premises and the condition thereof and of all improvements thereto and has no claims against Landlord or any other party with respect thereto; (vii) that if an assignment of rents or leases has been served upon the Tenant by a Mortgagee, Tenant will acknowledge receipt thereof and agree to be bound by the provisions thereof; (viii) that Tenant will give to the Mortgagee copies of all notices required or permitted to be given by Tenant to Landlord; and (ix) to any other information reasonably requested.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20.02    ENFORCEMENT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the event that Tenant fails to deliver an Estoppel Certificate, then such failure shall be a Default for which there shall be no cure or grace period. In addition to any other remedy available to Landlord, Landlord may impose a charge equal to $500.00 for each day that Tenant fails to deliver an Estoppel Certificate and Tenant shall be deemed to have irrevocably appointed Landlord as Tenant's attorney-in-fact to execute and deliver such Estoppel Certificate.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TWENTY-ONE</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INTENTIONALLY OMITTED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TWENTY-TWO</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REAL ESTATE BROKERS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Tenant represents that, except for the broker(s) listed in Section 1.01, Tenant has not dealt with any real estate broker, sales person, or finder in connection with this Lease, and no such person initiated or participated in the negotiation of this Lease, or showed the Premises to Tenant. Tenant hereby agrees to indemnify, protect, defend and hold Landlord and the Indemnitees, harmless from and against any and all liabilities and claims for commissions and fees arising out of a breach of the foregoing representation. Landlord agrees to pay any commission to which Landlord's Broker listed in Section 1.01 is entitled in connection with this Lease pursuant to Landlord's written agreement with such broker. Landlord and Tenant agree that any commission payable to Tenant's Broker shall be paid by Landlord to the extent Tenant's Broker and Landlord's Broker have entered into a separate agreement between themselves to share the commission paid to Landlord's Broker by Landlord.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TWENTY-THREE</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MORTGAGEE PROTECTION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23.01    SUBORDINATION AND ATTORNMENT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This Lease is and shall be expressly subject and subordinate at all times to (i) any ground or underlying lease of the Real Property, now or, provided the applicable ground lessor tenders a commercially reasonable non-disturbance agreement to Tenant, hereafter existing, and all amendments, extensions, renewals and modifications to any such </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535305"/>
                <wp:effectExtent l="0" t="0" r="0" b="0"/>
                <wp:wrapNone/>
                <wp:docPr id="143" name="Frame142"/>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26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26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lease, and (ii) the lien of any mortgage or trust deed now or, provided the Mortgagee tenders a commercially reasonable non-disturbance agreement to Tenant, hereafter encumbering fee title to the Real Property and/or the leasehold estate under any such lease, and all amendments, extensions, renewals, replacements and modifications of such mortgage or trust deed and/or the obligation secured thereby, unless such ground lease or ground lessor, or mortgage, trust deed or Mortgagee, expressly provides or elects that the Lease shall be superior to such lease or mortgage or trust deed. If any such mortgage or trust deed is foreclosed (including any sale of the Real Property pursuant to a power of sale), or if any such lease is terminated, upon request of the Mortgagee or ground lessor, as the case may be, Tenant shall attorn to the purchaser at the foreclosure sale or to the ground lessor under such lease, as the case may be, provided, however, that such purchaser or ground lessor shall not be (i) bound by any payment of Rent for more than one month in advance except payments in the nature of security for the performance by Tenant of its obligations under this Lease; (ii) subject to any offset, defense or damages arising out of a default of any obligations of any preceding Landlord; or (iii) bound by any amendment or modification of this Lease made without the written consent of the Mortgagee or ground lessor; or (iv) liable for any security deposits not actually received in cash by such purchaser or ground lessor. This subordination shall be self-operative and no further certificate or instrument of subordination need be required by any such Mortgagee or ground lessor. In confirmation of such subordination, however, Tenant shall execute promptly any reasonable certificate or instrument that Landlord, Mortgagee or ground lessor may request. Tenant hereby constitutes Landlord as Tenant's attorney-in-fact to execute such certificate or instrument for and on behalf of Tenant upon Tenant's failure to do so within fifteen (15) days of a request to do so. Upon request by such successor in interest, Tenant shall execute and deliver reasonable instruments confirming the attornment provided for herein.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23.02    MORTGAGEE PROTECTION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Tenant agrees to give any Mortgagee or ground lessor, by registered or certified mail, a copy of any notice of default served upon the Landlord by Tenant, provided that prior to such notice Tenant has received notice (by way of service on Tenant of a copy of an assignment of rents and leases, or otherwise) of the address of such Mortgagee or ground lessor. Tenant further agrees that if Landlord shall have failed to cure such default within the time provided for in this Lease, then the Mortgagee or ground lessor shall have an additional thirty (30) days after receipt of notice thereof within which to cure such default or if such default cannot be cured within that time, then such additional notice time as may be necessary, if, within such thirty (30) days, any Mortgagee or ground lessor has commenced and is diligently pursuing the remedies necessary to cure such default (including commencement of foreclosure proceedings or other proceedings to acquire possession of the Real Property, if necessary to effect such cure). Such period of time shall be extended by any period within which such Mortgagee or ground lessor is prevented from commencing or pursuing such foreclosure proceedings or other proceedings to acquire possession of the Real Property by reason of Landlord's bankruptcy. Until the time allowed as aforesaid for Mortgagee or ground lessor to cure such defaults has expired without cure, Tenant shall have no right to, and shall not, terminate this Lease on account of default. This Lease may not be modified or amended so as to reduce the Rent or shorten the Term, or so as to adversely affect in any other respect to any material extent the rights of the Landlord, nor shall this Lease be canceled or surrendered, without the prior written consent, in each instance, of the ground lessor or the Mortgagee.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TWENTY-FOUR</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NOTICES</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(a)    All notices, demands or requests provided for or permitted to be given pursuant to this Lease must be in writing and shall be personally delivered, sent by Federal Express or other reputable overnight courier service, or mailed by first class, registered or certified United States mail, return receipt requested, postage prepaid.</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(b)    All notices, demands or requests to be sent pursuant to this Lease shall be deemed to have been properly given or served by delivering or sending the same in accordance with this Section, addressed to the parties hereto at their respective addresses listed in Sections 1.01.</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(c)    Notices, demands or requests sent by mail or overnight courier service as described above shall be effective upon deposit in the mail or with such courier service. However, the time period in which a response to any such notice, demand or request must be given shall commence to run from (i) in the case of delivery by mail, the date of receipt on the return receipt of the notice, demand or request by the addressee thereof, or (ii) in the case of delivery by Federal Express or other overnight courier service, the date of acceptance of delivery by an employee, officer, director or partner of Landlord or Tenant. Rejection or other refusal to accept or the inability to deliver because of changed address of which no notice was given, as indicated by advice from Federal Express or other overnight courier service or by mail return receipt, shall be deemed to be receipt of notice, demand or request sent. Notices may also be served by personal service upon any officer, director or partner of Landlord or Tenant, and shall be effective upon such service.</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(d)    By giving to the other party at least thirty (30) days written notice thereof, either party shall have the right from time to time during the term of this Lease to change their respective addresses for notices, statements, demands and requests, provided such new address shall be within the United States of America.</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TWENTY-FIVE</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SANCTIONS LIST</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(a)    Tenant hereby represents, warrants and covenants to Landlord that either:</w:t>
      </w:r>
    </w:p>
    <w:p>
      <w:pPr>
        <w:pStyle w:val="TextBody"/>
        <w:bidi w:val="0"/>
        <w:spacing w:lineRule="auto" w:line="288" w:before="0" w:after="240"/>
        <w:ind w:left="0" w:right="0" w:firstLine="1440"/>
        <w:jc w:val="both"/>
        <w:rPr>
          <w:rFonts w:ascii="Arial;sans-serif" w:hAnsi="Arial;sans-serif"/>
          <w:b w:val="false"/>
          <w:color w:val="000000"/>
          <w:sz w:val="20"/>
        </w:rPr>
      </w:pPr>
      <w:r>
        <w:rPr>
          <w:rFonts w:ascii="Arial;sans-serif" w:hAnsi="Arial;sans-serif"/>
          <w:b w:val="false"/>
          <w:color w:val="000000"/>
          <w:sz w:val="20"/>
        </w:rPr>
        <w:t xml:space="preserve">(i)    Tenant is Regulated Entity (as defined below), or </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535305"/>
                <wp:effectExtent l="0" t="0" r="0" b="0"/>
                <wp:wrapNone/>
                <wp:docPr id="144" name="Frame143"/>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27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27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40"/>
        <w:ind w:left="0" w:right="0" w:firstLine="1440"/>
        <w:jc w:val="both"/>
        <w:rPr>
          <w:rFonts w:ascii="Arial;sans-serif" w:hAnsi="Arial;sans-serif"/>
          <w:b w:val="false"/>
          <w:color w:val="000000"/>
          <w:sz w:val="20"/>
        </w:rPr>
      </w:pPr>
      <w:r>
        <w:rPr>
          <w:rFonts w:ascii="Arial;sans-serif" w:hAnsi="Arial;sans-serif"/>
          <w:b w:val="false"/>
          <w:color w:val="000000"/>
          <w:sz w:val="20"/>
        </w:rPr>
        <w:t xml:space="preserve">(ii)    neither Tenant nor any person or entity that directly or indirectly has an ownership interest in Tenant of twenty-five percent (25%) or more, is or will be (A)(1) subject to a U.S. comprehensive sanctions program administered by the U.S. Department of Treasury, Office of Foreign Assets Control (“OFAC”), (2) named on OFAC’s U.S. Specially Designated Nationals list, or (3) named on OFAC’s Sectoral Sanctions Identifications list ((1), (2) and (3) collectively the “OFAC Sanctions Lists”), (B) named on any other locally required sanctions lists (“Country Lists”), or (C) named on the United Nations Security Council’s sanctions list (the “U.N. List” and together with the OFAC Sanctions Lists and the Country Lists, the “Sanctions Lists”).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(b)    If, in connection with this Lease, there is one or more Guarantors of Tenant’s obligations under this Lease, then Tenant further represents, warrants and covenants that either:</w:t>
      </w:r>
    </w:p>
    <w:p>
      <w:pPr>
        <w:pStyle w:val="TextBody"/>
        <w:bidi w:val="0"/>
        <w:spacing w:lineRule="auto" w:line="288" w:before="0" w:after="240"/>
        <w:ind w:left="0" w:right="0" w:firstLine="1440"/>
        <w:jc w:val="both"/>
        <w:rPr>
          <w:rFonts w:ascii="Arial;sans-serif" w:hAnsi="Arial;sans-serif"/>
          <w:b w:val="false"/>
          <w:color w:val="000000"/>
          <w:sz w:val="20"/>
        </w:rPr>
      </w:pPr>
      <w:r>
        <w:rPr>
          <w:rFonts w:ascii="Arial;sans-serif" w:hAnsi="Arial;sans-serif"/>
          <w:b w:val="false"/>
          <w:color w:val="000000"/>
          <w:sz w:val="20"/>
        </w:rPr>
        <w:t xml:space="preserve">(i)    any such Guarantor is a Regulated Entity, or </w:t>
      </w:r>
    </w:p>
    <w:p>
      <w:pPr>
        <w:pStyle w:val="TextBody"/>
        <w:bidi w:val="0"/>
        <w:spacing w:lineRule="auto" w:line="288" w:before="0" w:after="240"/>
        <w:ind w:left="0" w:right="0" w:firstLine="1440"/>
        <w:jc w:val="both"/>
        <w:rPr>
          <w:rFonts w:ascii="Arial;sans-serif" w:hAnsi="Arial;sans-serif"/>
          <w:b w:val="false"/>
          <w:color w:val="000000"/>
          <w:sz w:val="20"/>
        </w:rPr>
      </w:pPr>
      <w:r>
        <w:rPr>
          <w:rFonts w:ascii="Arial;sans-serif" w:hAnsi="Arial;sans-serif"/>
          <w:b w:val="false"/>
          <w:color w:val="000000"/>
          <w:sz w:val="20"/>
        </w:rPr>
        <w:t xml:space="preserve">(ii)    neither Guarantor nor any person or entity that directly or indirectly has an ownership interest in such Guarantor of twenty-five percent (25%) or more, is or will be on the Sanctions Lists.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For purposes of this Section, a “Regulated Entity” shall mean a U.S. public company (including their documented wholly-owned subsidiaries) or any other entity, including a bank, that is regulated by the SEC, FINRA, or Federal Reserve.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ARTICLE TWENTY-SIX</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MISCELLANEOUS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26.01    LATE CHARGES</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(a)    The Monthly Base Rent, Rent Adjustments and Rent Adjustment Deposits shall be due when and as specifically provided above. Except for such payments and late charges described below, which late charge shall be due when provided below (without notice or demand), all other payments required hereunder to Landlord shall be paid within ten (10) business days after Landlord's demand therefor. All Rent and charges, except late charges, not paid when due shall bear interest from the date due until the date paid at the Default Rate in effect on the date such payment was due.</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(b)    In the event Tenant is more than five (5) days late in paying any installment of Rent due under this Lease, Tenant shall pay Landlord a late charge equal to five percent (5%) of the delinquent installment of Rent. The parties agree that (i) such delinquency will cause Landlord to incur costs and expenses not contemplated herein, the exact amount of which will be difficult to calculate, including the cost and expense that will be incurred by Landlord in processing each delinquent payment of rent by Tenant, and (ii) the amount of such late charge represents a reasonable estimate of such costs and expenses and that such late charge shall be paid to Landlord for each delinquent payment in addition to all Rent otherwise due hereunder. Notwithstanding the foregoing with respect only to one (1) occasion of late payment within the preceding twelve (12) months, the late charge shall be payable only if the payment in question is received more than three (3) days after written notice from Landlord of such late payment. The parties further agree that the payment of late charges and the payment of interest provided for in subparagraph (a) above are distinct and separate from one another in that the payment of interest is to compensate Landlord for its inability to use the money improperly withheld by Tenant, while the payment of late charges is to compensate Landlord for its additional administrative expenses in handling and processing delinquent payments.</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(c)    Payment of interest at the Default Rate and/or of late charges shall not excuse or cure any default by Tenant under this Lease, nor shall the foregoing provisions of this Article or any such payments prevent Landlord from exercising any right or remedy available to Landlord upon Tenant's failure to pay Rent when due, including the right to terminate this Lease.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26.02    NO JURY TRIAL; VENUE; JURISDICTION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Each party hereto (which includes any assignee, successor, heir or personal representative of a party) shall not seek a jury trial, hereby waives trial by jury, and hereby further waives any objection to venue in the County in which the Project is located, and agrees and consents to personal jurisdiction of the courts of the State of California, in any action or proceeding or counterclaim brought by any party hereto against the other on any matter whatsoever arising out of or in any way connected with this Lease, the relationship of Landlord and Tenant, Tenant's use or occupancy of the Premises, or any claim of injury or damage, or the enforcement of any remedy under any statute, emergency or otherwise, whether any of the foregoing is based on this Lease or on tort law. No party will seek to consolidate any such action in which a jury has been waived with any other action in which a jury trial cannot or has not been waived. It is the intention of the parties that these provisions shall be subject to no exceptions. By execution of this Lease the parties agree that this provision may be filed by any party hereto with the clerk or judge before whom any action is instituted, which filing shall constitute the written consent to a waiver of jury trial pursuant to and in accordance with Section 631 of the California Code of Civil Procedure. No party has in any way agreed with or represented to any other party that the provisions of this Section will not be fully enforced in all instances. The provisions of this Section shall survive the expiration or earlier termination of this Lease.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26.03    DEFAULT UNDER OTHER LEASE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It shall be a Default under this Lease if Tenant or any Affiliate holding any other lease with Landlord for premises in the Project defaults under such lease and as a result thereof such lease is terminated or terminable.</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535305"/>
                <wp:effectExtent l="0" t="0" r="0" b="0"/>
                <wp:wrapNone/>
                <wp:docPr id="145" name="Frame144"/>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28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26.04    OPTION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This Lease shall not become effective as a lease or otherwise until executed and delivered by both Landlord and Tenant. The submission of the Lease to Tenant does not constitute a reservation of or option for the Premises, and this Lease shall not be binding on either party until executed and delivered by both parties.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26.05    TENANT AUTHORITY</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Tenant represents and warrants to Landlord that it has full authority and power to enter into and perform its obligations under this Lease, that the person executing this Lease is fully empowered to do so, and that no consent or authorization is necessary from any third party. Landlord may request that Tenant provide Landlord evidence of Tenant's authority.</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26.06    ENTIRE AGREEMENT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This Lease, the Exhibits and Riders attached hereto contain the entire agreement between Landlord and Tenant concerning the Premises and there are no other agreements, either oral or written, and no other representations or statements, either oral or written, on which Tenant has relied. This Lease shall not be modified except by a writing executed by Landlord and Tenant.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26.07    MODIFICATION OF LEASE FOR BENEFIT OF MORTGAGEE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Mortgagee of Landlord requires a modification of this Lease which shall not result in any increased cost or expense to Tenant or in any other substantial and adverse change in the rights and obligations of Tenant hereunder, then Tenant agrees that the Lease may be so modified.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26.08    EXCULPATION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Tenant agrees, on its behalf and on behalf of its successors and assigns, that any liability or obligation of Landlord in connection with this Lease shall only be enforced against Landlord's equity interest in the Property up to a maximum of Five Million Dollars ($5,000,000.00) and in no event against any other assets of the Landlord, or Landlord's officers or directors or partners, and that any liability of Landlord with respect to this Lease shall be so limited and Tenant shall not be entitled to any judgment in excess of such amount.</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26.09    ACCORD AND SATISFACTION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No payment by Tenant or receipt by Landlord of a lesser amount than any installment or payment of Rent due shall be deemed to be other than on account of the amount due, and no endorsement or statement on any check or any letter accompanying any check or payment of Rent shall be deemed an accord and satisfaction, and Landlord may accept such check or payment without prejudice to Landlord's right to recover the balance of such installment or payment of Rent or pursue any other remedies available to Landlord. No receipt of money by Landlord from Tenant after the termination of this Lease or Tenant's right of possession of the Premises shall reinstate, continue or extend the Term. Receipt or acceptance of payment from anyone other than Tenant, including an assignee of Tenant, is not a waiver of any breach of Article Ten, and Landlord may accept such payment on account of the amount due without prejudice to Landlord's right to pursue any remedies available to Landlord.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26.10    LANDLORD'S OBLIGATIONS ON SALE OF BUILDING</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the event of any sale or other transfer of the Building, Landlord shall be entirely freed and relieved of all agreements and obligations of Landlord hereunder accruing or to be performed after the date of such sale or transfer, and any remaining liability of Landlord with respect to this Lease shall be limited to Five Million Dollars ($5,000,000.00) and Tenant shall not be entitled to any judgment in excess of such amount.</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26.11    BINDING EFFECT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Subject to the provisions of Article Ten, this Lease shall be binding upon and inure to the benefit of Landlord and Tenant and their respective heirs, legal representatives, successors and permitted assigns.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26.12    CAPTIONS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Article and Section captions in this Lease are inserted only as a matter of convenience and in no way define, limit, construe, or describe the scope or intent of such Articles and Sections.</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26.13    TIME; APPLICABLE LAW; CONSTRUCTION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Time is of the essence of this Lease and each and all of its provisions. This Lease shall be construed in accordance with the Laws of the State of California. If more than one person signs this Lease as Tenant, the obligations hereunder imposed shall be joint and several. If any term, covenant or condition of this Lease or the application thereof to any person or circumstance shall, to any extent, be invalid or unenforceable, the remainder of this Lease, or the application of such term, covenant or condition to persons or circumstances other than those as to which it is held invalid or unenforceable, shall not be affected thereby and each item, covenant or condition of this Lease shall be valid and be enforced to the fullest extent permitted by Law. Wherever the term "including" or "includes" is used in this Lease, it </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535305"/>
                <wp:effectExtent l="0" t="0" r="0" b="0"/>
                <wp:wrapNone/>
                <wp:docPr id="146" name="Frame145"/>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29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shall have the same meaning as if followed by the phrase "but not limited to". The language in all parts of this Lease shall be construed according to its normal and usual meaning and not strictly for or against either Landlord or Tenant.</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26.14    ABANDONMENT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the event Tenant abandons the Premises but is otherwise in compliance with all the terms, covenants and conditions of this Lease, Landlord shall (i) have the right to enter into the Premises in order to show the space to prospective tenants, (ii) have the right to reduce the services provided to Tenant pursuant to the terms of this Lease to such levels as Landlord reasonably determines to be adequate services for an unoccupied premises and (iii) during the last six (6) months of the Term, have the right to prepare the Premises for occupancy by another tenant upon the end of the Term. Tenant expressly acknowledges that in the absence of written notice pursuant to Section 11.02(b) or pursuant to California Civil Code Section 1951.3 terminating Tenant's right to possession, none of the foregoing acts of Landlord or any other act of Landlord shall constitute a termination of Tenant's right to possession or an acceptance of Tenant's surrender of the Premises, and the Lease shall continue in effect.</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26.15    LANDLORD'S RIGHT TO PERFORM TENANT'S DUTIES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Tenant fails timely to perform any of its duties under this Lease beyond any applicable notice and cure period, Landlord shall have the right (but not the obligation), to perform such duty on behalf and at the expense of Tenant without prior notice to Tenant, and all sums expended or expenses incurred by Landlord in performing such duty shall be deemed to be additional Rent under this Lease and shall be due and payable upon demand by Landlord.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26.16    SECURITY SYSTEM</w:t>
      </w:r>
    </w:p>
    <w:p>
      <w:pPr>
        <w:pStyle w:val="TextBody"/>
        <w:bidi w:val="0"/>
        <w:spacing w:lineRule="auto" w:line="288" w:before="0" w:after="200"/>
        <w:jc w:val="both"/>
        <w:rPr>
          <w:color w:val="000000"/>
        </w:rPr>
      </w:pPr>
      <w:r>
        <w:rPr>
          <w:color w:val="000000"/>
        </w:rPr>
        <w:t>    </w:t>
      </w:r>
      <w:r>
        <w:rPr>
          <w:rFonts w:ascii="Arial;sans-serif" w:hAnsi="Arial;sans-serif"/>
          <w:b w:val="false"/>
          <w:color w:val="000000"/>
          <w:sz w:val="20"/>
        </w:rPr>
        <w:t>(a)    Landlord shall not be obligated to provide or maintain any security patrol or security system. Landlord shall not be responsible for the quality of any such patrol or system which may be provided hereunder or for damage or injury to Tenant, its employees, invitees or others due to the failure, action or inaction of such patrol or system.</w:t>
      </w:r>
    </w:p>
    <w:p>
      <w:pPr>
        <w:pStyle w:val="TextBody"/>
        <w:bidi w:val="0"/>
        <w:spacing w:lineRule="auto" w:line="288" w:before="0" w:after="200"/>
        <w:jc w:val="both"/>
        <w:rPr>
          <w:color w:val="000000"/>
        </w:rPr>
      </w:pPr>
      <w:r>
        <w:rPr>
          <w:color w:val="000000"/>
        </w:rPr>
        <w:t>    </w:t>
      </w:r>
      <w:r>
        <w:rPr>
          <w:rFonts w:ascii="Arial;sans-serif" w:hAnsi="Arial;sans-serif"/>
          <w:b w:val="false"/>
          <w:color w:val="000000"/>
          <w:sz w:val="20"/>
        </w:rPr>
        <w:t>(b)    Tenant, at Tenant’s sole cost and expense, shall have the right to install and maintain a security system in the Premises and at the entrance to the Premises, subject to the following conditions: (i) Landlord’s prior written approval of Tenant’s plans and specifications for the proposed security system, which approval will not be unreasonably withheld; (ii) that such system is compatible with any security and other systems existing in the Premises and the Building; (iii) that such system is installed and used in compliance with all other provisions of this Lease; (iv) that Landlord is provided with keys and means of immediate access to fully exercise all of its entry rights under the Lease with respect to the Premises, including access for cleaning and maintenance personnel to perform their functions; (v) Tenant shall keep such system in good operating condition and repair; and (vi) such system shall not make noise or visual alerts or alarms which unreasonably disturb other occupants or which result in alarms or false alarms to which Landlord or its manager are called to respond. Upon the expiration or earlier termination of this Lease, Tenant shall remove the security system. All costs and expenses associated with the removal of Tenant’s security system and the repair of any damage to the Premises and the Building resulting from the installation and/or removal of same shall be borne solely by Tenant.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26.17    NO LIGHT, AIR OR VIEW EASEMENTS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Any diminution or shutting off of light, air or view by any structure which may be erected on lands of or adjacent to the Project shall in no way affect this Lease or impose any liability on Landlord.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26.18    RECORDATION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Neither this Lease, nor any notice nor memorandum regarding the terms hereof, shall be recorded by Tenant. Any such unauthorized recording shall be a Default for which there shall be no cure or grace period. Tenant agrees to execute and acknowledge, at the request of Landlord, a memorandum of this Lease, in recordable form.</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26.19    SURVIVAL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waivers of the right of jury trial, the other waivers of claims or rights, the releases and the obligations of Tenant under this Lease to indemnify, protect, defend and hold harmless Landlord and/or Indemnitees shall survive the expiration or termination of this Lease, and so shall all other obligations or agreements which by their terms survive expiration or termination of the Lease.</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26.20    RIDERS</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All Riders attached hereto and executed both by Landlord and Tenant shall be deemed to be a part hereof and hereby incorporated herein.</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26.21    DISCLOSURE REGARDING CERTIFIED ACCESS SPECIALIST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Pursuant to California Civil Code Section 1938, Landlord hereby notifies Tenant that as of the date of this Lease, the Premises has not undergone inspection by a “Certified Access Specialist” (“CASp”) to determine whether the Premises meet all applicable construction-related accessibility standards under California Civil Code Section 55.53. Landlord hereby discloses pursuant to California Civil Code Section 1938 as follows: “A Certified Access Specialist (CASp) can inspect the subject premises and determine whether the subject premises comply with all of the applicable construction-related accessibility standards under state law. Although state law does not require a CASp inspection of </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535305"/>
                <wp:effectExtent l="0" t="0" r="0" b="0"/>
                <wp:wrapNone/>
                <wp:docPr id="147" name="Frame146"/>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30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Landlord and Tenant hereby acknowledge and agree that in the event that Tenant elects to perform a CASp inspection of the Premises hereunder (the “Inspection”), such Inspection shall be (a) performed at Tenant’s sole cost and expense, (b) limited to the Premises and (c) performed by a CASp who has been approved or designated by Landlord prior to the Inspection. Any Inspection must be performed in a manner which minimizes the disruption of business activities in the Building, and at a time reasonably approved by Landlord. Landlord reserves the right to be present during the Inspection. Tenant agrees to: (i) promptly provide to Landlord a copy of the report or certification prepared by the CASp inspector upon request (the “Report”), and (ii) keep the information contained in the Report confidential, except to the extent required by Law, or to the extent disclosure is needed in order to complete any necessary modifications or improvements required to comply with all applicable accessibility standards under state or federal Law, as well as any other repairs, upgrades, improvements, modifications or alterations required by the Report or that may be otherwise required to comply with applicable Laws or accessibility requirements (the “Access Improvements”). Tenant shall be solely responsible for the cost of Access Improvements to the Premises or the Building necessary to correct any such violations of construction-related accessibility standards identified by such Inspection as required by Law, which Access Improvements may, at Landlord’s option, be performed in whole or in part by Landlord at Tenant’s expense, payable as additional rent within ten (10) days following Landlord’s demand.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26.22    UTILITY USAGE INFORMATION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If Tenant is billed directly by a public utility with respect to Tenant’s electrical usage at the Premises, then, upon request, Tenant shall provide monthly electrical utility usage for the Premises to Landlord for the period of time requested by Landlord (in electronic or paper format) or, at Landlord’s option, provide any written authorization or other documentation required for Landlord to request information regarding Tenant's electricity usage with respect to the Premises directly from the applicable utility company.</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 xml:space="preserve">26.23    QUALIFIED COMMERCIAL TENANTS </w:t>
      </w:r>
    </w:p>
    <w:p>
      <w:pPr>
        <w:pStyle w:val="TextBody"/>
        <w:bidi w:val="0"/>
        <w:spacing w:lineRule="auto" w:line="319" w:before="120" w:after="180"/>
        <w:jc w:val="both"/>
        <w:rPr>
          <w:rFonts w:ascii="Arial;sans-serif" w:hAnsi="Arial;sans-serif"/>
          <w:b w:val="false"/>
          <w:color w:val="000000"/>
          <w:sz w:val="20"/>
        </w:rPr>
      </w:pPr>
      <w:r>
        <w:rPr>
          <w:rFonts w:ascii="Arial;sans-serif" w:hAnsi="Arial;sans-serif"/>
          <w:b w:val="false"/>
          <w:color w:val="000000"/>
          <w:sz w:val="20"/>
        </w:rPr>
        <w:t>Under California Civil Code Section 827, a “qualified commercial tenant” is defined as: “a tenant of commercial real property that meets both of the following requirements:</w:t>
      </w:r>
    </w:p>
    <w:p>
      <w:pPr>
        <w:pStyle w:val="TextBody"/>
        <w:bidi w:val="0"/>
        <w:spacing w:lineRule="auto" w:line="288" w:before="0" w:after="0"/>
        <w:ind w:left="0" w:right="0" w:hanging="90"/>
        <w:jc w:val="both"/>
        <w:rPr/>
      </w:pPr>
      <w:r>
        <w:rPr>
          <w:rFonts w:ascii="Arial;sans-serif" w:hAnsi="Arial;sans-serif"/>
          <w:b w:val="false"/>
          <w:color w:val="000000"/>
          <w:sz w:val="20"/>
        </w:rPr>
        <w:t>(i)</w:t>
      </w:r>
      <w:r>
        <w:rPr>
          <w:rFonts w:ascii="Arial;sans-serif" w:hAnsi="Arial;sans-serif"/>
          <w:b w:val="false"/>
          <w:color w:val="000000"/>
          <w:sz w:val="20"/>
        </w:rPr>
        <w:t>The tenant is a microenterprise, a restaurant with fewer than 10 employees, or a nonprofit organization with fewer than 20 employees.</w:t>
      </w:r>
    </w:p>
    <w:p>
      <w:pPr>
        <w:pStyle w:val="TextBody"/>
        <w:bidi w:val="0"/>
        <w:spacing w:before="0" w:after="0"/>
        <w:jc w:val="left"/>
        <w:rPr/>
      </w:pPr>
      <w:r>
        <w:rPr/>
      </w:r>
    </w:p>
    <w:p>
      <w:pPr>
        <w:pStyle w:val="TextBody"/>
        <w:bidi w:val="0"/>
        <w:spacing w:lineRule="auto" w:line="288" w:before="0" w:after="0"/>
        <w:ind w:left="0" w:right="0" w:hanging="90"/>
        <w:jc w:val="both"/>
        <w:rPr/>
      </w:pPr>
      <w:r>
        <w:rPr>
          <w:rFonts w:ascii="Arial;sans-serif" w:hAnsi="Arial;sans-serif"/>
          <w:b w:val="false"/>
          <w:color w:val="000000"/>
          <w:sz w:val="20"/>
        </w:rPr>
        <w:t>(ii)</w:t>
      </w:r>
      <w:r>
        <w:rPr>
          <w:rFonts w:ascii="Arial;sans-serif" w:hAnsi="Arial;sans-serif"/>
          <w:b w:val="false"/>
          <w:color w:val="000000"/>
          <w:sz w:val="20"/>
        </w:rPr>
        <w:t>(I) Subject to subclause (II), the tenant has provided the landlord, within the previous 12 months, a written notice that the tenant is a qualified commercial tenant and a self-attestation regarding the number of employees, at such time the protections under this subdivision come into place. (II) Unless the tenancy is from week to week, month to month, or other period less than a month, the tenant provided the notice and self-attestation described in subclause (I) before or upon execution of the lease, and annually thereafter, at such time the protections under this subdivision come into place.”</w:t>
      </w:r>
    </w:p>
    <w:p>
      <w:pPr>
        <w:pStyle w:val="TextBody"/>
        <w:bidi w:val="0"/>
        <w:spacing w:before="0" w:after="0"/>
        <w:jc w:val="both"/>
        <w:rPr/>
      </w:pPr>
      <w:r>
        <w:rPr/>
      </w:r>
    </w:p>
    <w:p>
      <w:pPr>
        <w:pStyle w:val="TextBody"/>
        <w:bidi w:val="0"/>
        <w:spacing w:lineRule="auto" w:line="319" w:before="0" w:after="200"/>
        <w:jc w:val="both"/>
        <w:rPr>
          <w:rFonts w:ascii="Arial;sans-serif" w:hAnsi="Arial;sans-serif"/>
          <w:b w:val="false"/>
          <w:color w:val="000000"/>
          <w:sz w:val="20"/>
        </w:rPr>
      </w:pPr>
      <w:r>
        <w:rPr>
          <w:rFonts w:ascii="Arial;sans-serif" w:hAnsi="Arial;sans-serif"/>
          <w:b w:val="false"/>
          <w:color w:val="000000"/>
          <w:sz w:val="20"/>
        </w:rPr>
        <w:t>Tenant hereby represents and warrants that, as of the date of this Lease, it is not a “qualified commercial tenant” as defined in California Civil Code Section 827.   Tenant shall provide Landlord with written notice if at any time during the Term, as the same may be extended, Tenant is deemed a “qualified commercial tenant” as defined in California Civil Code Section 827.</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Pursuant to California Civil Code Section 1632, a qualified commercial tenant who negotiates primarily in Spanish, Chinese, Tagalog, Vietnamese, or Korean, orally or in writing, in the course of entering into a commercial lease, is entitled to a translation of the contract or agreement in the language in which the contract or agreement was negotiated before the execution thereof. Tenant hereby represents and warrants that this Lease was negotiated in the English language, and no translation is required.</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 xml:space="preserve">26.24    COUNTERPARTS </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This Lease may be executed in duplicates or counterparts, or both, and such duplicates or counterparts together shall constitute but one original of the Lease. Each duplicate and counterpart shall be equally admissible in evidence, and each original shall fully bind each party who has executed it. In addition, the parties agree that this Lease may be signed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 that (1) to the extent a party signs this document using electronic signature technology, by clicking “sign”, such party is signing this Lease electronically, and (2) the electronic signatures appearing on this Lease shall be treated, for purposes of validity, enforceability and admissibility, the same as hand written signatures.</w:t>
      </w:r>
    </w:p>
    <w:p>
      <w:pPr>
        <w:pStyle w:val="TextBody"/>
        <w:bidi w:val="0"/>
        <w:spacing w:before="0" w:after="0"/>
        <w:jc w:val="center"/>
        <w:rPr/>
      </w:pPr>
      <w:r>
        <w:rPr/>
      </w:r>
    </w:p>
    <w:p>
      <w:pPr>
        <w:pStyle w:val="TextBody"/>
        <w:bidi w:val="0"/>
        <w:spacing w:lineRule="auto" w:line="319" w:before="0" w:after="200"/>
        <w:jc w:val="left"/>
        <w:rPr>
          <w:rFonts w:ascii="Arial;sans-serif" w:hAnsi="Arial;sans-serif"/>
          <w:b/>
          <w:i/>
          <w:color w:val="000000"/>
          <w:sz w:val="20"/>
        </w:rPr>
      </w:pPr>
      <w:r>
        <w:rPr>
          <w:rFonts w:ascii="Arial;sans-serif" w:hAnsi="Arial;sans-serif"/>
          <w:b/>
          <w:i/>
          <w:color w:val="000000"/>
          <w:sz w:val="20"/>
        </w:rPr>
        <w:t>[SIGNATURE PAGE FOLLOWS]</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535305"/>
                <wp:effectExtent l="0" t="0" r="0" b="0"/>
                <wp:wrapNone/>
                <wp:docPr id="148" name="Frame147"/>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31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before="0" w:after="0"/>
        <w:jc w:val="center"/>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WITNESS WHEREOF, this Lease has been executed as of the date set forth in Section 1.01 hereof.</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u w:val="single"/>
        </w:rPr>
        <w:t>TENANT</w:t>
      </w:r>
      <w:r>
        <w:rPr>
          <w:rFonts w:ascii="Arial;sans-serif" w:hAnsi="Arial;sans-serif"/>
          <w:b w:val="false"/>
          <w:color w:val="000000"/>
          <w:sz w:val="20"/>
        </w:rPr>
        <w:t>:                        </w:t>
      </w:r>
      <w:r>
        <w:rPr>
          <w:rFonts w:ascii="Arial;sans-serif" w:hAnsi="Arial;sans-serif"/>
          <w:b w:val="false"/>
          <w:color w:val="000000"/>
          <w:sz w:val="20"/>
          <w:u w:val="single"/>
        </w:rPr>
        <w:t>LANDLORD</w:t>
      </w:r>
      <w:r>
        <w:rPr>
          <w:rFonts w:ascii="Arial;sans-serif" w:hAnsi="Arial;sans-serif"/>
          <w:b w:val="false"/>
          <w:color w:val="000000"/>
          <w:sz w:val="20"/>
        </w:rPr>
        <w: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946"/>
        <w:gridCol w:w="1709"/>
        <w:gridCol w:w="1718"/>
        <w:gridCol w:w="1413"/>
        <w:gridCol w:w="1413"/>
        <w:gridCol w:w="2006"/>
      </w:tblGrid>
      <w:tr>
        <w:trPr/>
        <w:tc>
          <w:tcPr>
            <w:tcW w:w="1946"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r>
      <w:tr>
        <w:trPr/>
        <w:tc>
          <w:tcPr>
            <w:tcW w:w="53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SI-BONE, INC., </w:t>
            </w:r>
          </w:p>
          <w:p>
            <w:pPr>
              <w:pStyle w:val="TableContents"/>
              <w:bidi w:val="0"/>
              <w:spacing w:lineRule="auto" w:line="288" w:before="0" w:after="0"/>
              <w:jc w:val="both"/>
              <w:rPr>
                <w:rFonts w:ascii="Arial;sans-serif" w:hAnsi="Arial;sans-serif"/>
                <w:b/>
                <w:color w:val="000000"/>
                <w:sz w:val="20"/>
              </w:rPr>
            </w:pPr>
            <w:r>
              <w:rPr>
                <w:rFonts w:ascii="Arial;sans-serif" w:hAnsi="Arial;sans-serif"/>
                <w:b/>
                <w:color w:val="000000"/>
                <w:sz w:val="20"/>
              </w:rPr>
              <w:t>a Delaware corporation</w:t>
            </w:r>
          </w:p>
          <w:p>
            <w:pPr>
              <w:pStyle w:val="TableContents"/>
              <w:bidi w:val="0"/>
              <w:spacing w:before="0" w:after="0"/>
              <w:jc w:val="both"/>
              <w:rPr/>
            </w:pPr>
            <w:r>
              <w:rPr/>
            </w:r>
          </w:p>
          <w:p>
            <w:pPr>
              <w:pStyle w:val="TableContents"/>
              <w:bidi w:val="0"/>
              <w:spacing w:lineRule="auto" w:line="288" w:before="0" w:after="0"/>
              <w:jc w:val="both"/>
              <w:rPr/>
            </w:pPr>
            <w:r>
              <w:rPr>
                <w:rFonts w:ascii="Arial;sans-serif" w:hAnsi="Arial;sans-serif"/>
                <w:b w:val="false"/>
                <w:color w:val="000000"/>
                <w:sz w:val="20"/>
              </w:rPr>
              <w:t xml:space="preserve">By: </w:t>
            </w:r>
            <w:r>
              <w:rPr>
                <w:rFonts w:ascii="Arial;sans-serif" w:hAnsi="Arial;sans-serif"/>
                <w:b w:val="false"/>
                <w:color w:val="000000"/>
                <w:sz w:val="20"/>
                <w:u w:val="single"/>
              </w:rPr>
              <w:t>/s/ Michael Pisetsky</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Name: Michael Pisetsky</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Its Chief Business &amp; Legal Affairs Officer</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(Chairman of Board, President or Vice President)</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rFonts w:ascii="Arial;sans-serif" w:hAnsi="Arial;sans-serif"/>
                <w:b w:val="false"/>
                <w:color w:val="000000"/>
                <w:sz w:val="20"/>
              </w:rPr>
              <w:t xml:space="preserve">By: </w:t>
            </w:r>
            <w:r>
              <w:rPr>
                <w:rFonts w:ascii="Arial;sans-serif" w:hAnsi="Arial;sans-serif"/>
                <w:b w:val="false"/>
                <w:color w:val="000000"/>
                <w:sz w:val="20"/>
                <w:u w:val="single"/>
              </w:rPr>
              <w:t>/s/Anshul Maheshwari</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Name: Anshul Maheshwari</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Its Chief Financial Officer</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(Secretary, Assistant Secretary, CFO or Assistant Treasurer)</w:t>
            </w:r>
          </w:p>
        </w:tc>
        <w:tc>
          <w:tcPr>
            <w:tcW w:w="483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both"/>
              <w:rPr>
                <w:rFonts w:ascii="Arial;sans-serif" w:hAnsi="Arial;sans-serif"/>
                <w:b/>
                <w:color w:val="000000"/>
                <w:sz w:val="20"/>
              </w:rPr>
            </w:pPr>
            <w:r>
              <w:rPr>
                <w:rFonts w:ascii="Arial;sans-serif" w:hAnsi="Arial;sans-serif"/>
                <w:b/>
                <w:color w:val="000000"/>
                <w:sz w:val="20"/>
              </w:rPr>
              <w:t>ORCHARD COMMONS, LLC,</w:t>
            </w:r>
          </w:p>
          <w:p>
            <w:pPr>
              <w:pStyle w:val="TableContents"/>
              <w:bidi w:val="0"/>
              <w:spacing w:lineRule="auto" w:line="288" w:before="0" w:after="0"/>
              <w:jc w:val="both"/>
              <w:rPr>
                <w:rFonts w:ascii="Arial;sans-serif" w:hAnsi="Arial;sans-serif"/>
                <w:b/>
                <w:color w:val="000000"/>
                <w:sz w:val="20"/>
              </w:rPr>
            </w:pPr>
            <w:r>
              <w:rPr>
                <w:rFonts w:ascii="Arial;sans-serif" w:hAnsi="Arial;sans-serif"/>
                <w:b/>
                <w:color w:val="000000"/>
                <w:sz w:val="20"/>
              </w:rPr>
              <w:t>a Florida limited liability company</w:t>
            </w:r>
          </w:p>
          <w:p>
            <w:pPr>
              <w:pStyle w:val="TableContents"/>
              <w:bidi w:val="0"/>
              <w:spacing w:before="0" w:after="0"/>
              <w:jc w:val="both"/>
              <w:rPr/>
            </w:pPr>
            <w:r>
              <w:rPr/>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By:     MLIA SBAF Manager LLC, </w:t>
            </w:r>
          </w:p>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 xml:space="preserve">a Delaware limited liability company, </w:t>
            </w:r>
          </w:p>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its manager</w:t>
            </w:r>
          </w:p>
          <w:p>
            <w:pPr>
              <w:pStyle w:val="TableContents"/>
              <w:bidi w:val="0"/>
              <w:spacing w:lineRule="auto" w:line="288" w:before="0" w:after="0"/>
              <w:jc w:val="both"/>
              <w:rPr>
                <w:color w:val="000000"/>
              </w:rPr>
            </w:pPr>
            <w:r>
              <w:rPr>
                <w:color w:val="000000"/>
              </w:rPr>
              <w:t> </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By: MetLife Investment Management, LLC, </w:t>
            </w:r>
          </w:p>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 xml:space="preserve">a Delaware limited liability company, </w:t>
            </w:r>
          </w:p>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its sole member</w:t>
            </w:r>
          </w:p>
          <w:p>
            <w:pPr>
              <w:pStyle w:val="TableContents"/>
              <w:bidi w:val="0"/>
              <w:spacing w:before="0" w:after="0"/>
              <w:jc w:val="both"/>
              <w:rPr/>
            </w:pPr>
            <w:r>
              <w:rPr/>
            </w:r>
          </w:p>
          <w:p>
            <w:pPr>
              <w:pStyle w:val="TableContents"/>
              <w:bidi w:val="0"/>
              <w:spacing w:lineRule="auto" w:line="288" w:before="0" w:after="0"/>
              <w:jc w:val="both"/>
              <w:rPr/>
            </w:pPr>
            <w:r>
              <w:rPr>
                <w:rFonts w:ascii="Arial;sans-serif" w:hAnsi="Arial;sans-serif"/>
                <w:b w:val="false"/>
                <w:color w:val="000000"/>
                <w:sz w:val="20"/>
              </w:rPr>
              <w:t xml:space="preserve">By: </w:t>
            </w:r>
            <w:r>
              <w:rPr>
                <w:rFonts w:ascii="Arial;sans-serif" w:hAnsi="Arial;sans-serif"/>
                <w:b w:val="false"/>
                <w:color w:val="000000"/>
                <w:sz w:val="20"/>
                <w:u w:val="single"/>
              </w:rPr>
              <w:t>/s/ Michael Pace</w:t>
            </w:r>
          </w:p>
          <w:p>
            <w:pPr>
              <w:pStyle w:val="TableContents"/>
              <w:bidi w:val="0"/>
              <w:spacing w:lineRule="auto" w:line="288" w:before="0" w:after="0"/>
              <w:jc w:val="both"/>
              <w:rPr/>
            </w:pPr>
            <w:r>
              <w:rPr>
                <w:color w:val="000000"/>
              </w:rPr>
              <w:t>       </w:t>
            </w:r>
            <w:r>
              <w:rPr>
                <w:rFonts w:ascii="Arial;sans-serif" w:hAnsi="Arial;sans-serif"/>
                <w:b w:val="false"/>
                <w:color w:val="000000"/>
                <w:sz w:val="20"/>
              </w:rPr>
              <w:t xml:space="preserve">Name: </w:t>
            </w:r>
            <w:r>
              <w:rPr>
                <w:rFonts w:ascii="Arial;sans-serif" w:hAnsi="Arial;sans-serif"/>
                <w:b w:val="false"/>
                <w:color w:val="000000"/>
                <w:sz w:val="20"/>
                <w:u w:val="single"/>
              </w:rPr>
              <w:t>Michael Pace</w:t>
            </w:r>
          </w:p>
          <w:p>
            <w:pPr>
              <w:pStyle w:val="TableContents"/>
              <w:bidi w:val="0"/>
              <w:spacing w:lineRule="auto" w:line="288" w:before="0" w:after="0"/>
              <w:jc w:val="left"/>
              <w:rPr>
                <w:color w:val="000000"/>
              </w:rPr>
            </w:pPr>
            <w:r>
              <w:rPr>
                <w:color w:val="000000"/>
              </w:rPr>
              <w:t>       </w:t>
            </w:r>
            <w:r>
              <w:rPr>
                <w:rFonts w:ascii="Arial;sans-serif" w:hAnsi="Arial;sans-serif"/>
                <w:b w:val="false"/>
                <w:color w:val="000000"/>
                <w:sz w:val="20"/>
              </w:rPr>
              <w:t>Title: Authorized Signatory and Managing Director</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535305"/>
                <wp:effectExtent l="0" t="0" r="0" b="0"/>
                <wp:wrapNone/>
                <wp:docPr id="149" name="Frame148"/>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32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color w:val="000000"/>
                        </w:rPr>
                      </w:pPr>
                      <w:r>
                        <w:rPr>
                          <w:color w:val="000000"/>
                        </w:rPr>
                        <w:t>    </w:t>
                      </w:r>
                      <w:r>
                        <w:rPr>
                          <w:rFonts w:ascii="sans-serif" w:hAnsi="sans-serif"/>
                          <w:b w:val="false"/>
                          <w:color w:val="000000"/>
                          <w:sz w:val="22"/>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EXHIBIT A</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PLAN OF PREMISES</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5943600" cy="3028950"/>
            <wp:effectExtent l="0" t="0" r="0" b="0"/>
            <wp:docPr id="15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2" descr=""/>
                    <pic:cNvPicPr>
                      <a:picLocks noChangeAspect="1" noChangeArrowheads="1"/>
                    </pic:cNvPicPr>
                  </pic:nvPicPr>
                  <pic:blipFill>
                    <a:blip r:embed="rId55"/>
                    <a:stretch>
                      <a:fillRect/>
                    </a:stretch>
                  </pic:blipFill>
                  <pic:spPr bwMode="auto">
                    <a:xfrm>
                      <a:off x="0" y="0"/>
                      <a:ext cx="5943600" cy="3028950"/>
                    </a:xfrm>
                    <a:prstGeom prst="rect">
                      <a:avLst/>
                    </a:prstGeom>
                  </pic:spPr>
                </pic:pic>
              </a:graphicData>
            </a:graphic>
          </wp:inline>
        </w:drawing>
      </w:r>
    </w:p>
    <w:p>
      <w:pPr>
        <w:pStyle w:val="TextBody"/>
        <w:bidi w:val="0"/>
        <w:spacing w:before="0" w:after="0"/>
        <w:jc w:val="both"/>
        <w:rPr/>
      </w:pPr>
      <w:r>
        <w:rPr/>
      </w:r>
    </w:p>
    <w:p>
      <w:pPr>
        <w:pStyle w:val="TextBody"/>
        <w:bidi w:val="0"/>
        <w:spacing w:before="0" w:after="0"/>
        <w:jc w:val="both"/>
        <w:rPr/>
      </w:pPr>
      <w:r>
        <w:rPr/>
        <w:drawing>
          <wp:inline distT="0" distB="0" distL="0" distR="0">
            <wp:extent cx="5943600" cy="4610100"/>
            <wp:effectExtent l="0" t="0" r="0" b="0"/>
            <wp:docPr id="15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3" descr=""/>
                    <pic:cNvPicPr>
                      <a:picLocks noChangeAspect="1" noChangeArrowheads="1"/>
                    </pic:cNvPicPr>
                  </pic:nvPicPr>
                  <pic:blipFill>
                    <a:blip r:embed="rId56"/>
                    <a:stretch>
                      <a:fillRect/>
                    </a:stretch>
                  </pic:blipFill>
                  <pic:spPr bwMode="auto">
                    <a:xfrm>
                      <a:off x="0" y="0"/>
                      <a:ext cx="5943600" cy="46101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491490"/>
                <wp:effectExtent l="0" t="0" r="0" b="0"/>
                <wp:wrapNone/>
                <wp:docPr id="152" name="Frame149"/>
                <a:graphic xmlns:a="http://schemas.openxmlformats.org/drawingml/2006/main">
                  <a:graphicData uri="http://schemas.microsoft.com/office/word/2010/wordprocessingShape">
                    <wps:wsp>
                      <wps:cNvSpPr txBox="1"/>
                      <wps:spPr>
                        <a:xfrm>
                          <a:off x="0" y="0"/>
                          <a:ext cx="6480175" cy="491490"/>
                        </a:xfrm>
                        <a:prstGeom prst="rect"/>
                        <a:solidFill>
                          <a:srgbClr val="FFFFFF"/>
                        </a:solidFill>
                      </wps:spPr>
                      <wps:txb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A - Page 1</w:t>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ACTIVE\316412\774361\81728160.v10-2/20/26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7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A - Page 1</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ACTIVE\316412\774361\81728160.v10-2/20/26</w:t>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EXHIBIT B</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WORKLETTER AGREEMENT</w:t>
      </w:r>
    </w:p>
    <w:p>
      <w:pPr>
        <w:pStyle w:val="TextBody"/>
        <w:bidi w:val="0"/>
        <w:spacing w:lineRule="auto" w:line="288" w:before="0" w:after="200"/>
        <w:jc w:val="center"/>
        <w:rPr>
          <w:rFonts w:ascii="Arial;sans-serif" w:hAnsi="Arial;sans-serif"/>
          <w:b w:val="false"/>
          <w:color w:val="000000"/>
          <w:sz w:val="20"/>
        </w:rPr>
      </w:pPr>
      <w:r>
        <w:rPr>
          <w:rFonts w:ascii="Arial;sans-serif" w:hAnsi="Arial;sans-serif"/>
          <w:b w:val="false"/>
          <w:color w:val="000000"/>
          <w:sz w:val="20"/>
        </w:rPr>
        <w:t>(TENANT BUILD)</w:t>
      </w:r>
    </w:p>
    <w:p>
      <w:pPr>
        <w:pStyle w:val="TextBody"/>
        <w:bidi w:val="0"/>
        <w:spacing w:lineRule="auto" w:line="288" w:before="0" w:after="200"/>
        <w:jc w:val="both"/>
        <w:rPr>
          <w:color w:val="000000"/>
        </w:rPr>
      </w:pPr>
      <w:r>
        <w:rPr>
          <w:color w:val="000000"/>
        </w:rPr>
        <w:t>    </w:t>
      </w:r>
      <w:r>
        <w:rPr>
          <w:rFonts w:ascii="Arial;sans-serif" w:hAnsi="Arial;sans-serif"/>
          <w:b w:val="false"/>
          <w:color w:val="000000"/>
          <w:sz w:val="20"/>
        </w:rPr>
        <w:t>This Workletter Agreement ("Workletter") is attached to and a part of a certain Lease by and between ORCHARD COMMONS, LLC, a Florida limited liability company, as Landlord, and SI-BONE, INC., a Delaware corporation, as Tenant, for the Premises (the "Lease"). Terms used herein and not defined herein shall have the meaning of such terms as defined elsewhere in the Lease. For purposes of this Workletter, references to “State” and “City” shall mean “California” and “San Jose” respectively.</w:t>
      </w:r>
    </w:p>
    <w:p>
      <w:pPr>
        <w:pStyle w:val="TextBody"/>
        <w:bidi w:val="0"/>
        <w:spacing w:lineRule="auto" w:line="288" w:before="0" w:after="200"/>
        <w:jc w:val="left"/>
        <w:rPr/>
      </w:pPr>
      <w:r>
        <w:rPr>
          <w:color w:val="000000"/>
        </w:rPr>
        <w:t>    </w:t>
      </w:r>
      <w:r>
        <w:rPr>
          <w:rFonts w:ascii="Arial;sans-serif" w:hAnsi="Arial;sans-serif"/>
          <w:b w:val="false"/>
          <w:color w:val="000000"/>
          <w:sz w:val="20"/>
        </w:rPr>
        <w:t>1.    </w:t>
      </w:r>
      <w:r>
        <w:rPr>
          <w:rFonts w:ascii="Arial;sans-serif" w:hAnsi="Arial;sans-serif"/>
          <w:b w:val="false"/>
          <w:color w:val="000000"/>
          <w:sz w:val="20"/>
          <w:u w:val="single"/>
        </w:rPr>
        <w:t>AS IS Condition; Delivery</w:t>
      </w:r>
      <w:r>
        <w:rPr>
          <w:rFonts w:ascii="Arial;sans-serif" w:hAnsi="Arial;sans-serif"/>
          <w:b w:val="false"/>
          <w:color w:val="000000"/>
          <w:sz w:val="20"/>
        </w:rPr>
        <w:t>.</w:t>
      </w:r>
    </w:p>
    <w:p>
      <w:pPr>
        <w:pStyle w:val="TextBody"/>
        <w:bidi w:val="0"/>
        <w:spacing w:lineRule="auto" w:line="288" w:before="0" w:after="200"/>
        <w:jc w:val="both"/>
        <w:rPr>
          <w:color w:val="000000"/>
        </w:rPr>
      </w:pPr>
      <w:r>
        <w:rPr>
          <w:color w:val="000000"/>
        </w:rPr>
        <w:t>    </w:t>
      </w:r>
      <w:r>
        <w:rPr>
          <w:rFonts w:ascii="Arial;sans-serif" w:hAnsi="Arial;sans-serif"/>
          <w:b w:val="false"/>
          <w:color w:val="000000"/>
          <w:sz w:val="20"/>
        </w:rPr>
        <w:t xml:space="preserve">Landlord shall deliver the Premises broom clean in its current “as built” configuration with existing build-out of the tenant space, with the Premises and the Building (including the “Base Building”, as defined below) in their AS IS condition, without any express or implied representations or warranties of any kind by Landlord, its brokers, manager or agents, or the employees of any of them; and Landlord shall not have any obligation to construct or install any tenant improvements or alterations or to pay for any such construction or installation except to the extent expressly provided in this Workletter. For purposes hereof, the “Base Building” (sometimes also referred to as the “Base Building Work”) shall mean the improvements made and work performed during the Building's initial course of construction and modifications thereto, excluding all original and modified build-outs of any tenant spaces. </w:t>
      </w:r>
    </w:p>
    <w:p>
      <w:pPr>
        <w:pStyle w:val="TextBody"/>
        <w:bidi w:val="0"/>
        <w:spacing w:lineRule="auto" w:line="288" w:before="0" w:after="200"/>
        <w:jc w:val="left"/>
        <w:rPr/>
      </w:pPr>
      <w:r>
        <w:rPr>
          <w:color w:val="000000"/>
        </w:rPr>
        <w:t>    </w:t>
      </w:r>
      <w:r>
        <w:rPr>
          <w:rFonts w:ascii="Arial;sans-serif" w:hAnsi="Arial;sans-serif"/>
          <w:b w:val="false"/>
          <w:color w:val="000000"/>
          <w:sz w:val="20"/>
        </w:rPr>
        <w:t>2.    </w:t>
      </w:r>
      <w:r>
        <w:rPr>
          <w:rFonts w:ascii="Arial;sans-serif" w:hAnsi="Arial;sans-serif"/>
          <w:b w:val="false"/>
          <w:color w:val="000000"/>
          <w:sz w:val="20"/>
          <w:u w:val="single"/>
        </w:rPr>
        <w:t>Landlord Work</w:t>
      </w:r>
      <w:r>
        <w:rPr>
          <w:rFonts w:ascii="Arial;sans-serif" w:hAnsi="Arial;sans-serif"/>
          <w:b w:val="false"/>
          <w:color w:val="000000"/>
          <w:sz w:val="20"/>
        </w:rPr>
        <w:t>.</w:t>
      </w:r>
    </w:p>
    <w:p>
      <w:pPr>
        <w:pStyle w:val="TextBody"/>
        <w:bidi w:val="0"/>
        <w:spacing w:lineRule="auto" w:line="288" w:before="0" w:after="200"/>
        <w:ind w:left="0" w:right="0" w:firstLine="720"/>
        <w:jc w:val="both"/>
        <w:rPr>
          <w:rFonts w:ascii="Arial;sans-serif" w:hAnsi="Arial;sans-serif"/>
          <w:b w:val="false"/>
          <w:color w:val="000000"/>
          <w:sz w:val="20"/>
        </w:rPr>
      </w:pPr>
      <w:r>
        <w:rPr>
          <w:rFonts w:ascii="Arial;sans-serif" w:hAnsi="Arial;sans-serif"/>
          <w:b w:val="false"/>
          <w:color w:val="000000"/>
          <w:sz w:val="20"/>
        </w:rPr>
        <w:t>There is no Landlord Work.</w:t>
      </w:r>
    </w:p>
    <w:p>
      <w:pPr>
        <w:pStyle w:val="TextBody"/>
        <w:bidi w:val="0"/>
        <w:spacing w:lineRule="auto" w:line="288" w:before="0" w:after="200"/>
        <w:jc w:val="left"/>
        <w:rPr/>
      </w:pPr>
      <w:r>
        <w:rPr>
          <w:color w:val="000000"/>
        </w:rPr>
        <w:t>    </w:t>
      </w:r>
      <w:r>
        <w:rPr>
          <w:rFonts w:ascii="Arial;sans-serif" w:hAnsi="Arial;sans-serif"/>
          <w:b w:val="false"/>
          <w:color w:val="000000"/>
          <w:sz w:val="20"/>
        </w:rPr>
        <w:t>3.    </w:t>
      </w:r>
      <w:r>
        <w:rPr>
          <w:rFonts w:ascii="Arial;sans-serif" w:hAnsi="Arial;sans-serif"/>
          <w:b w:val="false"/>
          <w:color w:val="000000"/>
          <w:sz w:val="20"/>
          <w:u w:val="single"/>
        </w:rPr>
        <w:t>Tenant's Plans</w:t>
      </w:r>
      <w:r>
        <w:rPr>
          <w:rFonts w:ascii="Arial;sans-serif" w:hAnsi="Arial;sans-serif"/>
          <w:b w:val="false"/>
          <w:color w:val="000000"/>
          <w:sz w:val="20"/>
        </w:rPr>
        <w:t>.</w:t>
      </w:r>
    </w:p>
    <w:p>
      <w:pPr>
        <w:pStyle w:val="TextBody"/>
        <w:bidi w:val="0"/>
        <w:spacing w:lineRule="auto" w:line="288" w:before="0" w:after="0"/>
        <w:jc w:val="both"/>
        <w:rPr/>
      </w:pPr>
      <w:r>
        <w:rPr>
          <w:color w:val="000000"/>
        </w:rPr>
        <w:t>    </w:t>
      </w:r>
      <w:r>
        <w:rPr>
          <w:rFonts w:ascii="Arial;sans-serif" w:hAnsi="Arial;sans-serif"/>
          <w:b w:val="false"/>
          <w:color w:val="000000"/>
          <w:sz w:val="20"/>
        </w:rPr>
        <w:t>3.1.    </w:t>
      </w:r>
      <w:r>
        <w:rPr>
          <w:rFonts w:ascii="Arial;sans-serif" w:hAnsi="Arial;sans-serif"/>
          <w:b w:val="false"/>
          <w:color w:val="000000"/>
          <w:sz w:val="20"/>
          <w:u w:val="single"/>
        </w:rPr>
        <w:t>Description</w:t>
      </w:r>
      <w:r>
        <w:rPr>
          <w:rFonts w:ascii="Arial;sans-serif" w:hAnsi="Arial;sans-serif"/>
          <w:b w:val="false"/>
          <w:color w:val="000000"/>
          <w:sz w:val="20"/>
        </w:rPr>
        <w:t>. At its expense, Tenant shall employ: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(i) one or more architects reasonably satisfactory to Landlord and licensed by the State ("Tenant's Architect") to prepare architectural drawings and specifications for all layout and Premises improvements not included in, or requiring any change or addition to, the AS IS condition or Landlord Work (if any), [***], if used by Tenant as Tenant's Architect, is consented to by Landlord);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(ii) one or more engineers reasonably satisfactory to Landlord and licensed by the State ("Tenant's Engineers") to prepare mechanical and electrical working drawings and specifications for all Premises improvements not included in, or requiring any change or addition to, the AS IS condition or Landlord Work (if any);</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(iii) the structural engineer designated by Landlord and licensed by the State to prepare structural working drawings and specifications for all Premises improvements not included in, or requiring any change or addition to the AS IS condition or Landlord Work (hereafter “Landlord’s Structural Engineer”); and</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(iv) the fire and life-safety engineer designated by Landlord and licensed by the State to prepare structural working drawings and specifications for all Premises improvements not included in, or requiring any change or addition to the AS IS condition or Landlord Work (if any) ([***], as fire and life-safety engineer, is hereby approved by Landlord, hereafter “Landlord’s Life-safety Engineer”).</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All such drawings and specifications are referred to herein as "Tenant's Plans". Tenant's Plans shall be in form and detail sufficient to secure all applicable governmental approvals. Tenant's Architect shall be responsible for coordination of all engineering work for Tenant's Plans and shall coordinate with any consultants of Tenant (the use of which is subject to Landlord’s consent), and Landlord's space planner or architect to assure the consistency of Tenant's Plans with the Base Building Work and Landlord Work (if any).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Tenant shall pay Landlord, within twenty (20) days of receipt of each invoice from Landlord, the reasonable cost incurred by Landlord for Landlord's architects and engineers to review Tenant's Plans for consistency of same with the Base Building Work and Landlord Work (if any); provided, however, there shall be no review cost for Tenant’s Plans with respect to the mechanical and electrical working drawings if Tenant employs Landlord’s Mechanical Engineer and Landlord’s Electrical Engineer for such services. Tenant's Plans shall also include the following:</w:t>
      </w:r>
    </w:p>
    <w:p>
      <w:pPr>
        <w:pStyle w:val="TextBody"/>
        <w:bidi w:val="0"/>
        <w:spacing w:before="0" w:after="0"/>
        <w:jc w:val="both"/>
        <w:rPr/>
      </w:pPr>
      <w:r>
        <w:rPr/>
      </w:r>
    </w:p>
    <w:p>
      <w:pPr>
        <w:pStyle w:val="TextBody"/>
        <w:bidi w:val="0"/>
        <w:spacing w:lineRule="auto" w:line="288" w:before="0" w:after="200"/>
        <w:ind w:left="0" w:right="0" w:hanging="720"/>
        <w:jc w:val="both"/>
        <w:rPr>
          <w:color w:val="000000"/>
        </w:rPr>
      </w:pPr>
      <w:r>
        <w:rPr>
          <w:color w:val="000000"/>
        </w:rPr>
        <w:t>        </w:t>
      </w:r>
      <w:r>
        <w:rPr>
          <w:rFonts w:ascii="Arial;sans-serif" w:hAnsi="Arial;sans-serif"/>
          <w:b w:val="false"/>
          <w:color w:val="000000"/>
          <w:sz w:val="20"/>
        </w:rPr>
        <w:t xml:space="preserve">(a)    Final Space Plan: The "Final Space Plan" for the Premises shall include a full and accurate description of room titles, floor loads, alterations to the Base Building or Landlord Work (if any) or requiring any change or addition to the AS IS condition, and the dimensions and location of all partitions, doors, aisles, plumbing (and furniture and equipment to the extent same affect floor loading). The Final Space Plan shall (i) be compatible with the design, construction, systems and equipment of the Base Building and Landlord Work, if any; (ii) comply with all the requirements set forth in the "Building Standards Manual”, if any is made available by Landlord </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535305"/>
                <wp:effectExtent l="0" t="0" r="0" b="0"/>
                <wp:wrapNone/>
                <wp:docPr id="153" name="Frame150"/>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B-1 - Page 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B-1 - Page 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(collectively, (i) and (ii) may be referred to as "Building Standards"), (iii) comply with Laws, (iv) be capable of logical measurement and construction, and (v) contain all such information as may be required for the preparation of the Mechanical and Electrical Working Drawings and Specifications (including, without limitation, a capacity and usage report, from Landlord's engineers pursuant to Section 3.1(b). below, for all mechanical and electrical systems in the Premises). Prior to submission to Landlord, the Final Space Plan shall have been reviewed and approved by the City Building and Fire Departments, and shall be on file with the Building Department, registered with a preliminary plan check number.</w:t>
      </w:r>
    </w:p>
    <w:p>
      <w:pPr>
        <w:pStyle w:val="TextBody"/>
        <w:bidi w:val="0"/>
        <w:spacing w:lineRule="auto" w:line="288" w:before="0" w:after="200"/>
        <w:ind w:left="0" w:right="0" w:hanging="720"/>
        <w:jc w:val="both"/>
        <w:rPr>
          <w:color w:val="000000"/>
        </w:rPr>
      </w:pPr>
      <w:r>
        <w:rPr>
          <w:color w:val="000000"/>
        </w:rPr>
        <w:t>        </w:t>
      </w:r>
      <w:r>
        <w:rPr>
          <w:rFonts w:ascii="Arial;sans-serif" w:hAnsi="Arial;sans-serif"/>
          <w:b w:val="false"/>
          <w:color w:val="000000"/>
          <w:sz w:val="20"/>
        </w:rPr>
        <w:t>(b)    Mechanical and Electrical Working Drawings and Specifications: Tenant shall employ engineers approved by Landlord to prepare Mechanical and Electrical Working Drawings and Specifications showing complete plans for electrical, fire and life-safety, automation, plumbing, water, and air cooling, ventilating, heating and temperature control and shall employ Landlord’s Mechanical Engineer and Landlord’s Electrical Engineer to prepare a capacity and usage report ("Capacity Report") for all mechanical and electrical systems in the Premises. Notwithstanding any of the foregoing to the contrary, Tenant shall use Landlord’s Structural Engineer and Landlord’s life-safety subcontractor (set forth in Section 8.8 below) for all plans and specifications with respect to structural systems and fire and life-safety systems.</w:t>
      </w:r>
    </w:p>
    <w:p>
      <w:pPr>
        <w:pStyle w:val="TextBody"/>
        <w:bidi w:val="0"/>
        <w:spacing w:lineRule="auto" w:line="288" w:before="0" w:after="200"/>
        <w:ind w:left="0" w:right="0" w:hanging="720"/>
        <w:jc w:val="both"/>
        <w:rPr>
          <w:color w:val="000000"/>
        </w:rPr>
      </w:pPr>
      <w:r>
        <w:rPr>
          <w:color w:val="000000"/>
        </w:rPr>
        <w:t>        </w:t>
      </w:r>
      <w:r>
        <w:rPr>
          <w:rFonts w:ascii="Arial;sans-serif" w:hAnsi="Arial;sans-serif"/>
          <w:b w:val="false"/>
          <w:color w:val="000000"/>
          <w:sz w:val="20"/>
        </w:rPr>
        <w:t>(c)    Issued for Construction Documents: The "Issued for Construction Documents" shall consist of all drawings (1/8" scale) and specifications necessary to construct all Premises improvements including, without limitation, architectural and structural working drawings and specifications and Mechanical and Electrical Working Drawings and Specifications and all applicable governmental authorities plan check corrections.</w:t>
      </w:r>
    </w:p>
    <w:p>
      <w:pPr>
        <w:pStyle w:val="TextBody"/>
        <w:bidi w:val="0"/>
        <w:spacing w:lineRule="auto" w:line="288" w:before="0" w:after="200"/>
        <w:jc w:val="both"/>
        <w:rPr/>
      </w:pPr>
      <w:r>
        <w:rPr>
          <w:color w:val="000000"/>
        </w:rPr>
        <w:t>    </w:t>
      </w:r>
      <w:r>
        <w:rPr>
          <w:rFonts w:ascii="Arial;sans-serif" w:hAnsi="Arial;sans-serif"/>
          <w:b w:val="false"/>
          <w:color w:val="000000"/>
          <w:sz w:val="20"/>
        </w:rPr>
        <w:t>3.2.    </w:t>
      </w:r>
      <w:r>
        <w:rPr>
          <w:rFonts w:ascii="Arial;sans-serif" w:hAnsi="Arial;sans-serif"/>
          <w:b w:val="false"/>
          <w:color w:val="000000"/>
          <w:sz w:val="20"/>
          <w:u w:val="single"/>
        </w:rPr>
        <w:t>Approval by Landlord</w:t>
      </w:r>
      <w:r>
        <w:rPr>
          <w:rFonts w:ascii="Arial;sans-serif" w:hAnsi="Arial;sans-serif"/>
          <w:b w:val="false"/>
          <w:color w:val="000000"/>
          <w:sz w:val="20"/>
        </w:rPr>
        <w:t>. Tenant's Plans and any revisions thereof shall be subject to Landlord's approval, which approval or disapproval:</w:t>
      </w:r>
    </w:p>
    <w:p>
      <w:pPr>
        <w:pStyle w:val="TextBody"/>
        <w:bidi w:val="0"/>
        <w:spacing w:lineRule="auto" w:line="288" w:before="0" w:after="200"/>
        <w:jc w:val="both"/>
        <w:rPr>
          <w:color w:val="000000"/>
        </w:rPr>
      </w:pPr>
      <w:r>
        <w:rPr>
          <w:color w:val="000000"/>
        </w:rPr>
        <w:t>    </w:t>
      </w:r>
      <w:r>
        <w:rPr>
          <w:rFonts w:ascii="Arial;sans-serif" w:hAnsi="Arial;sans-serif"/>
          <w:b w:val="false"/>
          <w:color w:val="000000"/>
          <w:sz w:val="20"/>
        </w:rPr>
        <w:t>(i) shall not be unreasonably withheld, provided however, that Landlord may disapprove Tenant’s Plans in its sole and absolute discretion if they (a) adversely affect the structural integrity of the Building, (b) adversely affect any of the Building Systems (as defined below), the Common Areas or any other tenant space (whether or not currently occupied), (c) fail to fully comply with Laws, (d) affect the exterior appearance of the Building, or (e) provide for improvements which do not meet or exceed the Building Standards. Building Systems collectively shall mean the structural, electrical, mechanical (including, without limitation, heating, ventilating and air conditioning), plumbing, fire and life-safety (including, without limitation, fire protection system and any fire alarm), communication, utility, gas (if any), security (if any), and elevator (if any) systems in the Building.</w:t>
      </w:r>
    </w:p>
    <w:p>
      <w:pPr>
        <w:pStyle w:val="TextBody"/>
        <w:bidi w:val="0"/>
        <w:spacing w:lineRule="auto" w:line="288" w:before="0" w:after="200"/>
        <w:jc w:val="both"/>
        <w:rPr>
          <w:color w:val="000000"/>
        </w:rPr>
      </w:pPr>
      <w:r>
        <w:rPr>
          <w:color w:val="000000"/>
        </w:rPr>
        <w:t>    </w:t>
      </w:r>
      <w:r>
        <w:rPr>
          <w:rFonts w:ascii="Arial;sans-serif" w:hAnsi="Arial;sans-serif"/>
          <w:b w:val="false"/>
          <w:color w:val="000000"/>
          <w:sz w:val="20"/>
        </w:rPr>
        <w:t>(ii) shall not be delayed beyond ten (10) business days with respect to initial submissions and major change orders (those which impact Building Systems or any other item listed in subpart (i) of Section 3.2 above) and beyond five (5) business days with respect to required revisions and any other change orders.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If Landlord disapproves of any of Tenant's Plans, Landlord shall advise Tenant of what Landlord disapproves in reasonable detail. After being so advised by Landlord, Tenant shall submit a redesign, incorporating the revisions required by Landlord, for Landlord's approval. The approval procedure shall be repeated as necessary until Tenant's Plans are ultimately approved. Approval by Landlord shall not be deemed to be a representation or warranty by Landlord with respect to the safety, adequacy, correctness, efficiency or compliance with Laws of Tenant's Plans. Tenant shall be fully and solely responsible for the safety, adequacy, correctness and efficiency of Tenant's Plans and for the compliance of Tenant's Plans with any and all Laws.</w:t>
      </w:r>
    </w:p>
    <w:p>
      <w:pPr>
        <w:pStyle w:val="TextBody"/>
        <w:bidi w:val="0"/>
        <w:spacing w:lineRule="auto" w:line="288" w:before="0" w:after="200"/>
        <w:jc w:val="both"/>
        <w:rPr/>
      </w:pPr>
      <w:r>
        <w:rPr>
          <w:color w:val="000000"/>
        </w:rPr>
        <w:t>    </w:t>
      </w:r>
      <w:r>
        <w:rPr>
          <w:rFonts w:ascii="Arial;sans-serif" w:hAnsi="Arial;sans-serif"/>
          <w:b w:val="false"/>
          <w:color w:val="000000"/>
          <w:sz w:val="20"/>
        </w:rPr>
        <w:t>3.3.    </w:t>
      </w:r>
      <w:r>
        <w:rPr>
          <w:rFonts w:ascii="Arial;sans-serif" w:hAnsi="Arial;sans-serif"/>
          <w:b w:val="false"/>
          <w:color w:val="000000"/>
          <w:sz w:val="20"/>
          <w:u w:val="single"/>
        </w:rPr>
        <w:t>Landlord Cooperation</w:t>
      </w:r>
      <w:r>
        <w:rPr>
          <w:rFonts w:ascii="Arial;sans-serif" w:hAnsi="Arial;sans-serif"/>
          <w:b w:val="false"/>
          <w:color w:val="000000"/>
          <w:sz w:val="20"/>
        </w:rPr>
        <w:t>. Landlord shall cooperate with Tenant and make good faith efforts to coordinate Landlord's construction review procedures to expedite the planning, commencement, progress and completion of Tenant Work. Landlord shall complete its review of each stage of Tenant's Plans and any revisions thereof and communicate the results of such review within the time periods set forth in Section 3.2 above.</w:t>
      </w:r>
    </w:p>
    <w:p>
      <w:pPr>
        <w:pStyle w:val="TextBody"/>
        <w:bidi w:val="0"/>
        <w:spacing w:lineRule="auto" w:line="288" w:before="0" w:after="200"/>
        <w:jc w:val="both"/>
        <w:rPr/>
      </w:pPr>
      <w:r>
        <w:rPr>
          <w:color w:val="000000"/>
        </w:rPr>
        <w:t>    </w:t>
      </w:r>
      <w:r>
        <w:rPr>
          <w:rFonts w:ascii="Arial;sans-serif" w:hAnsi="Arial;sans-serif"/>
          <w:b w:val="false"/>
          <w:color w:val="000000"/>
          <w:sz w:val="20"/>
        </w:rPr>
        <w:t>3.4.    </w:t>
      </w:r>
      <w:r>
        <w:rPr>
          <w:rFonts w:ascii="Arial;sans-serif" w:hAnsi="Arial;sans-serif"/>
          <w:b w:val="false"/>
          <w:color w:val="000000"/>
          <w:sz w:val="20"/>
          <w:u w:val="single"/>
        </w:rPr>
        <w:t>City Requirements</w:t>
      </w:r>
      <w:r>
        <w:rPr>
          <w:rFonts w:ascii="Arial;sans-serif" w:hAnsi="Arial;sans-serif"/>
          <w:b w:val="false"/>
          <w:color w:val="000000"/>
          <w:sz w:val="20"/>
        </w:rPr>
        <w:t>. Any changes in Tenant's Plans which are made in response to requirements of the applicable governmental authorities and/or changes which affect the Base Building Work shall be immediately submitted to Landlord for Landlord's review and approval.</w:t>
      </w:r>
    </w:p>
    <w:p>
      <w:pPr>
        <w:pStyle w:val="TextBody"/>
        <w:bidi w:val="0"/>
        <w:spacing w:lineRule="auto" w:line="288" w:before="0" w:after="200"/>
        <w:jc w:val="both"/>
        <w:rPr/>
      </w:pPr>
      <w:r>
        <w:rPr>
          <w:color w:val="000000"/>
        </w:rPr>
        <w:t>    </w:t>
      </w:r>
      <w:r>
        <w:rPr>
          <w:rFonts w:ascii="Arial;sans-serif" w:hAnsi="Arial;sans-serif"/>
          <w:b w:val="false"/>
          <w:color w:val="000000"/>
          <w:sz w:val="20"/>
        </w:rPr>
        <w:t>3.5.    </w:t>
      </w:r>
      <w:r>
        <w:rPr>
          <w:rFonts w:ascii="Arial;sans-serif" w:hAnsi="Arial;sans-serif"/>
          <w:b w:val="false"/>
          <w:color w:val="000000"/>
          <w:sz w:val="20"/>
          <w:u w:val="single"/>
        </w:rPr>
        <w:t>"As-Built" Drawings and Specifications</w:t>
      </w:r>
      <w:r>
        <w:rPr>
          <w:rFonts w:ascii="Arial;sans-serif" w:hAnsi="Arial;sans-serif"/>
          <w:b w:val="false"/>
          <w:color w:val="000000"/>
          <w:sz w:val="20"/>
        </w:rPr>
        <w:t xml:space="preserve">. A CADD-DXF diskette file and a set of mylar reproducibles of all "as-built" drawings and specifications of the Premises (reflecting all field changes and including, without limitation, architectural, structural, mechanical and electrical drawings and specifications) prepared by Tenant's Architect and Engineers or by Contractors (defined below) shall be delivered by Tenant at Tenant's expense to the Landlord within thirty (30) days after completion of the Tenant Work. If Landlord has not received such drawings and diskette(s) within thirty (30) days, Landlord may give Tenant written notice of such failure. If Tenant does not produce the drawings and diskette(s) within ten (10) days after Landlord’s written notice, Landlord may, at Tenant’s sole cost which may be deducted from the Allowance, produce the drawings and diskette(s) using Landlord’s personnel, </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535305"/>
                <wp:effectExtent l="0" t="0" r="0" b="0"/>
                <wp:wrapNone/>
                <wp:docPr id="154" name="Frame151"/>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B-1 - Page 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B-1 - Page 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managers, and outside consultants and contractors. Landlord shall receive an hourly rate reasonable for such production.</w:t>
      </w:r>
    </w:p>
    <w:p>
      <w:pPr>
        <w:pStyle w:val="TextBody"/>
        <w:bidi w:val="0"/>
        <w:spacing w:lineRule="auto" w:line="288" w:before="0" w:after="200"/>
        <w:jc w:val="both"/>
        <w:rPr/>
      </w:pPr>
      <w:r>
        <w:rPr>
          <w:color w:val="000000"/>
        </w:rPr>
        <w:t>    </w:t>
      </w:r>
      <w:r>
        <w:rPr>
          <w:rFonts w:ascii="Arial;sans-serif" w:hAnsi="Arial;sans-serif"/>
          <w:b w:val="false"/>
          <w:color w:val="000000"/>
          <w:sz w:val="20"/>
        </w:rPr>
        <w:t>3.6.    </w:t>
      </w:r>
      <w:r>
        <w:rPr>
          <w:rFonts w:ascii="Arial;sans-serif" w:hAnsi="Arial;sans-serif"/>
          <w:b w:val="false"/>
          <w:color w:val="000000"/>
          <w:sz w:val="20"/>
          <w:u w:val="single"/>
        </w:rPr>
        <w:t>Lender's Certificate</w:t>
      </w:r>
      <w:r>
        <w:rPr>
          <w:rFonts w:ascii="Arial;sans-serif" w:hAnsi="Arial;sans-serif"/>
          <w:b w:val="false"/>
          <w:color w:val="000000"/>
          <w:sz w:val="20"/>
        </w:rPr>
        <w:t>. Tenant shall cause Tenant's Architect to provide to Landlord's lender(s), within ten (10) days after request of Landlord and completion of the Tenant Work, a certificate, in form and substance reasonably satisfactory to such lender(s), certifying that, as of the date of the certificate, Tenant Work and its use fully comply with all Laws in effect at the time of completion.</w:t>
      </w:r>
    </w:p>
    <w:p>
      <w:pPr>
        <w:pStyle w:val="TextBody"/>
        <w:bidi w:val="0"/>
        <w:spacing w:lineRule="auto" w:line="288" w:before="0" w:after="200"/>
        <w:jc w:val="left"/>
        <w:rPr/>
      </w:pPr>
      <w:r>
        <w:rPr>
          <w:rFonts w:ascii="Arial;sans-serif" w:hAnsi="Arial;sans-serif"/>
          <w:b w:val="false"/>
          <w:color w:val="000000"/>
          <w:sz w:val="20"/>
        </w:rPr>
        <w:t>4.    </w:t>
      </w:r>
      <w:r>
        <w:rPr>
          <w:rFonts w:ascii="Arial;sans-serif" w:hAnsi="Arial;sans-serif"/>
          <w:b w:val="false"/>
          <w:color w:val="000000"/>
          <w:sz w:val="20"/>
          <w:u w:val="single"/>
        </w:rPr>
        <w:t>Tenant Work</w:t>
      </w:r>
      <w:r>
        <w:rPr>
          <w:rFonts w:ascii="Arial;sans-serif" w:hAnsi="Arial;sans-serif"/>
          <w:b w:val="false"/>
          <w:color w:val="000000"/>
          <w:sz w:val="20"/>
        </w:rPr>
        <w:t>.</w:t>
      </w:r>
    </w:p>
    <w:p>
      <w:pPr>
        <w:pStyle w:val="TextBody"/>
        <w:bidi w:val="0"/>
        <w:spacing w:lineRule="auto" w:line="288" w:before="0" w:after="200"/>
        <w:jc w:val="both"/>
        <w:rPr/>
      </w:pPr>
      <w:r>
        <w:rPr>
          <w:color w:val="000000"/>
        </w:rPr>
        <w:t>    </w:t>
      </w:r>
      <w:r>
        <w:rPr>
          <w:rFonts w:ascii="Arial;sans-serif" w:hAnsi="Arial;sans-serif"/>
          <w:b w:val="false"/>
          <w:color w:val="000000"/>
          <w:sz w:val="20"/>
        </w:rPr>
        <w:t>4.1.    </w:t>
      </w:r>
      <w:r>
        <w:rPr>
          <w:rFonts w:ascii="Arial;sans-serif" w:hAnsi="Arial;sans-serif"/>
          <w:b w:val="false"/>
          <w:color w:val="000000"/>
          <w:sz w:val="20"/>
          <w:u w:val="single"/>
        </w:rPr>
        <w:t>Tenant Work Defined</w:t>
      </w:r>
      <w:r>
        <w:rPr>
          <w:rFonts w:ascii="Arial;sans-serif" w:hAnsi="Arial;sans-serif"/>
          <w:b w:val="false"/>
          <w:color w:val="000000"/>
          <w:sz w:val="20"/>
        </w:rPr>
        <w:t>. All tenant improvement work required by the Issued for Construction Documents (including, without limitation, any approved changes, additions or alterations pursuant to Section 7 below) is referred to in this Workletter as "Tenant Work" (and all improvements so required and resulting therefrom may sometimes in the Lease, or otherwise, be referred to as “Tenant Improvements”).</w:t>
      </w:r>
    </w:p>
    <w:p>
      <w:pPr>
        <w:pStyle w:val="TextBody"/>
        <w:bidi w:val="0"/>
        <w:spacing w:lineRule="auto" w:line="288" w:before="0" w:after="200"/>
        <w:jc w:val="both"/>
        <w:rPr/>
      </w:pPr>
      <w:r>
        <w:rPr>
          <w:color w:val="000000"/>
        </w:rPr>
        <w:t>    </w:t>
      </w:r>
      <w:r>
        <w:rPr>
          <w:rFonts w:ascii="Arial;sans-serif" w:hAnsi="Arial;sans-serif"/>
          <w:b w:val="false"/>
          <w:color w:val="000000"/>
          <w:sz w:val="20"/>
        </w:rPr>
        <w:t>4.2.    </w:t>
      </w:r>
      <w:r>
        <w:rPr>
          <w:rFonts w:ascii="Arial;sans-serif" w:hAnsi="Arial;sans-serif"/>
          <w:b w:val="false"/>
          <w:color w:val="000000"/>
          <w:sz w:val="20"/>
          <w:u w:val="single"/>
        </w:rPr>
        <w:t>Tenant to Construct</w:t>
      </w:r>
      <w:r>
        <w:rPr>
          <w:rFonts w:ascii="Arial;sans-serif" w:hAnsi="Arial;sans-serif"/>
          <w:b w:val="false"/>
          <w:color w:val="000000"/>
          <w:sz w:val="20"/>
        </w:rPr>
        <w:t>. Tenant shall construct all Tenant Work pursuant to this Workletter, and except to the extent modified by or inconsistent with express provisions of this Workletter, pursuant with the provisions of the terms and conditions of Article Nine of the Lease, governing Tenant Alterations (except to the extent modified by this Workletter) and all such Tenant Work shall be considered "Tenant Alterations" for purposes of the Lease.</w:t>
      </w:r>
    </w:p>
    <w:p>
      <w:pPr>
        <w:pStyle w:val="TextBody"/>
        <w:bidi w:val="0"/>
        <w:spacing w:lineRule="auto" w:line="288" w:before="0" w:after="200"/>
        <w:jc w:val="both"/>
        <w:rPr/>
      </w:pPr>
      <w:r>
        <w:rPr>
          <w:color w:val="000000"/>
        </w:rPr>
        <w:t>    </w:t>
      </w:r>
      <w:r>
        <w:rPr>
          <w:rFonts w:ascii="Arial;sans-serif" w:hAnsi="Arial;sans-serif"/>
          <w:b w:val="false"/>
          <w:color w:val="000000"/>
          <w:sz w:val="20"/>
        </w:rPr>
        <w:t>4.3.    </w:t>
      </w:r>
      <w:r>
        <w:rPr>
          <w:rFonts w:ascii="Arial;sans-serif" w:hAnsi="Arial;sans-serif"/>
          <w:b w:val="false"/>
          <w:color w:val="000000"/>
          <w:sz w:val="20"/>
          <w:u w:val="single"/>
        </w:rPr>
        <w:t>Construction Contract</w:t>
      </w:r>
      <w:r>
        <w:rPr>
          <w:rFonts w:ascii="Arial;sans-serif" w:hAnsi="Arial;sans-serif"/>
          <w:b w:val="false"/>
          <w:color w:val="000000"/>
          <w:sz w:val="20"/>
        </w:rPr>
        <w:t>. All contracts and subcontracts for Tenant Work shall be subject to the approval of Landlord, which shall not be unreasonably withheld, conditioned or delayed.</w:t>
      </w:r>
    </w:p>
    <w:p>
      <w:pPr>
        <w:pStyle w:val="TextBody"/>
        <w:bidi w:val="0"/>
        <w:spacing w:lineRule="auto" w:line="288" w:before="0" w:after="200"/>
        <w:jc w:val="both"/>
        <w:rPr/>
      </w:pPr>
      <w:r>
        <w:rPr>
          <w:color w:val="000000"/>
        </w:rPr>
        <w:t>    </w:t>
      </w:r>
      <w:r>
        <w:rPr>
          <w:rFonts w:ascii="Arial;sans-serif" w:hAnsi="Arial;sans-serif"/>
          <w:b w:val="false"/>
          <w:color w:val="000000"/>
          <w:sz w:val="20"/>
        </w:rPr>
        <w:t>4.4.    </w:t>
      </w:r>
      <w:r>
        <w:rPr>
          <w:rFonts w:ascii="Arial;sans-serif" w:hAnsi="Arial;sans-serif"/>
          <w:b w:val="false"/>
          <w:color w:val="000000"/>
          <w:sz w:val="20"/>
          <w:u w:val="single"/>
        </w:rPr>
        <w:t>Contractor</w:t>
      </w:r>
      <w:r>
        <w:rPr>
          <w:rFonts w:ascii="Arial;sans-serif" w:hAnsi="Arial;sans-serif"/>
          <w:b w:val="false"/>
          <w:color w:val="000000"/>
          <w:sz w:val="20"/>
        </w:rPr>
        <w:t xml:space="preserve">. Tenant shall select one or more contractors ("Contractor") and one or more subcontractors (“Subcontractors”) to perform the Tenant Work. The Contractor will be approved by Landlord, which approval shall not be unreasonably withheld, conditioned or delayed. Landlord hereby approves [***] as a Contractor. </w:t>
      </w:r>
    </w:p>
    <w:p>
      <w:pPr>
        <w:pStyle w:val="TextBody"/>
        <w:bidi w:val="0"/>
        <w:spacing w:lineRule="auto" w:line="288" w:before="0" w:after="200"/>
        <w:jc w:val="both"/>
        <w:rPr/>
      </w:pPr>
      <w:r>
        <w:rPr>
          <w:color w:val="000000"/>
        </w:rPr>
        <w:t>    </w:t>
      </w:r>
      <w:r>
        <w:rPr>
          <w:rFonts w:ascii="Arial;sans-serif" w:hAnsi="Arial;sans-serif"/>
          <w:b w:val="false"/>
          <w:color w:val="000000"/>
          <w:sz w:val="20"/>
        </w:rPr>
        <w:t>4.5.    </w:t>
      </w:r>
      <w:r>
        <w:rPr>
          <w:rFonts w:ascii="Arial;sans-serif" w:hAnsi="Arial;sans-serif"/>
          <w:b w:val="false"/>
          <w:color w:val="000000"/>
          <w:sz w:val="20"/>
          <w:u w:val="single"/>
        </w:rPr>
        <w:t>Division of Landlord Work and Tenant Work</w:t>
      </w:r>
      <w:r>
        <w:rPr>
          <w:rFonts w:ascii="Arial;sans-serif" w:hAnsi="Arial;sans-serif"/>
          <w:b w:val="false"/>
          <w:color w:val="000000"/>
          <w:sz w:val="20"/>
        </w:rPr>
        <w:t>. Tenant Work is defined in Section 4.1. above and Landlord Work, if any, is defined in Section 2.</w:t>
      </w:r>
    </w:p>
    <w:p>
      <w:pPr>
        <w:pStyle w:val="TextBody"/>
        <w:bidi w:val="0"/>
        <w:spacing w:lineRule="auto" w:line="288" w:before="0" w:after="200"/>
        <w:jc w:val="both"/>
        <w:rPr/>
      </w:pPr>
      <w:r>
        <w:rPr>
          <w:color w:val="000000"/>
        </w:rPr>
        <w:t>    </w:t>
      </w:r>
      <w:r>
        <w:rPr>
          <w:rFonts w:ascii="Arial;sans-serif" w:hAnsi="Arial;sans-serif"/>
          <w:b w:val="false"/>
          <w:color w:val="000000"/>
          <w:sz w:val="20"/>
        </w:rPr>
        <w:t>4.6.    </w:t>
      </w:r>
      <w:r>
        <w:rPr>
          <w:rFonts w:ascii="Arial;sans-serif" w:hAnsi="Arial;sans-serif"/>
          <w:b w:val="false"/>
          <w:color w:val="000000"/>
          <w:sz w:val="20"/>
          <w:u w:val="single"/>
        </w:rPr>
        <w:t>Access &amp; Services</w:t>
      </w:r>
      <w:r>
        <w:rPr>
          <w:rFonts w:ascii="Arial;sans-serif" w:hAnsi="Arial;sans-serif"/>
          <w:b w:val="false"/>
          <w:color w:val="000000"/>
          <w:sz w:val="20"/>
        </w:rPr>
        <w:t xml:space="preserve">. Landlord shall provide without charge to Tenant, the Contractor, its subcontractors, Tenant’s Architect, Tenant’s Engineers, Tenant’s consultants and their respective employees normal Building security, access to and use of the loading dock, utilities and HVAC, toilet facilities, freight elevators or other normal Building services, to the extent they are compatible with construction in progress, during the design and construction period for Tenant Work, so long as the Contractor, subcontractors, Tenant's Architect, Tenant's Engineers and Tenant’s consultants perform their work during Standard Operating Hours at times arranged in advance with and approved by the manager of the Building or Project. Notwithstanding the foregoing agreement not to charge Tenant for such expenses, Tenant understands and agrees that such expenses, whether incurred for Tenant or other tenants in the Building are part of Operating Expenses. To the extent Tenant's move-in, and any of the foregoing activities do not occur during Standard Operating Hours, Tenant shall pay for Landlord's actual out of pocket expenses incurred as reasonably calculated by Landlord in providing such after hours services (including, without limitation, elevator). All stocking of Tenant’s construction materials for Tenant Work shall be as provided in Section 8.7 below. </w:t>
      </w:r>
    </w:p>
    <w:p>
      <w:pPr>
        <w:pStyle w:val="TextBody"/>
        <w:bidi w:val="0"/>
        <w:spacing w:lineRule="auto" w:line="288" w:before="0" w:after="0"/>
        <w:jc w:val="both"/>
        <w:rPr/>
      </w:pPr>
      <w:r>
        <w:rPr>
          <w:rFonts w:ascii="Arial;sans-serif" w:hAnsi="Arial;sans-serif"/>
          <w:b w:val="false"/>
          <w:color w:val="000000"/>
          <w:sz w:val="20"/>
        </w:rPr>
        <w:t>5.    </w:t>
      </w:r>
      <w:r>
        <w:rPr>
          <w:rFonts w:ascii="Arial;sans-serif" w:hAnsi="Arial;sans-serif"/>
          <w:b w:val="false"/>
          <w:color w:val="000000"/>
          <w:sz w:val="20"/>
          <w:u w:val="single"/>
        </w:rPr>
        <w:t>Tenant's Expense; Allowance</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jc w:val="both"/>
        <w:rPr>
          <w:color w:val="000000"/>
        </w:rPr>
      </w:pPr>
      <w:r>
        <w:rPr>
          <w:color w:val="000000"/>
        </w:rPr>
        <w:t>    </w:t>
      </w:r>
      <w:r>
        <w:rPr>
          <w:rFonts w:ascii="Arial;sans-serif" w:hAnsi="Arial;sans-serif"/>
          <w:b w:val="false"/>
          <w:color w:val="000000"/>
          <w:sz w:val="20"/>
        </w:rPr>
        <w:t xml:space="preserve">Tenant shall pay for all Tenant Work, including, without limitation, the costs of design thereof, whether or not all such costs are included in the “Permanent Improvement Costs” (defined below). Subject to the terms and conditions of this Workletter, Tenant shall apply the “Allowance” (defined below) to payment of the Permanent Improvement Costs. The term “Permanent Improvement Costs” shall mean the actual and reasonable costs of construction of that Tenant Work which constitutes permanent improvements to the Premises, actual and reasonable costs of design, planning, management, engineering and permitting thereof, costs incurred by Landlord for Landlord’s architects and engineers pursuant to Section 3.1, and Landlord’s construction administration fee (defined in Section 8.12 below), and shall exclude costs of “Tenant’s FF&amp; E” (defined below). For purposes of this Workletter, “Tenant’s FF&amp; E” shall mean furniture, furnishings, telephone systems, computer systems, equipment, any other personal property or fixtures, and installation thereof. Provided Tenant is not in Default of the Lease, Landlord shall provide Tenant a tenant improvement allowance (“Allowance”) in the amount of Seventy Dollars ($70.00) per square foot of the Rentable Area of the Premises. In addition, provided Tenant is not in Default of the Lease, Landlord shall provide Tenant an allowance to be applied to the cost of any power upgrades to the Premises (“Power Allowance”) in the amount of  Five Dollars ($5.00) per square foot of the Rentable Area of the Premises. The Allowance shall be used solely to reimburse Tenant for the Permanent Improvement Costs, and the Power Allowance shall be used solely to reimburse Tenant for costs to upgrade the power available to the Premises. If no later than December 31, 2027, Tenant does not utilize one hundred percent (100%) of the Allowance for Permanent Improvement Costs and submit full and complete application(s) for disbursement thereof pursuant to Section 6 below, Tenant shall have no right to the unused portion of the Allowance; provided, however, that if and to the extent that any of the Allowance remains unused and available, Tenant may, upon written application to Landlord on or prior to December 31, 2027, use up to a maximum of Ten Dollars ($10.00) per square foot of the Rentable Area of </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535305"/>
                <wp:effectExtent l="0" t="0" r="0" b="0"/>
                <wp:wrapNone/>
                <wp:docPr id="155" name="Frame152"/>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B-1 - Page 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B-1 - Page 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Premises as a credit against rent coming due under the Lease. If no later than the last day of the initial Term, Tenant does not utilize one hundred percent (100%) of the Power Allowance for costs incurred by Tenant to upgrade the power available to the Premises and submit full and complete application(s) for disbursement thereof pursuant to Section 6 below, Tenant shall have no right to the unused portion of the Power Allowance. The Power Allowance shall be disbursed in the same manner as the Allowance, as described in Section 6 below.</w:t>
      </w:r>
    </w:p>
    <w:p>
      <w:pPr>
        <w:pStyle w:val="TextBody"/>
        <w:bidi w:val="0"/>
        <w:spacing w:before="0" w:after="0"/>
        <w:jc w:val="both"/>
        <w:rPr/>
      </w:pPr>
      <w:r>
        <w:rPr/>
      </w:r>
    </w:p>
    <w:p>
      <w:pPr>
        <w:pStyle w:val="TextBody"/>
        <w:bidi w:val="0"/>
        <w:spacing w:lineRule="auto" w:line="319" w:before="0" w:after="200"/>
        <w:jc w:val="left"/>
        <w:rPr/>
      </w:pPr>
      <w:r>
        <w:rPr>
          <w:rFonts w:ascii="Arial;sans-serif" w:hAnsi="Arial;sans-serif"/>
          <w:b w:val="false"/>
          <w:color w:val="000000"/>
          <w:sz w:val="20"/>
        </w:rPr>
        <w:t>6.    </w:t>
      </w:r>
      <w:r>
        <w:rPr>
          <w:rFonts w:ascii="Arial;sans-serif" w:hAnsi="Arial;sans-serif"/>
          <w:b w:val="false"/>
          <w:color w:val="000000"/>
          <w:sz w:val="20"/>
          <w:u w:val="single"/>
        </w:rPr>
        <w:t>Application and Disbursement of the Allowance</w:t>
      </w:r>
      <w:r>
        <w:rPr>
          <w:rFonts w:ascii="Arial;sans-serif" w:hAnsi="Arial;sans-serif"/>
          <w:b w:val="false"/>
          <w:color w:val="000000"/>
          <w:sz w:val="20"/>
        </w:rPr>
        <w:t>.</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6.1.    Tenant shall prepare a budget for all Tenant Work, including the Permanent Improvement Costs and all other costs of the Tenant Work ("Budget"), which Budget shall be subject to the reasonable approval of Landlord. Such Budget shall be supported by a stipulated sum or guaranteed maximum price construction contract and such other documentation as Landlord may require to evidence the total costs. Further, prior to any disbursement of the Allowance by Landlord, Tenant shall pay and disburse its own funds for all that portion of the Permanent Improvement Costs equal to the sum of (i) the Permanent Improvement Costs in excess of the Allowance; plus (ii) the amount of “Landlord’s Retention” (defined below). “Landlord’s Retention” shall mean an amount equal to ten percent (10%) of the Allowance, which Landlord shall retain out of the Allowance and shall not be obligated to disburse unless and until after Tenant has completed the Tenant Work and complied with Section 6.4 below. No disbursement of the Allowance shall be made unless Tenant has provided Landlord with (a) bills and invoices covering all labor and material expended and used, (b) an affidavit from Tenant stating that all of such bills and invoices have either been paid in full by Tenant or are due and owing, and all such costs qualify as Permanent Improvement Costs, (c) contractors affidavit covering all labor and materials expended and used, (d) Tenant, contractors and architectural completion affidavits (as applicable), and (e) valid mechanics' lien releases and waivers pertaining to any completed portion of the Tenant Work which shall be conditional or unconditional, as applicable, all as provided pursuant to Section 6.2 and 6.4 below.</w:t>
      </w:r>
    </w:p>
    <w:p>
      <w:pPr>
        <w:pStyle w:val="TextBody"/>
        <w:bidi w:val="0"/>
        <w:spacing w:before="0" w:after="0"/>
        <w:jc w:val="both"/>
        <w:rPr/>
      </w:pPr>
      <w:r>
        <w:rPr/>
      </w:r>
    </w:p>
    <w:p>
      <w:pPr>
        <w:pStyle w:val="TextBody"/>
        <w:bidi w:val="0"/>
        <w:spacing w:lineRule="auto" w:line="288" w:before="0" w:after="200"/>
        <w:jc w:val="both"/>
        <w:rPr>
          <w:color w:val="000000"/>
        </w:rPr>
      </w:pPr>
      <w:r>
        <w:rPr>
          <w:color w:val="000000"/>
        </w:rPr>
        <w:t>    </w:t>
      </w:r>
      <w:r>
        <w:rPr>
          <w:rFonts w:ascii="Arial;sans-serif" w:hAnsi="Arial;sans-serif"/>
          <w:b w:val="false"/>
          <w:color w:val="000000"/>
          <w:sz w:val="20"/>
        </w:rPr>
        <w:t>6.2.    Upon Tenant's full compliance with the provisions of Section 6, and if Landlord determines that there are no applicable or claimed stop notices (or any other statutory or equitable liens of anyone performing any of Tenant Work or providing materials for Tenant Work) or actions thereon, Landlord shall disburse the applicable portion of the Allowance as follows:</w:t>
      </w:r>
    </w:p>
    <w:p>
      <w:pPr>
        <w:pStyle w:val="TextBody"/>
        <w:bidi w:val="0"/>
        <w:spacing w:lineRule="auto" w:line="288" w:before="0" w:after="120"/>
        <w:jc w:val="both"/>
        <w:rPr>
          <w:color w:val="000000"/>
        </w:rPr>
      </w:pPr>
      <w:r>
        <w:rPr>
          <w:color w:val="000000"/>
        </w:rPr>
        <w:t>        </w:t>
      </w:r>
      <w:r>
        <w:rPr>
          <w:rFonts w:ascii="Arial;sans-serif" w:hAnsi="Arial;sans-serif"/>
          <w:b w:val="false"/>
          <w:color w:val="000000"/>
          <w:sz w:val="20"/>
        </w:rPr>
        <w:t>(a)    In the event of conditional releases, to the respective contractor, subcontractor, vendor, or other person who has provided labor and/or services in connection with the Tenant Work, upon the following terms and conditions: (i) such costs are included in the Budget or a change order, are Permanent Improvement Costs, are covered by the Allowance, and Tenant has completed and delivered to Landlord a written request for payment, in form reasonably approved by Landlord, setting forth the exact name of the contractor, subcontractor or vendor to whom payment is to be made and the date and amount of the bill or invoice, (ii) the request for payment is accompanied by the documentation set forth in Section 6.1; and (iii) Landlord, or Landlord's appointed agent, has inspected and approved the work for which Tenant seeks payment, which shall not be unreasonably withheld, conditioned or delayed; or</w:t>
      </w:r>
    </w:p>
    <w:p>
      <w:pPr>
        <w:pStyle w:val="TextBody"/>
        <w:bidi w:val="0"/>
        <w:spacing w:lineRule="auto" w:line="288" w:before="0" w:after="120"/>
        <w:jc w:val="both"/>
        <w:rPr>
          <w:color w:val="000000"/>
        </w:rPr>
      </w:pPr>
      <w:r>
        <w:rPr>
          <w:color w:val="000000"/>
        </w:rPr>
        <w:t>        </w:t>
      </w:r>
      <w:r>
        <w:rPr>
          <w:rFonts w:ascii="Arial;sans-serif" w:hAnsi="Arial;sans-serif"/>
          <w:b w:val="false"/>
          <w:color w:val="000000"/>
          <w:sz w:val="20"/>
        </w:rPr>
        <w:t>(b)    In the event of unconditional releases, directly to Tenant upon the following terms and conditions: (i) Tenant seeks reimbursement for costs of Tenant Work which have been paid by Tenant, are included in the Budget or change order, are Permanent Improvement Costs, and are covered by the Allowance; (ii) Tenant has completed and delivered to Landlord a request for payment, in form reasonably approved by Landlord, setting forth the name of the contractor, subcontractor or vendor paid and the date of payment, (iii) the request for payment is accompanied by the documentation set forth in Section 6.1.; and (iv) Landlord, or Landlord's appointed agent, has inspected and approved the work for which Tenant seeks reimbursement, which shall not be unreasonably withheld, conditioned or delayed.</w:t>
      </w:r>
    </w:p>
    <w:p>
      <w:pPr>
        <w:pStyle w:val="TextBody"/>
        <w:bidi w:val="0"/>
        <w:spacing w:lineRule="auto" w:line="288" w:before="0" w:after="200"/>
        <w:jc w:val="both"/>
        <w:rPr>
          <w:color w:val="000000"/>
        </w:rPr>
      </w:pPr>
      <w:r>
        <w:rPr>
          <w:color w:val="000000"/>
        </w:rPr>
        <w:t>    </w:t>
      </w:r>
      <w:r>
        <w:rPr>
          <w:rFonts w:ascii="Arial;sans-serif" w:hAnsi="Arial;sans-serif"/>
          <w:b w:val="false"/>
          <w:color w:val="000000"/>
          <w:sz w:val="20"/>
        </w:rPr>
        <w:t>6.3.    Tenant shall provide Landlord with the aforementioned documents by the 15th of the month and payment shall be made by the 30th day of the month following the month in which such documentation is provided.</w:t>
      </w:r>
    </w:p>
    <w:p>
      <w:pPr>
        <w:pStyle w:val="TextBody"/>
        <w:bidi w:val="0"/>
        <w:spacing w:lineRule="auto" w:line="288" w:before="0" w:after="200"/>
        <w:jc w:val="both"/>
        <w:rPr>
          <w:color w:val="000000"/>
        </w:rPr>
      </w:pPr>
      <w:r>
        <w:rPr>
          <w:color w:val="000000"/>
        </w:rPr>
        <w:t>    </w:t>
      </w:r>
      <w:r>
        <w:rPr>
          <w:rFonts w:ascii="Arial;sans-serif" w:hAnsi="Arial;sans-serif"/>
          <w:b w:val="false"/>
          <w:color w:val="000000"/>
          <w:sz w:val="20"/>
        </w:rPr>
        <w:t>6.4.    Prior to Landlord disbursing the Landlord’s Retention to Tenant, Tenant shall submit to Landlord the following items within thirty (30) days after completion of the Tenant Work: (i) “As Built” drawings and specifications pursuant to Section 3.5 above, (ii) all unconditional lien releases from all general contractor(s) and subcontractor(s) performing work, (iii) a “Certificate of Completion” prepared by Tenant’s Architect, and (iv) a final budget with supporting documentation detailing all costs associated with the Permanent Improvement Costs.</w:t>
      </w:r>
    </w:p>
    <w:p>
      <w:pPr>
        <w:pStyle w:val="TextBody"/>
        <w:bidi w:val="0"/>
        <w:spacing w:lineRule="auto" w:line="288" w:before="0" w:after="200"/>
        <w:jc w:val="left"/>
        <w:rPr/>
      </w:pPr>
      <w:r>
        <w:rPr>
          <w:rFonts w:ascii="Arial;sans-serif" w:hAnsi="Arial;sans-serif"/>
          <w:b w:val="false"/>
          <w:color w:val="000000"/>
          <w:sz w:val="20"/>
        </w:rPr>
        <w:t>7.    </w:t>
      </w:r>
      <w:r>
        <w:rPr>
          <w:rFonts w:ascii="Arial;sans-serif" w:hAnsi="Arial;sans-serif"/>
          <w:b w:val="false"/>
          <w:color w:val="000000"/>
          <w:sz w:val="20"/>
          <w:u w:val="single"/>
        </w:rPr>
        <w:t>Changes, Additions or Alterations</w:t>
      </w:r>
      <w:r>
        <w:rPr>
          <w:rFonts w:ascii="Arial;sans-serif" w:hAnsi="Arial;sans-serif"/>
          <w:b w:val="false"/>
          <w:color w:val="000000"/>
          <w:sz w:val="20"/>
        </w:rPr>
        <w:t>.</w:t>
      </w:r>
    </w:p>
    <w:p>
      <w:pPr>
        <w:pStyle w:val="TextBody"/>
        <w:bidi w:val="0"/>
        <w:spacing w:lineRule="auto" w:line="288"/>
        <w:jc w:val="both"/>
        <w:rPr>
          <w:color w:val="000000"/>
        </w:rPr>
      </w:pPr>
      <w:r>
        <w:rPr>
          <w:color w:val="000000"/>
        </w:rPr>
        <w:t>    </w:t>
      </w:r>
      <w:r>
        <w:rPr>
          <w:rFonts w:ascii="Arial;sans-serif" w:hAnsi="Arial;sans-serif"/>
          <w:b w:val="false"/>
          <w:color w:val="000000"/>
          <w:sz w:val="20"/>
        </w:rPr>
        <w:t>If Tenant desires to make any non-de minimis change, addition or alteration or desires to make any change, addition or alteration to any of the Building Systems after approval of the Issued for Construction Documents, Tenant shall prepare and submit to Landlord plans and specifications with respect to such change, addition or alteration. Any such change, addition or alteration shall be subject to Landlord's approval in accordance with the provisions of Section 3.2 of this Workletter. Tenant shall be responsible for any submission to and plan check and permit requirements of the applicable governmental authorities.</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535305"/>
                <wp:effectExtent l="0" t="0" r="0" b="0"/>
                <wp:wrapNone/>
                <wp:docPr id="156" name="Frame153"/>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B-1 - Page 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B-1 - Page 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before="0" w:after="0"/>
        <w:jc w:val="both"/>
        <w:rPr/>
      </w:pPr>
      <w:r>
        <w:rPr/>
      </w:r>
    </w:p>
    <w:p>
      <w:pPr>
        <w:pStyle w:val="TextBody"/>
        <w:bidi w:val="0"/>
        <w:spacing w:lineRule="auto" w:line="288" w:before="0" w:after="200"/>
        <w:jc w:val="left"/>
        <w:rPr/>
      </w:pPr>
      <w:r>
        <w:rPr>
          <w:rFonts w:ascii="Arial;sans-serif" w:hAnsi="Arial;sans-serif"/>
          <w:b w:val="false"/>
          <w:color w:val="000000"/>
          <w:sz w:val="20"/>
        </w:rPr>
        <w:t>8.    </w:t>
      </w:r>
      <w:r>
        <w:rPr>
          <w:rFonts w:ascii="Arial;sans-serif" w:hAnsi="Arial;sans-serif"/>
          <w:b w:val="false"/>
          <w:color w:val="000000"/>
          <w:sz w:val="20"/>
          <w:u w:val="single"/>
        </w:rPr>
        <w:t>Miscellaneous</w:t>
      </w:r>
      <w:r>
        <w:rPr>
          <w:rFonts w:ascii="Arial;sans-serif" w:hAnsi="Arial;sans-serif"/>
          <w:b w:val="false"/>
          <w:color w:val="000000"/>
          <w:sz w:val="20"/>
        </w:rPr>
        <w:t>.</w:t>
      </w:r>
    </w:p>
    <w:p>
      <w:pPr>
        <w:pStyle w:val="TextBody"/>
        <w:bidi w:val="0"/>
        <w:spacing w:lineRule="auto" w:line="288" w:before="0" w:after="200"/>
        <w:jc w:val="both"/>
        <w:rPr/>
      </w:pPr>
      <w:r>
        <w:rPr>
          <w:color w:val="000000"/>
        </w:rPr>
        <w:t>    </w:t>
      </w:r>
      <w:r>
        <w:rPr>
          <w:rFonts w:ascii="Arial;sans-serif" w:hAnsi="Arial;sans-serif"/>
          <w:b w:val="false"/>
          <w:color w:val="000000"/>
          <w:sz w:val="20"/>
        </w:rPr>
        <w:t>8.1.    </w:t>
      </w:r>
      <w:r>
        <w:rPr>
          <w:rFonts w:ascii="Arial;sans-serif" w:hAnsi="Arial;sans-serif"/>
          <w:b w:val="false"/>
          <w:color w:val="000000"/>
          <w:sz w:val="20"/>
          <w:u w:val="single"/>
        </w:rPr>
        <w:t>Scope</w:t>
      </w:r>
      <w:r>
        <w:rPr>
          <w:rFonts w:ascii="Arial;sans-serif" w:hAnsi="Arial;sans-serif"/>
          <w:b w:val="false"/>
          <w:color w:val="000000"/>
          <w:sz w:val="20"/>
        </w:rPr>
        <w:t>. Except as otherwise set forth in the Lease, this Workletter shall not apply to any space added to the Premises by Lease option or otherwise.</w:t>
      </w:r>
    </w:p>
    <w:p>
      <w:pPr>
        <w:pStyle w:val="TextBody"/>
        <w:bidi w:val="0"/>
        <w:spacing w:lineRule="auto" w:line="288" w:before="0" w:after="200"/>
        <w:jc w:val="both"/>
        <w:rPr/>
      </w:pPr>
      <w:r>
        <w:rPr>
          <w:color w:val="000000"/>
        </w:rPr>
        <w:t>    </w:t>
      </w:r>
      <w:r>
        <w:rPr>
          <w:rFonts w:ascii="Arial;sans-serif" w:hAnsi="Arial;sans-serif"/>
          <w:b w:val="false"/>
          <w:color w:val="000000"/>
          <w:sz w:val="20"/>
        </w:rPr>
        <w:t>8.2.    </w:t>
      </w:r>
      <w:r>
        <w:rPr>
          <w:rFonts w:ascii="Arial;sans-serif" w:hAnsi="Arial;sans-serif"/>
          <w:b w:val="false"/>
          <w:color w:val="000000"/>
          <w:sz w:val="20"/>
          <w:u w:val="single"/>
        </w:rPr>
        <w:t>Electrical</w:t>
      </w:r>
      <w:r>
        <w:rPr>
          <w:rFonts w:ascii="Arial;sans-serif" w:hAnsi="Arial;sans-serif"/>
          <w:b w:val="false"/>
          <w:color w:val="000000"/>
          <w:sz w:val="20"/>
        </w:rPr>
        <w:t>: The Building electrical system allows a Tenant improvement design as follows: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(a)    Lighting: A maximum of 1.5 watts of connected load per square foot of Useable Area within the Premises for all lighting.</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(b)    Power: A maximum of 4 watts of connected load per square foot of Useable Area within the Premises for all outlets and non-lighting requirements.</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8.3.    Tenant Work shall include (at Tenant's expense) for all of the Premises:</w:t>
      </w:r>
    </w:p>
    <w:p>
      <w:pPr>
        <w:pStyle w:val="TextBody"/>
        <w:bidi w:val="0"/>
        <w:spacing w:before="0" w:after="0"/>
        <w:jc w:val="both"/>
        <w:rPr/>
      </w:pPr>
      <w:r>
        <w:rPr/>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    Building approved lighting sensor controls as necessary to meet applicable Laws;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(b)    Building Standard fluorescent fixtures in all Building office areas;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(c)    Building Standard meters for each of electricity and chilled water used by Tenant shall be connected to the Building’s system and shall be tested and certified prior to Tenant’s occupancy of the Premises by a State certified testing company;</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(d)    Building Standard ceiling systems (including tile and grid) and;</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(e)    Building Standard air conditioning distribution and Building Standard air terminal units.</w:t>
      </w:r>
    </w:p>
    <w:p>
      <w:pPr>
        <w:pStyle w:val="TextBody"/>
        <w:bidi w:val="0"/>
        <w:spacing w:lineRule="auto" w:line="288" w:before="0" w:after="200"/>
        <w:jc w:val="both"/>
        <w:rPr/>
      </w:pPr>
      <w:r>
        <w:rPr>
          <w:color w:val="000000"/>
        </w:rPr>
        <w:t>    </w:t>
      </w:r>
      <w:r>
        <w:rPr>
          <w:rFonts w:ascii="Arial;sans-serif" w:hAnsi="Arial;sans-serif"/>
          <w:b w:val="false"/>
          <w:color w:val="000000"/>
          <w:sz w:val="20"/>
        </w:rPr>
        <w:t>8.4.    </w:t>
      </w:r>
      <w:r>
        <w:rPr>
          <w:rFonts w:ascii="Arial;sans-serif" w:hAnsi="Arial;sans-serif"/>
          <w:b w:val="false"/>
          <w:color w:val="000000"/>
          <w:sz w:val="20"/>
          <w:u w:val="single"/>
        </w:rPr>
        <w:t>Sprinklers</w:t>
      </w:r>
      <w:r>
        <w:rPr>
          <w:rFonts w:ascii="Arial;sans-serif" w:hAnsi="Arial;sans-serif"/>
          <w:b w:val="false"/>
          <w:color w:val="000000"/>
          <w:sz w:val="20"/>
        </w:rPr>
        <w:t>. Subject to any terms, conditions and limitations set forth herein, Landlord shall provide an operative sprinkler system consisting of mains, laterals, and heads "AS IS" on the date of delivery of the Premises to Tenant. Tenant shall pay for piping distribution, drops and relocation of, or additional, sprinkler system heads and Building firehose or firehose valve cabinets, if Tenant's Plans and/or any applicable Laws necessitate such.</w:t>
      </w:r>
    </w:p>
    <w:p>
      <w:pPr>
        <w:pStyle w:val="TextBody"/>
        <w:bidi w:val="0"/>
        <w:spacing w:lineRule="auto" w:line="288" w:before="0" w:after="200"/>
        <w:jc w:val="both"/>
        <w:rPr/>
      </w:pPr>
      <w:r>
        <w:rPr>
          <w:color w:val="000000"/>
        </w:rPr>
        <w:t>    </w:t>
      </w:r>
      <w:r>
        <w:rPr>
          <w:rFonts w:ascii="Arial;sans-serif" w:hAnsi="Arial;sans-serif"/>
          <w:b w:val="false"/>
          <w:color w:val="000000"/>
          <w:sz w:val="20"/>
        </w:rPr>
        <w:t>8.5.    </w:t>
      </w:r>
      <w:r>
        <w:rPr>
          <w:rFonts w:ascii="Arial;sans-serif" w:hAnsi="Arial;sans-serif"/>
          <w:b w:val="false"/>
          <w:color w:val="000000"/>
          <w:sz w:val="20"/>
          <w:u w:val="single"/>
        </w:rPr>
        <w:t>Floor Loading</w:t>
      </w:r>
      <w:r>
        <w:rPr>
          <w:rFonts w:ascii="Arial;sans-serif" w:hAnsi="Arial;sans-serif"/>
          <w:b w:val="false"/>
          <w:color w:val="000000"/>
          <w:sz w:val="20"/>
        </w:rPr>
        <w:t>. Floor loading capacity is 100 lbs. per square foot (80 lbs. live load plus 20 lbs. for partitions, ceiling and doors). Tenant may exceed floor loading capacity with Landlord's consent, at Landlord's sole discretion and must, at Tenant's sole cost and expense, reinforce the floor as required for such excess loading.</w:t>
      </w:r>
    </w:p>
    <w:p>
      <w:pPr>
        <w:pStyle w:val="TextBody"/>
        <w:bidi w:val="0"/>
        <w:spacing w:lineRule="auto" w:line="288" w:before="0" w:after="200"/>
        <w:jc w:val="both"/>
        <w:rPr/>
      </w:pPr>
      <w:r>
        <w:rPr>
          <w:color w:val="000000"/>
        </w:rPr>
        <w:t>    </w:t>
      </w:r>
      <w:r>
        <w:rPr>
          <w:rFonts w:ascii="Arial;sans-serif" w:hAnsi="Arial;sans-serif"/>
          <w:b w:val="false"/>
          <w:color w:val="000000"/>
          <w:sz w:val="20"/>
        </w:rPr>
        <w:t>8.6.    </w:t>
      </w:r>
      <w:r>
        <w:rPr>
          <w:rFonts w:ascii="Arial;sans-serif" w:hAnsi="Arial;sans-serif"/>
          <w:b w:val="false"/>
          <w:color w:val="000000"/>
          <w:sz w:val="20"/>
          <w:u w:val="single"/>
        </w:rPr>
        <w:t>Work Stoppages</w:t>
      </w:r>
      <w:r>
        <w:rPr>
          <w:rFonts w:ascii="Arial;sans-serif" w:hAnsi="Arial;sans-serif"/>
          <w:b w:val="false"/>
          <w:color w:val="000000"/>
          <w:sz w:val="20"/>
        </w:rPr>
        <w:t>. If any work on the Real Property other than Tenant Work is delayed, stopped or otherwise affected by construction of Tenant Work, Tenant shall immediately take those actions necessary or desirable to eliminate such delay, stoppage or effect on work on the Real Property other than Tenant Work.</w:t>
      </w:r>
    </w:p>
    <w:p>
      <w:pPr>
        <w:pStyle w:val="TextBody"/>
        <w:bidi w:val="0"/>
        <w:spacing w:lineRule="auto" w:line="288" w:before="0" w:after="200"/>
        <w:jc w:val="both"/>
        <w:rPr/>
      </w:pPr>
      <w:r>
        <w:rPr>
          <w:color w:val="000000"/>
        </w:rPr>
        <w:t>    </w:t>
      </w:r>
      <w:r>
        <w:rPr>
          <w:rFonts w:ascii="Arial;sans-serif" w:hAnsi="Arial;sans-serif"/>
          <w:b w:val="false"/>
          <w:color w:val="000000"/>
          <w:sz w:val="20"/>
        </w:rPr>
        <w:t>8.7.    </w:t>
      </w:r>
      <w:r>
        <w:rPr>
          <w:rFonts w:ascii="Arial;sans-serif" w:hAnsi="Arial;sans-serif"/>
          <w:b w:val="false"/>
          <w:color w:val="000000"/>
          <w:sz w:val="20"/>
          <w:u w:val="single"/>
        </w:rPr>
        <w:t>Life-safety</w:t>
      </w:r>
      <w:r>
        <w:rPr>
          <w:rFonts w:ascii="Arial;sans-serif" w:hAnsi="Arial;sans-serif"/>
          <w:b w:val="false"/>
          <w:color w:val="000000"/>
          <w:sz w:val="20"/>
        </w:rPr>
        <w:t>. It is agreed that Tenant (or Contractor) shall employ the services of [***], Landlord's approved Building fire and life-safety subcontractor for all fire and life-safety work at the Building.</w:t>
      </w:r>
    </w:p>
    <w:p>
      <w:pPr>
        <w:pStyle w:val="TextBody"/>
        <w:bidi w:val="0"/>
        <w:spacing w:lineRule="auto" w:line="319" w:before="0" w:after="200"/>
        <w:jc w:val="both"/>
        <w:rPr/>
      </w:pPr>
      <w:r>
        <w:rPr>
          <w:color w:val="000000"/>
        </w:rPr>
        <w:t>    </w:t>
      </w:r>
      <w:r>
        <w:rPr>
          <w:rFonts w:ascii="Arial;sans-serif" w:hAnsi="Arial;sans-serif"/>
          <w:b w:val="false"/>
          <w:color w:val="000000"/>
          <w:sz w:val="20"/>
        </w:rPr>
        <w:t>8.8.    </w:t>
      </w:r>
      <w:r>
        <w:rPr>
          <w:rFonts w:ascii="Arial;sans-serif" w:hAnsi="Arial;sans-serif"/>
          <w:b w:val="false"/>
          <w:color w:val="000000"/>
          <w:sz w:val="20"/>
          <w:u w:val="single"/>
        </w:rPr>
        <w:t>Locks</w:t>
      </w:r>
      <w:r>
        <w:rPr>
          <w:rFonts w:ascii="Arial;sans-serif" w:hAnsi="Arial;sans-serif"/>
          <w:b w:val="false"/>
          <w:color w:val="000000"/>
          <w:sz w:val="20"/>
        </w:rPr>
        <w:t>. Tenant agrees to purchase from Landlord or its agent all cylinders and keys used in locks used in the Premises.</w:t>
      </w:r>
    </w:p>
    <w:p>
      <w:pPr>
        <w:pStyle w:val="TextBody"/>
        <w:bidi w:val="0"/>
        <w:spacing w:lineRule="auto" w:line="288" w:before="0" w:after="200"/>
        <w:jc w:val="both"/>
        <w:rPr/>
      </w:pPr>
      <w:r>
        <w:rPr>
          <w:color w:val="000000"/>
        </w:rPr>
        <w:t>    </w:t>
      </w:r>
      <w:r>
        <w:rPr>
          <w:rFonts w:ascii="Arial;sans-serif" w:hAnsi="Arial;sans-serif"/>
          <w:b w:val="false"/>
          <w:color w:val="000000"/>
          <w:sz w:val="20"/>
        </w:rPr>
        <w:t>8.9.    </w:t>
      </w:r>
      <w:r>
        <w:rPr>
          <w:rFonts w:ascii="Arial;sans-serif" w:hAnsi="Arial;sans-serif"/>
          <w:b w:val="false"/>
          <w:color w:val="000000"/>
          <w:sz w:val="20"/>
          <w:u w:val="single"/>
        </w:rPr>
        <w:t>Authorized Representatives</w:t>
      </w:r>
      <w:r>
        <w:rPr>
          <w:rFonts w:ascii="Arial;sans-serif" w:hAnsi="Arial;sans-serif"/>
          <w:b w:val="false"/>
          <w:color w:val="000000"/>
          <w:sz w:val="20"/>
        </w:rPr>
        <w:t>. Tenant has designated [***] to act as Tenant's representative with respect to the matters set forth in this Workletter. In the event that and for so long as more than one individual is so designated, notices or requests from Landlord shall be sufficiently given or delivered if given or delivered to either individual, each individual is hereby authorized to act individually and alone, and each shall have full authority and responsibility to act on behalf of Tenant as required in this Workletter. Tenant may add or delete authorized representatives upon five (5) business days notice to Landlord.</w:t>
      </w:r>
    </w:p>
    <w:p>
      <w:pPr>
        <w:pStyle w:val="TextBody"/>
        <w:bidi w:val="0"/>
        <w:spacing w:lineRule="auto" w:line="288" w:before="0" w:after="0"/>
        <w:jc w:val="both"/>
        <w:rPr/>
      </w:pPr>
      <w:r>
        <w:rPr>
          <w:color w:val="000000"/>
        </w:rPr>
        <w:t>    </w:t>
      </w:r>
      <w:r>
        <w:rPr>
          <w:rFonts w:ascii="Arial;sans-serif" w:hAnsi="Arial;sans-serif"/>
          <w:b w:val="false"/>
          <w:color w:val="000000"/>
          <w:sz w:val="20"/>
        </w:rPr>
        <w:t>8.10.    </w:t>
      </w:r>
      <w:r>
        <w:rPr>
          <w:rFonts w:ascii="Arial;sans-serif" w:hAnsi="Arial;sans-serif"/>
          <w:b w:val="false"/>
          <w:color w:val="000000"/>
          <w:sz w:val="20"/>
          <w:u w:val="single"/>
        </w:rPr>
        <w:t>Access to Premises</w:t>
      </w:r>
      <w:r>
        <w:rPr>
          <w:rFonts w:ascii="Arial;sans-serif" w:hAnsi="Arial;sans-serif"/>
          <w:b w:val="false"/>
          <w:color w:val="000000"/>
          <w:sz w:val="20"/>
        </w:rPr>
        <w:t xml:space="preserve">. After Landlord has recovered possession of the Premises from any prior Tenant and following the mutual execution and delivery of this Lease, prior to delivery of possession to Tenant, Tenant and its architects, engineers, consultants, and contractors shall have access at reasonable times (which shall include weekends and evenings) and upon advance notice and coordination with the Building management, to the Premises for the purpose of constructing Tenant Work. Such access shall be without payment of Monthly Base Rent or Rent Adjustments, but such access and all acts and omissions in connection with it are subject to and governed by all other provisions of the Lease, including Tenant's indemnification obligations, insurance obligations, obligations under Article Seven and the provisions of Section 9.02 of the Lease.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Arial;sans-serif" w:hAnsi="Arial;sans-serif"/>
          <w:b w:val="false"/>
          <w:color w:val="000000"/>
          <w:sz w:val="20"/>
        </w:rPr>
        <w:t>8.11.    </w:t>
      </w:r>
      <w:r>
        <w:rPr>
          <w:rFonts w:ascii="Arial;sans-serif" w:hAnsi="Arial;sans-serif"/>
          <w:b w:val="false"/>
          <w:color w:val="000000"/>
          <w:sz w:val="20"/>
          <w:u w:val="single"/>
        </w:rPr>
        <w:t>Fee</w:t>
      </w:r>
      <w:r>
        <w:rPr>
          <w:rFonts w:ascii="Arial;sans-serif" w:hAnsi="Arial;sans-serif"/>
          <w:b w:val="false"/>
          <w:color w:val="000000"/>
          <w:sz w:val="20"/>
        </w:rPr>
        <w:t>. Landlord shall receive a fee equal to one and one-half percent (1.5%) of the cost of the Tenant Work. Such fee is in addition to Tenant’s reimbursement of costs incurred by Landlord pursuant to other provisions hereof, including, without limitation, for Landlord's architects and engineers to review Tenant's Plans.</w:t>
      </w:r>
    </w:p>
    <w:p>
      <w:pPr>
        <w:pStyle w:val="TextBody"/>
        <w:bidi w:val="0"/>
        <w:jc w:val="both"/>
        <w:rPr/>
      </w:pPr>
      <w:r>
        <w:rPr/>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535305"/>
                <wp:effectExtent l="0" t="0" r="0" b="0"/>
                <wp:wrapNone/>
                <wp:docPr id="157" name="Frame154"/>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B-1 - Page 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B-1 - Page 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319" w:before="0" w:after="200"/>
        <w:jc w:val="left"/>
        <w:rPr/>
      </w:pPr>
      <w:r>
        <w:rPr>
          <w:rFonts w:ascii="Arial;sans-serif" w:hAnsi="Arial;sans-serif"/>
          <w:b w:val="false"/>
          <w:color w:val="000000"/>
          <w:sz w:val="20"/>
        </w:rPr>
        <w:t>9.    </w:t>
      </w:r>
      <w:r>
        <w:rPr>
          <w:rFonts w:ascii="Arial;sans-serif" w:hAnsi="Arial;sans-serif"/>
          <w:b w:val="false"/>
          <w:color w:val="000000"/>
          <w:sz w:val="20"/>
          <w:u w:val="single"/>
        </w:rPr>
        <w:t>Force and Effect</w:t>
      </w:r>
      <w:r>
        <w:rPr>
          <w:rFonts w:ascii="Arial;sans-serif" w:hAnsi="Arial;sans-serif"/>
          <w:b w:val="false"/>
          <w:color w:val="000000"/>
          <w:sz w:val="20"/>
        </w:rPr>
        <w:t>. The terms and conditions of this Workletter shall be construed to be a part of the Lease and shall be deemed incorporated in the Lease by this reference. Should any inconsistency arise between this Workletter and the Lease as to the specific matters which are the subject of this Workletter, the terms and conditions of this Workletter shall control.    </w:t>
      </w: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535305"/>
                <wp:effectExtent l="0" t="0" r="0" b="0"/>
                <wp:wrapNone/>
                <wp:docPr id="158" name="Frame155"/>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B-1 - Page 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B-1 - Page 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200"/>
        <w:jc w:val="center"/>
        <w:rPr>
          <w:rFonts w:ascii="Arial;sans-serif" w:hAnsi="Arial;sans-serif"/>
          <w:b w:val="false"/>
          <w:color w:val="000000"/>
          <w:sz w:val="20"/>
        </w:rPr>
      </w:pPr>
      <w:r>
        <w:rPr>
          <w:rFonts w:ascii="Arial;sans-serif" w:hAnsi="Arial;sans-serif"/>
          <w:b w:val="false"/>
          <w:color w:val="000000"/>
          <w:sz w:val="20"/>
        </w:rPr>
        <w:t>SCHEDULE B-1</w:t>
      </w:r>
    </w:p>
    <w:p>
      <w:pPr>
        <w:pStyle w:val="TextBody"/>
        <w:bidi w:val="0"/>
        <w:spacing w:lineRule="auto" w:line="288" w:before="0" w:after="200"/>
        <w:jc w:val="center"/>
        <w:rPr>
          <w:rFonts w:ascii="Arial;sans-serif" w:hAnsi="Arial;sans-serif"/>
          <w:b w:val="false"/>
          <w:color w:val="000000"/>
          <w:sz w:val="20"/>
        </w:rPr>
      </w:pPr>
      <w:r>
        <w:rPr>
          <w:rFonts w:ascii="Arial;sans-serif" w:hAnsi="Arial;sans-serif"/>
          <w:b w:val="false"/>
          <w:color w:val="000000"/>
          <w:sz w:val="20"/>
        </w:rPr>
        <w:t>APPROVED SPACE PLAN</w:t>
      </w:r>
    </w:p>
    <w:p>
      <w:pPr>
        <w:pStyle w:val="TextBody"/>
        <w:bidi w:val="0"/>
        <w:spacing w:before="0" w:after="200"/>
        <w:jc w:val="both"/>
        <w:rPr/>
      </w:pPr>
      <w:r>
        <w:rPr/>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right"/>
        <w:rPr>
          <w:rFonts w:ascii="Times New Roman;serif" w:hAnsi="Times New Roman;serif"/>
          <w:b/>
          <w:color w:val="000000"/>
          <w:sz w:val="18"/>
        </w:rPr>
      </w:pPr>
      <w:r>
        <w:rPr>
          <w:rFonts w:ascii="Times New Roman;serif" w:hAnsi="Times New Roman;serif"/>
          <w:b/>
          <w:color w:val="000000"/>
          <w:sz w:val="18"/>
        </w:rPr>
        <w:t>Exhibit 10.19</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535305"/>
                <wp:effectExtent l="0" t="0" r="0" b="0"/>
                <wp:wrapNone/>
                <wp:docPr id="159" name="Frame156"/>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B-1 - Page 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431pt;mso-position-horizontal:left;mso-position-horizontal-relative:text">
                <v:textbo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B-1 - Page 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center"/>
        <w:rPr>
          <w:rFonts w:ascii="Times New Roman;serif" w:hAnsi="Times New Roman;serif"/>
          <w:b w:val="false"/>
          <w:color w:val="000000"/>
          <w:sz w:val="18"/>
        </w:rPr>
      </w:pPr>
      <w:r>
        <w:rPr>
          <w:rFonts w:ascii="Times New Roman;serif" w:hAnsi="Times New Roman;serif"/>
          <w:b w:val="false"/>
          <w:color w:val="000000"/>
          <w:sz w:val="18"/>
        </w:rPr>
        <w:t>CERTAIN INFORMATION IDENTIFIED BY “[***]” HAS BEEN EXCLUDED FROM THE EXHIBIT BECAUSE IT IS BOTH NOT MATERIAL AND IS THE TYPE OF INFORMATION THAT THE REGISTRANT TREATS AS PRIVATE OR CONFIDENTIAL.</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EXHIBIT 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SITE PLAN</w:t>
      </w:r>
    </w:p>
    <w:p>
      <w:pPr>
        <w:pStyle w:val="TextBody"/>
        <w:bidi w:val="0"/>
        <w:spacing w:before="0" w:after="0"/>
        <w:jc w:val="both"/>
        <w:rPr/>
      </w:pPr>
      <w:r>
        <w:rPr/>
      </w:r>
    </w:p>
    <w:p>
      <w:pPr>
        <w:pStyle w:val="TextBody"/>
        <w:bidi w:val="0"/>
        <w:spacing w:before="0" w:after="0"/>
        <w:jc w:val="center"/>
        <w:rPr/>
      </w:pPr>
      <w:r>
        <w:rPr/>
        <w:drawing>
          <wp:inline distT="0" distB="0" distL="0" distR="0">
            <wp:extent cx="5943600" cy="2857500"/>
            <wp:effectExtent l="0" t="0" r="0" b="0"/>
            <wp:docPr id="16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4" descr=""/>
                    <pic:cNvPicPr>
                      <a:picLocks noChangeAspect="1" noChangeArrowheads="1"/>
                    </pic:cNvPicPr>
                  </pic:nvPicPr>
                  <pic:blipFill>
                    <a:blip r:embed="rId57"/>
                    <a:stretch>
                      <a:fillRect/>
                    </a:stretch>
                  </pic:blipFill>
                  <pic:spPr bwMode="auto">
                    <a:xfrm>
                      <a:off x="0" y="0"/>
                      <a:ext cx="5943600" cy="2857500"/>
                    </a:xfrm>
                    <a:prstGeom prst="rect">
                      <a:avLst/>
                    </a:prstGeom>
                  </pic:spPr>
                </pic:pic>
              </a:graphicData>
            </a:graphic>
          </wp:inline>
        </w:drawing>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535305"/>
                <wp:effectExtent l="0" t="0" r="0" b="0"/>
                <wp:wrapNone/>
                <wp:docPr id="161" name="Frame157"/>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C - Page 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C - Page 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EXHIBIT 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PERMITTED HAZARDOUS MATERIAL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Permitted Hazardous Material shall mean the substances listed below in the quantity which is the lesser of (a) the amount reasonably necessary for Tenant's day to day operations in the Premises permitted by this Lease and by Environmental Law, or (b) the quantity limit specified below.</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u w:val="single"/>
        </w:rPr>
        <w:t>Type</w:t>
      </w:r>
      <w:r>
        <w:rPr>
          <w:color w:val="000000"/>
        </w:rPr>
        <w:t>            </w:t>
      </w:r>
      <w:r>
        <w:rPr>
          <w:rFonts w:ascii="Arial;sans-serif" w:hAnsi="Arial;sans-serif"/>
          <w:b w:val="false"/>
          <w:color w:val="000000"/>
          <w:sz w:val="20"/>
          <w:u w:val="single"/>
        </w:rPr>
        <w:t>Manufacturer</w:t>
      </w:r>
      <w:r>
        <w:rPr>
          <w:color w:val="000000"/>
        </w:rPr>
        <w:t>        </w:t>
      </w:r>
      <w:r>
        <w:rPr>
          <w:rFonts w:ascii="Arial;sans-serif" w:hAnsi="Arial;sans-serif"/>
          <w:b w:val="false"/>
          <w:color w:val="000000"/>
          <w:sz w:val="20"/>
          <w:u w:val="single"/>
        </w:rPr>
        <w:t>Quantity</w:t>
      </w:r>
      <w:r>
        <w:rPr>
          <w:color w:val="000000"/>
        </w:rPr>
        <w:t>        </w:t>
      </w:r>
      <w:r>
        <w:rPr>
          <w:rFonts w:ascii="Arial;sans-serif" w:hAnsi="Arial;sans-serif"/>
          <w:b w:val="false"/>
          <w:color w:val="000000"/>
          <w:sz w:val="20"/>
          <w:u w:val="single"/>
        </w:rPr>
        <w:t>Place of Storage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Insignificant amounts of substances            insignificant amounts        office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typically found or used in general office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applications, to the extent the Premises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is used for general office purposes</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[TENANT: If you request permission to possess and use Hazardous Material in the Premises prior to execution of the Lease, please list here. If none are listed upon execution of the Lease, there is no Permitted Hazardous Material except as specified above for general office use.]</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PERMITTED HAZARDOUS MATERIAL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This Exhibit D is attached to and made a part of that certain Lease between Orchard Commons, LLC, a Florida limited liability company (“Landlord”), and SI-BONE, INC., a Delaware corporation (“Tenant”), for the Premises located at 88 West Plumeria Drive, San Jose, California.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Pursuant to Section 7.02(a) of the Lease, and subject to the conditions and limitations set forth in Section 7.02 and elsewhere in the Lease, Tenant shall be permitted to use, generate, handle, store and transport to and from the Premises only the following Hazardous Material (collectively, the “Permitted Hazardous Material”) in connection with Tenant’s permitted use described in Section 1.01(15) of the Lease: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1. Manufacturing, Machining and R&amp;D Materials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 Water-based cutting fluids used in machining operations.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 Titanium, aluminum and stainless-steel materials, including raw stock and incidental shavings, turnings and machining byproducts generated in connection with Tenant’s light manufacturing and machine shop operations.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 3D-printer resins used in prototyping and product development.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foregoing materials shall be maintained only in commercially reasonable quantities typical for a medical device laboratory, light manufacturing and machine shop operation occupying approximately 50,485 rentable square feet.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2. Cleaning and Process Chemicals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 Isopropyl alcohol (rubbing alcohol), stored in approved containers and maintained in a locked, fire-rated cabinet.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 Detergents and soaps used for routine cleaning.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 Phosphoric acid solutions used in cleaning processes.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(d) Alkaline liquid cleaning agents.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(e) Citric acid solutions used for passivation processes.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Such materials shall be stored and handled in compliance with all Environmental Laws and applicable fire code requirements and shall not exceed commercially reasonable quantities customary for Tenant’s operations.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3. Drainage and Disposal Restrictions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Notwithstanding the foregoing: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 Tenant shall comply strictly with Section 7.02(d) of the Lease concerning the ABS sewer piping at the Project.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 No esters, ketones, solvent-based petroleum cleaning agents, or other substances prohibited under Section 7.02(d) shall be discharged into the plumbing or sanitary sewer system.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(c) Only ordinary domestic sewage may be discharged into the drains without Landlord’s prior written consent. (d) Any disposal of diluted cleaning agents or process solutions shall occur only to the extent permitted under applicable Environmental Laws and municipal wastewater discharge regulations. </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4. General Conditions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The Permitted Hazardous Material listed above: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 Shall be used solely in connection with Tenant’s permitted use under the Lease.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(ii) Shall not be stored more than quantities customary for Tenant’s operations. </w:t>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(iii) Shall not include any underground storage tanks.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535305"/>
                <wp:effectExtent l="0" t="0" r="0" b="0"/>
                <wp:wrapNone/>
                <wp:docPr id="162" name="Frame158"/>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D - Page 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D - Page 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(iv) Shall be handled, stored, transported and disposed of in full compliance with Environmental Laws and all other applicable Laws.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(v) Shall remain subject to all indemnification, testing, remediation and other provisions of Section 7.02 of the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535305"/>
                <wp:effectExtent l="0" t="0" r="0" b="0"/>
                <wp:wrapNone/>
                <wp:docPr id="163" name="Frame159"/>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D - Page 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D - Page 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EXHIBIT E</w:t>
      </w:r>
    </w:p>
    <w:p>
      <w:pPr>
        <w:pStyle w:val="TextBody"/>
        <w:bidi w:val="0"/>
        <w:spacing w:before="0" w:after="0"/>
        <w:jc w:val="center"/>
        <w:rPr/>
      </w:pPr>
      <w:r>
        <w:rPr/>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FAIR MARKET RENTAL RATE</w:t>
      </w:r>
    </w:p>
    <w:p>
      <w:pPr>
        <w:pStyle w:val="TextBody"/>
        <w:bidi w:val="0"/>
        <w:spacing w:lineRule="auto" w:line="288" w:before="0" w:after="240"/>
        <w:ind w:left="0" w:right="0" w:firstLine="720"/>
        <w:jc w:val="both"/>
        <w:rPr/>
      </w:pPr>
      <w:r>
        <w:rPr>
          <w:rFonts w:ascii="Arial;sans-serif" w:hAnsi="Arial;sans-serif"/>
          <w:b w:val="false"/>
          <w:color w:val="000000"/>
          <w:sz w:val="20"/>
        </w:rPr>
        <w:t>1.    </w:t>
      </w:r>
      <w:r>
        <w:rPr>
          <w:rFonts w:ascii="Arial;sans-serif" w:hAnsi="Arial;sans-serif"/>
          <w:b w:val="false"/>
          <w:color w:val="000000"/>
          <w:sz w:val="20"/>
          <w:u w:val="single"/>
        </w:rPr>
        <w:t>Definition of Fair Market Rental Rate</w:t>
      </w:r>
      <w:r>
        <w:rPr>
          <w:rFonts w:ascii="Arial;sans-serif" w:hAnsi="Arial;sans-serif"/>
          <w:b w:val="false"/>
          <w:color w:val="000000"/>
          <w:sz w:val="20"/>
        </w:rPr>
        <w:t>. "Fair Market Rental Rate" shall mean the Monthly Base Rent equal to the monthly base rental per rentable square foot which a tenant would pay and which a willing landlord would accept for space comparable to the Premises in the Building and in other buildings of class A standards in north San Jose, California (the “Applicable Market”) for the period for which such rental is to be paid and for a lease on terms substantially similar to those of the Lease (including, without limitation, those applicable to Taxes, Operating Expenses and exclusions, but also considering so-called net and triple net leases, and leases utilizing operating expense stops or base years, and making appropriate adjustment between such leases and this Lease, as described below), based on prevailing market conditions in the Applicable Market at the time such determination is made ("Comparable Transactions"). Without limiting the generality of the foregoing, Comparable Transactions shall be for a term similar to the term of tenancy and for space comparable in use, floor levels, view and orientation, square footage and location within the Building and in the Applicable Market as the transaction for which Fair Market Rental Rate is being determined; however, leases of unusual or odd shaped spaces shall not be considered. In any determination of Fair Market Rental Rate, the stated or contract monthly net or base rental in Comparable Transactions shall be appropriately adjusted to take into account the different terms and conditions prevailing in such transactions and those present in the Lease, including, without limitation: (a) the extent to which average annual expenses and taxes per rentable square foot payable by tenants in Comparable Transactions vary from those payable by Tenant under the Lease, and so, for example, if the Lease provides for payment of Rent Adjustments and/or certain Operating Expenses on the basis of increases over a base year, then the rate of Monthly Base Rent under the Lease shall be based upon a step-up to change the calendar year which serves as the base year for calculation of the base for such Operating Expenses for the Option Term to be the full calendar year in which the Option Term commences, and such step-up shall be considered in the determination of the Fair Market Rental Rate; (b) tenant improvements, value of existing tenant improvements, the concessions, if any, being given by landlords in Comparable Transactions, such as parking charge abatement, free rent or rental abatement applicable after substantial completion of any tenant improvements (and no adjustment shall be made for any free or abated rent during any construction periods), loans at below-market interest rates, moving allowances, space planning allowances, lease takeover payments and work allowances, as compared to any tenant improvement, refurbishment or repainting allowance given to Tenant under the Lease for the space for which Fair Market Rental Rate is being determined; (c) the brokerage commissions, fees and bonuses payable by landlords in Comparable Transactions (whether to tenant's agent, such landlord or any person or entity affiliated with such landlord), as compared to any such amounts payable by Landlord to the broker(s) identified with respect to the transaction for which Fair Market Rental Rate is being determined; (d) the time value of money; (e) any material difference between the definition of rentable area and the ratio of project rentable to useable square feet in Comparable Transactions, as compared to such figures applicable to the space for which Fair Market Rental Rate is being determined; and (f) the extent to which charges for parking by tenants in Comparable Transactions vary from those payable by Tenant under the Lease.</w:t>
      </w:r>
    </w:p>
    <w:p>
      <w:pPr>
        <w:pStyle w:val="TextBody"/>
        <w:bidi w:val="0"/>
        <w:spacing w:lineRule="auto" w:line="288" w:before="0" w:after="240"/>
        <w:ind w:left="0" w:right="0" w:firstLine="720"/>
        <w:jc w:val="both"/>
        <w:rPr/>
      </w:pPr>
      <w:r>
        <w:rPr>
          <w:rFonts w:ascii="Arial;sans-serif" w:hAnsi="Arial;sans-serif"/>
          <w:b w:val="false"/>
          <w:color w:val="000000"/>
          <w:sz w:val="20"/>
        </w:rPr>
        <w:t>2.    </w:t>
      </w:r>
      <w:r>
        <w:rPr>
          <w:rFonts w:ascii="Arial;sans-serif" w:hAnsi="Arial;sans-serif"/>
          <w:b w:val="false"/>
          <w:color w:val="000000"/>
          <w:sz w:val="20"/>
          <w:u w:val="single"/>
        </w:rPr>
        <w:t>Sealed Estimates</w:t>
      </w:r>
      <w:r>
        <w:rPr>
          <w:rFonts w:ascii="Arial;sans-serif" w:hAnsi="Arial;sans-serif"/>
          <w:b w:val="false"/>
          <w:color w:val="000000"/>
          <w:sz w:val="20"/>
        </w:rPr>
        <w:t>.  In the event the Lease requires Fair Market Rental Rate to be determined in accordance with this Exhibit, Landlord and Tenant shall meet within ten (10) business days thereafter and each simultaneously submit to the other in a sealed envelope its good faith estimate of Fair Market Rental Rate (the "Estimates"). If the higher Estimate is not more than one hundred five percent (105%) of the lower Estimate, then Fair Market Rental Rate shall be the average of the two Estimates. If such simultaneous submission of Estimates does not occur within such ten (10) business day period, then either party may by notice to the other designate any reasonable time within five (5) business days thereafter and any reasonable place at or near the Building for such meeting to take place. In the event only one party submits an Estimate at that meeting, such Estimate shall be Fair Market Rental. In the event neither party submits an Estimate at that meeting, the transaction for which Fair Market Rental Rate is being determined shall be deemed cancelled and of no further force or effect.</w:t>
      </w:r>
    </w:p>
    <w:p>
      <w:pPr>
        <w:pStyle w:val="TextBody"/>
        <w:bidi w:val="0"/>
        <w:spacing w:lineRule="auto" w:line="288" w:before="0" w:after="240"/>
        <w:ind w:left="0" w:right="0" w:firstLine="720"/>
        <w:jc w:val="both"/>
        <w:rPr/>
      </w:pPr>
      <w:r>
        <w:rPr>
          <w:rFonts w:ascii="Arial;sans-serif" w:hAnsi="Arial;sans-serif"/>
          <w:b w:val="false"/>
          <w:color w:val="000000"/>
          <w:sz w:val="20"/>
        </w:rPr>
        <w:t>3.    </w:t>
      </w:r>
      <w:r>
        <w:rPr>
          <w:rFonts w:ascii="Arial;sans-serif" w:hAnsi="Arial;sans-serif"/>
          <w:b w:val="false"/>
          <w:color w:val="000000"/>
          <w:sz w:val="20"/>
          <w:u w:val="single"/>
        </w:rPr>
        <w:t>Selection of Arbitrators</w:t>
      </w:r>
      <w:r>
        <w:rPr>
          <w:rFonts w:ascii="Arial;sans-serif" w:hAnsi="Arial;sans-serif"/>
          <w:b w:val="false"/>
          <w:color w:val="000000"/>
          <w:sz w:val="20"/>
        </w:rPr>
        <w:t>.  If the higher Estimate is more than one hundred five percent (105%) of the lower Estimate, then either Landlord or Tenant may, by written notice to the other within five (5) business days after delivery of Estimates at the meeting, require that the disagreement be resolved by arbitration. In the event neither party gives such notice, the transaction for which Fair Market Rental Rate is being determined shall be deemed cancelled and of no further force or effect. Within five (5) business days after such notice, the parties shall select as arbitrators three (3) mutually acceptable independent MAI appraisers with experience in real estate activities, including at least five (5) years experience in appraising comparable space in north San Jose, California ("Qualified Appraisers"). If the parties cannot timely agree on such arbitrators, then within the following five (5) business days, each shall select and inform the other party of one (1) Qualified Appraiser and within a third period of five (5) business days, the two appraisers (or if only one (1) has been duly selected, such single appraiser) shall select as arbitrators a panel of three additional Qualified Appraisers, which three arbitrators shall proceed to determine Fair Market Rental Rate pursuant to Section 4 of this Exhibit. Both Landlord and Tenant shall be entitled to present evidence supporting their respective positions to the panel of three arbitrators.</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535305"/>
                <wp:effectExtent l="0" t="0" r="0" b="0"/>
                <wp:wrapNone/>
                <wp:docPr id="164" name="Frame160"/>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E - Page 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E - Page 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Arial;sans-serif" w:hAnsi="Arial;sans-serif"/>
          <w:b w:val="false"/>
          <w:color w:val="000000"/>
          <w:sz w:val="20"/>
        </w:rPr>
        <w:t>4.    </w:t>
      </w:r>
      <w:r>
        <w:rPr>
          <w:rFonts w:ascii="Arial;sans-serif" w:hAnsi="Arial;sans-serif"/>
          <w:b w:val="false"/>
          <w:color w:val="000000"/>
          <w:sz w:val="20"/>
          <w:u w:val="single"/>
        </w:rPr>
        <w:t>Arbitration Procedure</w:t>
      </w:r>
      <w:r>
        <w:rPr>
          <w:rFonts w:ascii="Arial;sans-serif" w:hAnsi="Arial;sans-serif"/>
          <w:b w:val="false"/>
          <w:color w:val="000000"/>
          <w:sz w:val="20"/>
        </w:rPr>
        <w:t>.  Once a panel of arbitrators has been selected as provided above, then as soon thereafter as practicable each arbitrator shall select one of the two Estimates as the one which, in its opinion, is closer to Fair Market Rental Rate. Upon an Estimate's selection by two (2) of the arbitrators, it shall be the applicable Fair Market Rental Rate and such selection shall be binding upon Landlord and Tenant. If the arbitrators collectively determine that expert advice is reasonably necessary to assist them in determining Fair Market Rental Rate, then they may retain one or more qualified persons, including but not limited to legal counsel, brokers, architects or engineers, to provide such expert advice. The party whose Estimate is not chosen by the arbitrators shall pay the costs of the arbitrators and any experts retained by the arbitrators. Any fees of any counsel or expert engaged directly by Landlord or Tenant, however, shall be borne by the party retaining such counsel or expert.</w:t>
      </w:r>
    </w:p>
    <w:p>
      <w:pPr>
        <w:pStyle w:val="TextBody"/>
        <w:bidi w:val="0"/>
        <w:spacing w:lineRule="auto" w:line="288" w:before="0" w:after="240"/>
        <w:ind w:left="0" w:right="0" w:firstLine="720"/>
        <w:jc w:val="both"/>
        <w:rPr/>
      </w:pPr>
      <w:r>
        <w:rPr>
          <w:rFonts w:ascii="Arial;sans-serif" w:hAnsi="Arial;sans-serif"/>
          <w:b w:val="false"/>
          <w:color w:val="000000"/>
          <w:sz w:val="20"/>
        </w:rPr>
        <w:t>5.    </w:t>
      </w:r>
      <w:r>
        <w:rPr>
          <w:rFonts w:ascii="Arial;sans-serif" w:hAnsi="Arial;sans-serif"/>
          <w:b w:val="false"/>
          <w:color w:val="000000"/>
          <w:sz w:val="20"/>
          <w:u w:val="single"/>
        </w:rPr>
        <w:t>Rent Pending Determination of Fair Market Rental Rate</w:t>
      </w:r>
      <w:r>
        <w:rPr>
          <w:rFonts w:ascii="Arial;sans-serif" w:hAnsi="Arial;sans-serif"/>
          <w:b w:val="false"/>
          <w:color w:val="000000"/>
          <w:sz w:val="20"/>
        </w:rPr>
        <w:t>. In the event that the determination of Fair Market Rental Rate has not been concluded prior to commencement of the applicable rental period for the applicable space for which the Fair Market Rental Rate is being determined, Tenant shall pay Landlord Monthly Base Rent and Rent Adjustment Deposits as would apply under Landlord’s Estimate pursuant to Section 2 of this Exhibit until the Fair Market Rental Rate is determined. In the event that the Fair Market Rental Rate subsequently determined is different from the amount paid for the applicable period, then within thirty (30) days after such determination, Tenant shall pay Landlord any greater amounts due and Landlord shall credit Tenant (against the next Monthly Base Rent installments due) for any reduction in the amounts due.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535305"/>
                <wp:effectExtent l="0" t="0" r="0" b="0"/>
                <wp:wrapNone/>
                <wp:docPr id="165" name="Frame161"/>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E - Page 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E - Page 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EXHIBIT F</w:t>
      </w:r>
    </w:p>
    <w:p>
      <w:pPr>
        <w:pStyle w:val="TextBody"/>
        <w:bidi w:val="0"/>
        <w:spacing w:before="0" w:after="0"/>
        <w:jc w:val="center"/>
        <w:rPr/>
      </w:pPr>
      <w:r>
        <w:rPr/>
      </w:r>
    </w:p>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FORM OF LETTER OF CREDIT</w:t>
      </w:r>
    </w:p>
    <w:p>
      <w:pPr>
        <w:pStyle w:val="TextBody"/>
        <w:bidi w:val="0"/>
        <w:spacing w:lineRule="auto" w:line="288" w:before="0" w:after="100"/>
        <w:jc w:val="both"/>
        <w:rPr>
          <w:color w:val="000000"/>
        </w:rPr>
      </w:pPr>
      <w:r>
        <w:rPr>
          <w:color w:val="000000"/>
        </w:rPr>
        <w:t>                    </w:t>
      </w:r>
      <w:r>
        <w:rPr>
          <w:rFonts w:ascii="Arial;sans-serif" w:hAnsi="Arial;sans-serif"/>
          <w:b w:val="false"/>
          <w:color w:val="000000"/>
          <w:sz w:val="20"/>
        </w:rPr>
        <w:t>FOR INTERNAL IDENTIFICATION PURPOSES ONLY</w:t>
      </w:r>
    </w:p>
    <w:p>
      <w:pPr>
        <w:pStyle w:val="TextBody"/>
        <w:bidi w:val="0"/>
        <w:spacing w:lineRule="auto" w:line="288" w:before="0" w:after="100"/>
        <w:jc w:val="both"/>
        <w:rPr>
          <w:color w:val="000000"/>
        </w:rPr>
      </w:pPr>
      <w:r>
        <w:rPr>
          <w:color w:val="000000"/>
        </w:rPr>
        <w:t>                    </w:t>
      </w:r>
      <w:r>
        <w:rPr>
          <w:rFonts w:ascii="Arial;sans-serif" w:hAnsi="Arial;sans-serif"/>
          <w:b w:val="false"/>
          <w:color w:val="000000"/>
          <w:sz w:val="20"/>
        </w:rPr>
        <w:t>Our No. __________    Other __________</w:t>
      </w:r>
    </w:p>
    <w:p>
      <w:pPr>
        <w:pStyle w:val="TextBody"/>
        <w:bidi w:val="0"/>
        <w:spacing w:lineRule="auto" w:line="288" w:before="0" w:after="100"/>
        <w:jc w:val="both"/>
        <w:rPr>
          <w:color w:val="000000"/>
        </w:rPr>
      </w:pPr>
      <w:r>
        <w:rPr>
          <w:color w:val="000000"/>
        </w:rPr>
        <w:t>                    </w:t>
      </w:r>
      <w:r>
        <w:rPr>
          <w:rFonts w:ascii="Arial;sans-serif" w:hAnsi="Arial;sans-serif"/>
          <w:b w:val="false"/>
          <w:color w:val="000000"/>
          <w:sz w:val="20"/>
        </w:rPr>
        <w:t>Applicant ___________________________</w:t>
      </w:r>
    </w:p>
    <w:p>
      <w:pPr>
        <w:pStyle w:val="TextBody"/>
        <w:bidi w:val="0"/>
        <w:spacing w:before="0" w:after="100"/>
        <w:jc w:val="both"/>
        <w:rPr/>
      </w:pPr>
      <w:r>
        <w:rPr/>
      </w:r>
    </w:p>
    <w:p>
      <w:pPr>
        <w:pStyle w:val="TextBody"/>
        <w:bidi w:val="0"/>
        <w:spacing w:lineRule="auto" w:line="288" w:before="0" w:after="100"/>
        <w:ind w:left="0" w:right="0" w:hanging="720"/>
        <w:jc w:val="left"/>
        <w:rPr>
          <w:rFonts w:ascii="Arial;sans-serif" w:hAnsi="Arial;sans-serif"/>
          <w:b w:val="false"/>
          <w:color w:val="000000"/>
          <w:sz w:val="20"/>
        </w:rPr>
      </w:pPr>
      <w:r>
        <w:rPr>
          <w:rFonts w:ascii="Arial;sans-serif" w:hAnsi="Arial;sans-serif"/>
          <w:b w:val="false"/>
          <w:color w:val="000000"/>
          <w:sz w:val="20"/>
        </w:rPr>
        <w:t>TO:    Metropolitan Life Insurance Company</w:t>
        <w:br/>
        <w:t>[Address]</w:t>
        <w:br/>
        <w:t>Attention: Director, EIM</w:t>
      </w:r>
    </w:p>
    <w:p>
      <w:pPr>
        <w:pStyle w:val="TextBody"/>
        <w:bidi w:val="0"/>
        <w:spacing w:lineRule="auto" w:line="288" w:before="0" w:after="100"/>
        <w:jc w:val="both"/>
        <w:rPr>
          <w:rFonts w:ascii="Arial;sans-serif" w:hAnsi="Arial;sans-serif"/>
          <w:b w:val="false"/>
          <w:color w:val="000000"/>
          <w:sz w:val="20"/>
        </w:rPr>
      </w:pPr>
      <w:r>
        <w:rPr>
          <w:rFonts w:ascii="Arial;sans-serif" w:hAnsi="Arial;sans-serif"/>
          <w:b w:val="false"/>
          <w:color w:val="000000"/>
          <w:sz w:val="20"/>
        </w:rPr>
        <w:t>IRREVOCABLE LETTER OF CREDIT NO. ___________</w:t>
      </w:r>
    </w:p>
    <w:p>
      <w:pPr>
        <w:pStyle w:val="TextBody"/>
        <w:bidi w:val="0"/>
        <w:spacing w:lineRule="auto" w:line="288" w:before="0" w:after="100"/>
        <w:jc w:val="both"/>
        <w:rPr/>
      </w:pPr>
      <w:r>
        <w:rPr>
          <w:color w:val="000000"/>
        </w:rPr>
        <w:t>    </w:t>
      </w:r>
      <w:r>
        <w:rPr>
          <w:rFonts w:ascii="Arial;sans-serif" w:hAnsi="Arial;sans-serif"/>
          <w:b w:val="false"/>
          <w:color w:val="000000"/>
          <w:sz w:val="20"/>
        </w:rPr>
        <w:t xml:space="preserve">We hereby establish this irrevocable Letter of Credit in favor of the aforesaid addressee (“Beneficiary”) for drawings up to United States $__________ effective immediately. This Letter of Credit is issued, presentable and payable at our office at </w:t>
      </w:r>
      <w:r>
        <w:rPr>
          <w:rFonts w:ascii="Arial;sans-serif" w:hAnsi="Arial;sans-serif"/>
          <w:b w:val="false"/>
          <w:color w:val="000000"/>
          <w:sz w:val="20"/>
          <w:u w:val="single"/>
        </w:rPr>
        <w:t>[issuing bank’s address in City specified by Landlord]</w:t>
      </w:r>
      <w:r>
        <w:rPr>
          <w:color w:val="000000"/>
        </w:rPr>
        <w:t xml:space="preserve"> </w:t>
      </w:r>
      <w:r>
        <w:rPr>
          <w:rFonts w:ascii="Arial;sans-serif" w:hAnsi="Arial;sans-serif"/>
          <w:b w:val="false"/>
          <w:color w:val="000000"/>
          <w:sz w:val="20"/>
        </w:rPr>
        <w:t>and expires with our close of business on ___________, 20__.</w:t>
      </w:r>
    </w:p>
    <w:p>
      <w:pPr>
        <w:pStyle w:val="TextBody"/>
        <w:bidi w:val="0"/>
        <w:spacing w:lineRule="auto" w:line="288" w:before="0" w:after="100"/>
        <w:jc w:val="both"/>
        <w:rPr>
          <w:color w:val="000000"/>
        </w:rPr>
      </w:pPr>
      <w:r>
        <w:rPr>
          <w:color w:val="000000"/>
        </w:rPr>
        <w:t>    </w:t>
      </w:r>
      <w:r>
        <w:rPr>
          <w:rFonts w:ascii="Arial;sans-serif" w:hAnsi="Arial;sans-serif"/>
          <w:b w:val="false"/>
          <w:color w:val="000000"/>
          <w:sz w:val="20"/>
        </w:rPr>
        <w:t>The term “Beneficiary” includes any successor by operation of law of the named Beneficiary including, without limitation, any liquidator, rehabilitator, receiver or conservator.</w:t>
      </w:r>
    </w:p>
    <w:p>
      <w:pPr>
        <w:pStyle w:val="TextBody"/>
        <w:bidi w:val="0"/>
        <w:spacing w:lineRule="auto" w:line="288" w:before="0" w:after="100"/>
        <w:jc w:val="both"/>
        <w:rPr>
          <w:color w:val="000000"/>
        </w:rPr>
      </w:pPr>
      <w:r>
        <w:rPr>
          <w:color w:val="000000"/>
        </w:rPr>
        <w:t>    </w:t>
      </w:r>
      <w:r>
        <w:rPr>
          <w:rFonts w:ascii="Arial;sans-serif" w:hAnsi="Arial;sans-serif"/>
          <w:b w:val="false"/>
          <w:color w:val="000000"/>
          <w:sz w:val="20"/>
        </w:rPr>
        <w:t>We hereby undertake to promptly honor your sight draft(s) drawn on us, indicating our Credit No. ________, for all or any part of this Credit if presented at our office specified in paragraph one on or before the expiry date or any automatically extended expiry date.</w:t>
      </w:r>
    </w:p>
    <w:p>
      <w:pPr>
        <w:pStyle w:val="TextBody"/>
        <w:bidi w:val="0"/>
        <w:spacing w:lineRule="auto" w:line="288" w:before="0" w:after="100"/>
        <w:jc w:val="both"/>
        <w:rPr/>
      </w:pPr>
      <w:r>
        <w:rPr>
          <w:color w:val="000000"/>
        </w:rPr>
        <w:t>    </w:t>
      </w:r>
      <w:r>
        <w:rPr>
          <w:rFonts w:ascii="Arial;sans-serif" w:hAnsi="Arial;sans-serif"/>
          <w:b w:val="false"/>
          <w:color w:val="000000"/>
          <w:sz w:val="20"/>
        </w:rPr>
        <w:t xml:space="preserve">Except as expressly stated herein, this undertaking is not subject to any agreement, condition or qualification. The obligation of </w:t>
      </w:r>
      <w:r>
        <w:rPr>
          <w:rFonts w:ascii="Arial;sans-serif" w:hAnsi="Arial;sans-serif"/>
          <w:b w:val="false"/>
          <w:color w:val="000000"/>
          <w:sz w:val="20"/>
          <w:u w:val="single"/>
        </w:rPr>
        <w:t>[issuing bank]</w:t>
      </w:r>
      <w:r>
        <w:rPr>
          <w:color w:val="000000"/>
        </w:rPr>
        <w:t xml:space="preserve"> </w:t>
      </w:r>
      <w:r>
        <w:rPr>
          <w:rFonts w:ascii="Arial;sans-serif" w:hAnsi="Arial;sans-serif"/>
          <w:b w:val="false"/>
          <w:color w:val="000000"/>
          <w:sz w:val="20"/>
        </w:rPr>
        <w:t xml:space="preserve">under this Letter of Credit is the individual obligation of </w:t>
      </w:r>
      <w:r>
        <w:rPr>
          <w:rFonts w:ascii="Arial;sans-serif" w:hAnsi="Arial;sans-serif"/>
          <w:b w:val="false"/>
          <w:color w:val="000000"/>
          <w:sz w:val="20"/>
          <w:u w:val="single"/>
        </w:rPr>
        <w:t>[issuing bank]</w:t>
      </w:r>
      <w:r>
        <w:rPr>
          <w:rFonts w:ascii="Arial;sans-serif" w:hAnsi="Arial;sans-serif"/>
          <w:b w:val="false"/>
          <w:color w:val="000000"/>
          <w:sz w:val="20"/>
        </w:rPr>
        <w:t>, and is in no way contingent upon reimbursement with respect thereto.</w:t>
      </w:r>
    </w:p>
    <w:p>
      <w:pPr>
        <w:pStyle w:val="TextBody"/>
        <w:bidi w:val="0"/>
        <w:spacing w:lineRule="auto" w:line="288" w:before="0" w:after="100"/>
        <w:jc w:val="both"/>
        <w:rPr>
          <w:color w:val="000000"/>
        </w:rPr>
      </w:pPr>
      <w:r>
        <w:rPr>
          <w:color w:val="000000"/>
        </w:rPr>
        <w:t>    </w:t>
      </w:r>
      <w:r>
        <w:rPr>
          <w:rFonts w:ascii="Arial;sans-serif" w:hAnsi="Arial;sans-serif"/>
          <w:b w:val="false"/>
          <w:color w:val="000000"/>
          <w:sz w:val="20"/>
        </w:rPr>
        <w:t>It is a condition of this Letter of Credit that it is deemed to be automatically extended without amendment for one year from the expiry date hereof, or any future expiration date, unless at least thirty (30) days prior to an expiration date we notify you by registered mail that we elect not to consider this Letter of Credit renewed for any such additional period.</w:t>
      </w:r>
    </w:p>
    <w:p>
      <w:pPr>
        <w:pStyle w:val="TextBody"/>
        <w:bidi w:val="0"/>
        <w:spacing w:lineRule="auto" w:line="288" w:before="0" w:after="100"/>
        <w:jc w:val="both"/>
        <w:rPr>
          <w:color w:val="000000"/>
        </w:rPr>
      </w:pPr>
      <w:r>
        <w:rPr>
          <w:color w:val="000000"/>
        </w:rPr>
        <w:t>    </w:t>
      </w:r>
      <w:r>
        <w:rPr>
          <w:rFonts w:ascii="Arial;sans-serif" w:hAnsi="Arial;sans-serif"/>
          <w:b w:val="false"/>
          <w:color w:val="000000"/>
          <w:sz w:val="20"/>
        </w:rPr>
        <w:t>This Letter of Credit is transferable by the Beneficiary and by any successive transferees at no charge or cost to Beneficiary or any transferee. Transfers of this Letter of Credit are subject to receipt of Beneficiary's (and subsequently, transferee’s) instructions in the form attached hereto as Schedule 1 accompanied by the original Letter of Credit and amendments(s) if any.</w:t>
      </w:r>
    </w:p>
    <w:p>
      <w:pPr>
        <w:pStyle w:val="TextBody"/>
        <w:bidi w:val="0"/>
        <w:spacing w:lineRule="auto" w:line="288" w:before="0" w:after="100"/>
        <w:jc w:val="both"/>
        <w:rPr>
          <w:color w:val="000000"/>
        </w:rPr>
      </w:pPr>
      <w:r>
        <w:rPr>
          <w:color w:val="000000"/>
        </w:rPr>
        <w:t>    </w:t>
      </w:r>
      <w:r>
        <w:rPr>
          <w:rFonts w:ascii="Arial;sans-serif" w:hAnsi="Arial;sans-serif"/>
          <w:b w:val="false"/>
          <w:color w:val="000000"/>
          <w:sz w:val="20"/>
        </w:rPr>
        <w:t>This Letter of Credit is subject to and governed by the Laws of the State of New York and the 2007 revision of the Uniform Customs and Practice for Documentary Credits of the International Chamber of Commerce (Publication 600) and, in the event of any conflict, the Laws of the State of New York will control. If this Credit expires during an interruption of business as described in article 36 of said Publication 600, the bank hereby specifically agrees to effect payment if this Credit is drawn against within 30 days after the resumption of business.</w:t>
      </w:r>
    </w:p>
    <w:p>
      <w:pPr>
        <w:pStyle w:val="TextBody"/>
        <w:bidi w:val="0"/>
        <w:spacing w:lineRule="auto" w:line="288" w:before="0" w:after="100"/>
        <w:jc w:val="both"/>
        <w:rPr>
          <w:color w:val="000000"/>
        </w:rPr>
      </w:pPr>
      <w:r>
        <w:rPr>
          <w:color w:val="000000"/>
        </w:rPr>
        <w:t>                        </w:t>
      </w:r>
      <w:r>
        <w:rPr>
          <w:rFonts w:ascii="Arial;sans-serif" w:hAnsi="Arial;sans-serif"/>
          <w:b w:val="false"/>
          <w:color w:val="000000"/>
          <w:sz w:val="20"/>
        </w:rPr>
        <w:t>Very truly yours,</w:t>
      </w:r>
    </w:p>
    <w:p>
      <w:pPr>
        <w:pStyle w:val="TextBody"/>
        <w:bidi w:val="0"/>
        <w:spacing w:lineRule="auto" w:line="288" w:before="0" w:after="100"/>
        <w:jc w:val="both"/>
        <w:rPr>
          <w:color w:val="000000"/>
        </w:rPr>
      </w:pPr>
      <w:r>
        <w:rPr>
          <w:color w:val="000000"/>
        </w:rPr>
        <w:t>                        </w:t>
      </w:r>
      <w:r>
        <w:rPr>
          <w:rFonts w:ascii="Arial;sans-serif" w:hAnsi="Arial;sans-serif"/>
          <w:b w:val="false"/>
          <w:color w:val="000000"/>
          <w:sz w:val="20"/>
        </w:rPr>
        <w:t>_________________________</w:t>
      </w:r>
    </w:p>
    <w:p>
      <w:pPr>
        <w:pStyle w:val="TextBody"/>
        <w:bidi w:val="0"/>
        <w:spacing w:lineRule="auto" w:line="288" w:before="0" w:after="100"/>
        <w:jc w:val="both"/>
        <w:rPr>
          <w:color w:val="000000"/>
        </w:rPr>
      </w:pPr>
      <w:r>
        <w:rPr>
          <w:color w:val="000000"/>
        </w:rPr>
        <w:t>                            </w:t>
      </w:r>
      <w:r>
        <w:rPr>
          <w:rFonts w:ascii="Arial;sans-serif" w:hAnsi="Arial;sans-serif"/>
          <w:b w:val="false"/>
          <w:color w:val="000000"/>
          <w:sz w:val="20"/>
        </w:rPr>
        <w:t>[issuing bank]</w:t>
      </w:r>
    </w:p>
    <w:p>
      <w:pPr>
        <w:pStyle w:val="TextBody"/>
        <w:bidi w:val="0"/>
        <w:spacing w:before="0" w:after="20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491490"/>
                <wp:effectExtent l="0" t="0" r="0" b="0"/>
                <wp:wrapNone/>
                <wp:docPr id="166" name="Frame162"/>
                <a:graphic xmlns:a="http://schemas.openxmlformats.org/drawingml/2006/main">
                  <a:graphicData uri="http://schemas.microsoft.com/office/word/2010/wordprocessingShape">
                    <wps:wsp>
                      <wps:cNvSpPr txBox="1"/>
                      <wps:spPr>
                        <a:xfrm>
                          <a:off x="0" y="0"/>
                          <a:ext cx="6480175" cy="491490"/>
                        </a:xfrm>
                        <a:prstGeom prst="rect"/>
                        <a:solidFill>
                          <a:srgbClr val="FFFFFF"/>
                        </a:solidFill>
                      </wps:spPr>
                      <wps:txb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F - Page 1</w:t>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ACTIVE\316412\774361\81728160.v10-2/20/26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F - Page 1</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ACTIVE\316412\774361\81728160.v10-2/20/26</w:t>
                      </w:r>
                    </w:p>
                  </w:txbxContent>
                </v:textbox>
                <w10:wrap type="none"/>
              </v:rect>
            </w:pict>
          </mc:Fallback>
        </mc:AlternateContent>
      </w:r>
    </w:p>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Schedule 1 to Letter of Credit</w:t>
      </w:r>
    </w:p>
    <w:p>
      <w:pPr>
        <w:pStyle w:val="TextBody"/>
        <w:bidi w:val="0"/>
        <w:spacing w:lineRule="auto" w:line="319" w:before="0" w:after="200"/>
        <w:jc w:val="left"/>
        <w:rPr>
          <w:rFonts w:ascii="Arial;sans-serif" w:hAnsi="Arial;sans-serif"/>
          <w:b w:val="false"/>
          <w:color w:val="000000"/>
          <w:sz w:val="20"/>
          <w:u w:val="single"/>
        </w:rPr>
      </w:pPr>
      <w:r>
        <w:rPr>
          <w:rFonts w:ascii="Arial;sans-serif" w:hAnsi="Arial;sans-serif"/>
          <w:b w:val="false"/>
          <w:color w:val="000000"/>
          <w:sz w:val="20"/>
          <w:u w:val="single"/>
        </w:rPr>
        <w:t>[Bank – then current issuer of Letter of Credit]</w:t>
      </w:r>
    </w:p>
    <w:p>
      <w:pPr>
        <w:pStyle w:val="TextBody"/>
        <w:bidi w:val="0"/>
        <w:spacing w:lineRule="auto" w:line="319" w:before="0" w:after="200"/>
        <w:jc w:val="left"/>
        <w:rPr>
          <w:rFonts w:ascii="Arial;sans-serif" w:hAnsi="Arial;sans-serif"/>
          <w:b w:val="false"/>
          <w:color w:val="000000"/>
          <w:sz w:val="20"/>
        </w:rPr>
      </w:pPr>
      <w:r>
        <w:rPr>
          <w:rFonts w:ascii="Arial;sans-serif" w:hAnsi="Arial;sans-serif"/>
          <w:b w:val="false"/>
          <w:color w:val="000000"/>
          <w:sz w:val="20"/>
        </w:rPr>
        <w:t>c/o _________________________</w:t>
        <w:br/>
        <w:t>____________________________</w:t>
        <w:br/>
        <w:t>____________________________</w:t>
        <w:br/>
        <w:t>Attention:____________________</w:t>
      </w:r>
    </w:p>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Re: Irrevocable Letter of Credit No. ________________</w:t>
      </w:r>
    </w:p>
    <w:p>
      <w:pPr>
        <w:pStyle w:val="TextBody"/>
        <w:bidi w:val="0"/>
        <w:spacing w:lineRule="auto" w:line="319" w:before="0" w:after="200"/>
        <w:jc w:val="left"/>
        <w:rPr>
          <w:rFonts w:ascii="Arial;sans-serif" w:hAnsi="Arial;sans-serif"/>
          <w:b w:val="false"/>
          <w:color w:val="000000"/>
          <w:sz w:val="20"/>
        </w:rPr>
      </w:pPr>
      <w:r>
        <w:rPr>
          <w:rFonts w:ascii="Arial;sans-serif" w:hAnsi="Arial;sans-serif"/>
          <w:b w:val="false"/>
          <w:color w:val="000000"/>
          <w:sz w:val="20"/>
        </w:rPr>
        <w:t>Ladies &amp; Gentlemen:</w:t>
      </w:r>
    </w:p>
    <w:p>
      <w:pPr>
        <w:pStyle w:val="TextBody"/>
        <w:bidi w:val="0"/>
        <w:spacing w:lineRule="auto" w:line="319" w:before="0" w:after="200"/>
        <w:jc w:val="left"/>
        <w:rPr>
          <w:color w:val="000000"/>
        </w:rPr>
      </w:pPr>
      <w:r>
        <w:rPr>
          <w:color w:val="000000"/>
        </w:rPr>
        <w:t>    </w:t>
      </w:r>
      <w:r>
        <w:rPr>
          <w:rFonts w:ascii="Arial;sans-serif" w:hAnsi="Arial;sans-serif"/>
          <w:b w:val="false"/>
          <w:color w:val="000000"/>
          <w:sz w:val="20"/>
        </w:rPr>
        <w:t>The undersigned acknowledges receipt of your advice No. _________________ of a credit issued in our favor, the terms of which are satisfactory. We now irrevocably transfer the said credit and all amendments and extensions thereof, if any, to:</w:t>
      </w:r>
    </w:p>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__________________________</w:t>
      </w:r>
    </w:p>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[Name of Transferee]</w:t>
      </w:r>
    </w:p>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__________________________</w:t>
      </w:r>
    </w:p>
    <w:p>
      <w:pPr>
        <w:pStyle w:val="TextBody"/>
        <w:bidi w:val="0"/>
        <w:spacing w:lineRule="auto" w:line="319" w:before="0" w:after="200"/>
        <w:jc w:val="center"/>
        <w:rPr>
          <w:rFonts w:ascii="Arial;sans-serif" w:hAnsi="Arial;sans-serif"/>
          <w:b w:val="false"/>
          <w:color w:val="000000"/>
          <w:sz w:val="20"/>
        </w:rPr>
      </w:pPr>
      <w:r>
        <w:rPr>
          <w:rFonts w:ascii="Arial;sans-serif" w:hAnsi="Arial;sans-serif"/>
          <w:b w:val="false"/>
          <w:color w:val="000000"/>
          <w:sz w:val="20"/>
        </w:rPr>
        <w:t>[Address]</w:t>
      </w:r>
    </w:p>
    <w:p>
      <w:pPr>
        <w:pStyle w:val="TextBody"/>
        <w:bidi w:val="0"/>
        <w:spacing w:lineRule="auto" w:line="319" w:before="0" w:after="200"/>
        <w:jc w:val="left"/>
        <w:rPr>
          <w:color w:val="000000"/>
        </w:rPr>
      </w:pPr>
      <w:r>
        <w:rPr>
          <w:color w:val="000000"/>
        </w:rPr>
        <w:t>    </w:t>
      </w:r>
      <w:r>
        <w:rPr>
          <w:rFonts w:ascii="Arial;sans-serif" w:hAnsi="Arial;sans-serif"/>
          <w:b w:val="false"/>
          <w:color w:val="000000"/>
          <w:sz w:val="20"/>
        </w:rPr>
        <w:t>You are to inform the transferee of this transfer and such transferee shall have sole rights as beneficiary under the credit, including any amendments, extension or increases thereof, without notice to or further assent from us.</w:t>
      </w:r>
    </w:p>
    <w:p>
      <w:pPr>
        <w:pStyle w:val="TextBody"/>
        <w:bidi w:val="0"/>
        <w:spacing w:lineRule="auto" w:line="319" w:before="0" w:after="200"/>
        <w:jc w:val="left"/>
        <w:rPr>
          <w:color w:val="000000"/>
        </w:rPr>
      </w:pPr>
      <w:r>
        <w:rPr>
          <w:color w:val="000000"/>
        </w:rPr>
        <w:t>    </w:t>
      </w:r>
      <w:r>
        <w:rPr>
          <w:rFonts w:ascii="Arial;sans-serif" w:hAnsi="Arial;sans-serif"/>
          <w:b w:val="false"/>
          <w:color w:val="000000"/>
          <w:sz w:val="20"/>
        </w:rPr>
        <w:t>This transfer is at no charge or cost to Beneficiary or the transferee.</w:t>
      </w:r>
    </w:p>
    <w:p>
      <w:pPr>
        <w:pStyle w:val="TextBody"/>
        <w:bidi w:val="0"/>
        <w:spacing w:lineRule="auto" w:line="319" w:before="0" w:after="200"/>
        <w:jc w:val="left"/>
        <w:rPr>
          <w:color w:val="000000"/>
        </w:rPr>
      </w:pPr>
      <w:r>
        <w:rPr>
          <w:color w:val="000000"/>
        </w:rPr>
        <w:t>                            </w:t>
      </w:r>
      <w:r>
        <w:rPr>
          <w:rFonts w:ascii="Arial;sans-serif" w:hAnsi="Arial;sans-serif"/>
          <w:b w:val="false"/>
          <w:color w:val="000000"/>
          <w:sz w:val="20"/>
        </w:rPr>
        <w:t>Yours very truly,</w:t>
      </w:r>
    </w:p>
    <w:p>
      <w:pPr>
        <w:pStyle w:val="TextBody"/>
        <w:bidi w:val="0"/>
        <w:spacing w:lineRule="auto" w:line="319" w:before="0" w:after="200"/>
        <w:jc w:val="left"/>
        <w:rPr>
          <w:color w:val="000000"/>
        </w:rPr>
      </w:pPr>
      <w:r>
        <w:rPr>
          <w:color w:val="000000"/>
        </w:rPr>
        <w:t>                            </w:t>
      </w:r>
      <w:r>
        <w:rPr>
          <w:rFonts w:ascii="Arial;sans-serif" w:hAnsi="Arial;sans-serif"/>
          <w:b w:val="false"/>
          <w:color w:val="000000"/>
          <w:sz w:val="20"/>
        </w:rPr>
        <w:t>Beneficiary</w:t>
      </w:r>
    </w:p>
    <w:p>
      <w:pPr>
        <w:pStyle w:val="TextBody"/>
        <w:bidi w:val="0"/>
        <w:spacing w:lineRule="auto" w:line="319" w:before="0" w:after="200"/>
        <w:jc w:val="left"/>
        <w:rPr>
          <w:color w:val="000000"/>
        </w:rPr>
      </w:pPr>
      <w:r>
        <w:rPr>
          <w:color w:val="000000"/>
        </w:rPr>
        <w:t>                            </w:t>
      </w:r>
      <w:r>
        <w:rPr>
          <w:rFonts w:ascii="Arial;sans-serif" w:hAnsi="Arial;sans-serif"/>
          <w:b w:val="false"/>
          <w:color w:val="000000"/>
          <w:sz w:val="20"/>
        </w:rPr>
        <w:t>By:_______________________</w:t>
      </w:r>
    </w:p>
    <w:p>
      <w:pPr>
        <w:pStyle w:val="TextBody"/>
        <w:bidi w:val="0"/>
        <w:spacing w:lineRule="auto" w:line="319" w:before="0" w:after="200"/>
        <w:jc w:val="left"/>
        <w:rPr/>
      </w:pPr>
      <w:r>
        <w:rPr>
          <w:rFonts w:ascii="Arial;sans-serif" w:hAnsi="Arial;sans-serif"/>
          <w:b w:val="false"/>
          <w:color w:val="000000"/>
          <w:sz w:val="20"/>
        </w:rPr>
        <w:t>Acknowledged and agreed by Bank</w:t>
      </w:r>
      <w:r>
        <w:rPr>
          <w:color w:val="000000"/>
          <w:u w:val="single"/>
        </w:rPr>
        <w:t xml:space="preserve"> </w:t>
      </w:r>
      <w:r>
        <w:rPr>
          <w:rFonts w:ascii="Arial;sans-serif" w:hAnsi="Arial;sans-serif"/>
          <w:b w:val="false"/>
          <w:color w:val="000000"/>
          <w:sz w:val="20"/>
          <w:u w:val="single"/>
        </w:rPr>
        <w:t>[then current issuer of Letter of Credit]</w:t>
      </w:r>
      <w:r>
        <w:rPr>
          <w:rFonts w:ascii="Arial;sans-serif" w:hAnsi="Arial;sans-serif"/>
          <w:b w:val="false"/>
          <w:color w:val="000000"/>
          <w:sz w:val="20"/>
        </w:rPr>
        <w:t>:</w:t>
      </w:r>
    </w:p>
    <w:p>
      <w:pPr>
        <w:pStyle w:val="TextBody"/>
        <w:bidi w:val="0"/>
        <w:spacing w:lineRule="auto" w:line="288" w:before="0" w:after="0"/>
        <w:jc w:val="left"/>
        <w:rPr>
          <w:color w:val="000000"/>
        </w:rPr>
      </w:pPr>
      <w:r>
        <w:rPr>
          <w:color w:val="000000"/>
        </w:rPr>
        <w:t>                            </w:t>
      </w:r>
      <w:r>
        <w:rPr>
          <w:rFonts w:ascii="Arial;sans-serif" w:hAnsi="Arial;sans-serif"/>
          <w:b w:val="false"/>
          <w:color w:val="000000"/>
          <w:sz w:val="20"/>
        </w:rPr>
        <w:t>_____________________</w:t>
      </w:r>
    </w:p>
    <w:p>
      <w:pPr>
        <w:pStyle w:val="TextBody"/>
        <w:bidi w:val="0"/>
        <w:spacing w:lineRule="auto" w:line="319" w:before="0" w:after="200"/>
        <w:jc w:val="left"/>
        <w:rPr/>
      </w:pPr>
      <w:r>
        <w:rPr>
          <w:color w:val="000000"/>
        </w:rPr>
        <w:t>                            </w:t>
      </w:r>
      <w:r>
        <w:rPr>
          <w:rFonts w:ascii="Arial;sans-serif" w:hAnsi="Arial;sans-serif"/>
          <w:b w:val="false"/>
          <w:color w:val="000000"/>
          <w:sz w:val="20"/>
        </w:rPr>
        <w:t xml:space="preserve">(Bank – </w:t>
      </w:r>
      <w:r>
        <w:rPr>
          <w:rFonts w:ascii="Arial;sans-serif" w:hAnsi="Arial;sans-serif"/>
          <w:b w:val="false"/>
          <w:color w:val="000000"/>
          <w:sz w:val="20"/>
          <w:u w:val="single"/>
        </w:rPr>
        <w:t>then current issuer of Letter of Credit</w:t>
      </w:r>
      <w:r>
        <w:rPr>
          <w:rFonts w:ascii="Arial;sans-serif" w:hAnsi="Arial;sans-serif"/>
          <w:b w:val="false"/>
          <w:color w:val="000000"/>
          <w:sz w:val="20"/>
        </w:rPr>
        <w:t>)</w:t>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491490"/>
                <wp:effectExtent l="0" t="0" r="0" b="0"/>
                <wp:wrapNone/>
                <wp:docPr id="167" name="Frame163"/>
                <a:graphic xmlns:a="http://schemas.openxmlformats.org/drawingml/2006/main">
                  <a:graphicData uri="http://schemas.microsoft.com/office/word/2010/wordprocessingShape">
                    <wps:wsp>
                      <wps:cNvSpPr txBox="1"/>
                      <wps:spPr>
                        <a:xfrm>
                          <a:off x="0" y="0"/>
                          <a:ext cx="6480175" cy="491490"/>
                        </a:xfrm>
                        <a:prstGeom prst="rect"/>
                        <a:solidFill>
                          <a:srgbClr val="FFFFFF"/>
                        </a:solidFill>
                      </wps:spPr>
                      <wps:txb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F - Page 2</w:t>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ACTIVE\316412\774361\81728160.v10-2/20/26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Exhibit F - Page 2</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ACTIVE\316412\774361\81728160.v10-2/20/26</w:t>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RIDER 1</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COMMENCEMENT DATE AGREEMENT</w:t>
      </w:r>
    </w:p>
    <w:p>
      <w:pPr>
        <w:pStyle w:val="TextBody"/>
        <w:bidi w:val="0"/>
        <w:spacing w:before="0" w:after="0"/>
        <w:jc w:val="center"/>
        <w:rPr/>
      </w:pPr>
      <w:r>
        <w:rPr/>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ORCHARD COMMONS, LLC, a Florida limited liability company ("Landlord"), and SI-BONE, INC., a Delaware corporation ("Tenant"), have entered into a certain Lease dated as of , 20__ (the "Lease").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WHEREAS, Landlord and Tenant wish to confirm and memorialize the Commencement Date and Expiration Date of the Lease as provided for in Section 2.02(b) of the Lease;</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NOW, THEREFORE, in consideration of the foregoing and the mutual covenants contained herein and in the Lease, Landlord and Tenant agree as follows:</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1.    Unless otherwise defined herein, all capitalized terms shall have the same meaning ascribed to them in the Lease.</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2.    The Commencement Date (as defined in the Lease) of the Lease is .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3.    The Expiration Date (as defined in the Lease) of the Lease is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4.    Tenant hereby confirms the following:</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(a)    That it has accepted possession of the Premises pursuant to the terms of the Lease; and</w:t>
      </w:r>
    </w:p>
    <w:p>
      <w:pPr>
        <w:pStyle w:val="TextBody"/>
        <w:bidi w:val="0"/>
        <w:spacing w:lineRule="auto" w:line="288" w:before="0" w:after="240"/>
        <w:ind w:left="0" w:right="0" w:hanging="720"/>
        <w:jc w:val="both"/>
        <w:rPr>
          <w:rFonts w:ascii="Arial;sans-serif" w:hAnsi="Arial;sans-serif"/>
          <w:b w:val="false"/>
          <w:color w:val="000000"/>
          <w:sz w:val="20"/>
        </w:rPr>
      </w:pPr>
      <w:r>
        <w:rPr>
          <w:rFonts w:ascii="Arial;sans-serif" w:hAnsi="Arial;sans-serif"/>
          <w:b w:val="false"/>
          <w:color w:val="000000"/>
          <w:sz w:val="20"/>
        </w:rPr>
        <w:t>(b)    That the Lease is in full force and effect.</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5.    Except as expressly modified hereby, all terms and provisions of the Lease are hereby ratified and confirmed and shall remain in full force and effect and binding on the parties hereto.</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6.    The Lease and this Commencement Date Agreement contain all of the terms, covenants, conditions and agreements between the Landlord and the Tenant relating to the subject matter herein. No prior other agreements or understandings pertaining to such matters are valid or of any force and effect.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IN WITNESS WHEREOF, Landlord and Tenant have executed this Commencement Date Agreement and such execution and delivery have been duly authorized.</w:t>
      </w:r>
    </w:p>
    <w:p>
      <w:pPr>
        <w:pStyle w:val="TextBody"/>
        <w:bidi w:val="0"/>
        <w:spacing w:lineRule="auto" w:line="288" w:before="0" w:after="0"/>
        <w:jc w:val="both"/>
        <w:rPr/>
      </w:pPr>
      <w:r>
        <w:rPr>
          <w:rFonts w:ascii="Arial;sans-serif" w:hAnsi="Arial;sans-serif"/>
          <w:b w:val="false"/>
          <w:color w:val="000000"/>
          <w:sz w:val="20"/>
          <w:u w:val="single"/>
        </w:rPr>
        <w:t>TENANT</w:t>
      </w:r>
      <w:r>
        <w:rPr>
          <w:rFonts w:ascii="Arial;sans-serif" w:hAnsi="Arial;sans-serif"/>
          <w:b w:val="false"/>
          <w:color w:val="000000"/>
          <w:sz w:val="20"/>
        </w:rPr>
        <w:t>:                        </w:t>
      </w:r>
      <w:r>
        <w:rPr>
          <w:rFonts w:ascii="Arial;sans-serif" w:hAnsi="Arial;sans-serif"/>
          <w:b w:val="false"/>
          <w:color w:val="000000"/>
          <w:sz w:val="20"/>
          <w:u w:val="single"/>
        </w:rPr>
        <w:t>LANDLORD</w:t>
      </w:r>
      <w:r>
        <w:rPr>
          <w:rFonts w:ascii="Arial;sans-serif" w:hAnsi="Arial;sans-serif"/>
          <w:b w:val="false"/>
          <w:color w:val="000000"/>
          <w:sz w:val="20"/>
        </w:rPr>
        <w:t>:</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971"/>
        <w:gridCol w:w="1733"/>
        <w:gridCol w:w="1734"/>
        <w:gridCol w:w="1395"/>
        <w:gridCol w:w="1395"/>
        <w:gridCol w:w="1977"/>
      </w:tblGrid>
      <w:tr>
        <w:trPr/>
        <w:tc>
          <w:tcPr>
            <w:tcW w:w="1971"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r>
      <w:tr>
        <w:trPr/>
        <w:tc>
          <w:tcPr>
            <w:tcW w:w="5438"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color w:val="000000"/>
                <w:sz w:val="20"/>
              </w:rPr>
            </w:pPr>
            <w:r>
              <w:rPr>
                <w:rFonts w:ascii="Arial;sans-serif" w:hAnsi="Arial;sans-serif"/>
                <w:b/>
                <w:color w:val="000000"/>
                <w:sz w:val="20"/>
              </w:rPr>
              <w:t xml:space="preserve">SI-BONE, INC., </w:t>
            </w:r>
          </w:p>
          <w:p>
            <w:pPr>
              <w:pStyle w:val="TableContents"/>
              <w:bidi w:val="0"/>
              <w:spacing w:lineRule="auto" w:line="288" w:before="0" w:after="0"/>
              <w:jc w:val="both"/>
              <w:rPr>
                <w:rFonts w:ascii="Arial;sans-serif" w:hAnsi="Arial;sans-serif"/>
                <w:b/>
                <w:color w:val="000000"/>
                <w:sz w:val="20"/>
              </w:rPr>
            </w:pPr>
            <w:r>
              <w:rPr>
                <w:rFonts w:ascii="Arial;sans-serif" w:hAnsi="Arial;sans-serif"/>
                <w:b/>
                <w:color w:val="000000"/>
                <w:sz w:val="20"/>
              </w:rPr>
              <w:t>a Delaware corporation</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By ________________________________</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Name: _____________________________</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Its __________________________________</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(Chairman of Board, President or Vice President)</w:t>
            </w:r>
          </w:p>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By ________________________________</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Name: _____________________________</w:t>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Its __________________________________</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(Secretary, Assistant Secretary, CFO or Assistant Treasurer)</w:t>
            </w:r>
          </w:p>
        </w:tc>
        <w:tc>
          <w:tcPr>
            <w:tcW w:w="476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Arial;sans-serif" w:hAnsi="Arial;sans-serif"/>
                <w:b/>
                <w:color w:val="000000"/>
                <w:sz w:val="20"/>
              </w:rPr>
            </w:pPr>
            <w:r>
              <w:rPr>
                <w:rFonts w:ascii="Arial;sans-serif" w:hAnsi="Arial;sans-serif"/>
                <w:b/>
                <w:color w:val="000000"/>
                <w:sz w:val="20"/>
              </w:rPr>
              <w:t>ORCHARD COMMONS, LLC,</w:t>
            </w:r>
          </w:p>
          <w:p>
            <w:pPr>
              <w:pStyle w:val="TableContents"/>
              <w:bidi w:val="0"/>
              <w:spacing w:lineRule="auto" w:line="288" w:before="0" w:after="0"/>
              <w:jc w:val="both"/>
              <w:rPr>
                <w:rFonts w:ascii="Arial;sans-serif" w:hAnsi="Arial;sans-serif"/>
                <w:b/>
                <w:color w:val="000000"/>
                <w:sz w:val="20"/>
              </w:rPr>
            </w:pPr>
            <w:r>
              <w:rPr>
                <w:rFonts w:ascii="Arial;sans-serif" w:hAnsi="Arial;sans-serif"/>
                <w:b/>
                <w:color w:val="000000"/>
                <w:sz w:val="20"/>
              </w:rPr>
              <w:t>a Florida limited liability company</w:t>
            </w:r>
          </w:p>
          <w:p>
            <w:pPr>
              <w:pStyle w:val="TableContents"/>
              <w:bidi w:val="0"/>
              <w:spacing w:before="0" w:after="0"/>
              <w:jc w:val="both"/>
              <w:rPr/>
            </w:pPr>
            <w:r>
              <w:rPr/>
            </w:r>
          </w:p>
          <w:p>
            <w:pPr>
              <w:pStyle w:val="TableContents"/>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By:     MLIA SBAF Manager LLC, </w:t>
            </w:r>
          </w:p>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 xml:space="preserve">a Delaware limited liability company, </w:t>
            </w:r>
          </w:p>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its manager</w:t>
            </w:r>
          </w:p>
          <w:p>
            <w:pPr>
              <w:pStyle w:val="TableContents"/>
              <w:bidi w:val="0"/>
              <w:spacing w:lineRule="auto" w:line="288" w:before="0" w:after="0"/>
              <w:jc w:val="both"/>
              <w:rPr>
                <w:color w:val="000000"/>
              </w:rPr>
            </w:pPr>
            <w:r>
              <w:rPr>
                <w:color w:val="000000"/>
              </w:rPr>
              <w:t> </w:t>
            </w:r>
          </w:p>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 xml:space="preserve">By:     MetLife Investment Management, LLC, </w:t>
            </w:r>
          </w:p>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 xml:space="preserve">a Delaware limited liability company, </w:t>
            </w:r>
          </w:p>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its sole member</w:t>
            </w:r>
          </w:p>
          <w:p>
            <w:pPr>
              <w:pStyle w:val="TableContents"/>
              <w:bidi w:val="0"/>
              <w:spacing w:before="0" w:after="0"/>
              <w:jc w:val="both"/>
              <w:rPr/>
            </w:pPr>
            <w:r>
              <w:rPr/>
            </w:r>
          </w:p>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By:____________________________</w:t>
            </w:r>
          </w:p>
          <w:p>
            <w:pPr>
              <w:pStyle w:val="TableContents"/>
              <w:bidi w:val="0"/>
              <w:spacing w:lineRule="auto" w:line="288" w:before="0" w:after="0"/>
              <w:jc w:val="both"/>
              <w:rPr>
                <w:color w:val="000000"/>
              </w:rPr>
            </w:pPr>
            <w:r>
              <w:rPr>
                <w:color w:val="000000"/>
              </w:rPr>
              <w:t>            </w:t>
            </w:r>
            <w:r>
              <w:rPr>
                <w:rFonts w:ascii="Arial;sans-serif" w:hAnsi="Arial;sans-serif"/>
                <w:b w:val="false"/>
                <w:color w:val="000000"/>
                <w:sz w:val="20"/>
              </w:rPr>
              <w:t>Name: ______________________</w:t>
            </w:r>
          </w:p>
          <w:p>
            <w:pPr>
              <w:pStyle w:val="TableContents"/>
              <w:bidi w:val="0"/>
              <w:spacing w:lineRule="auto" w:line="288" w:before="0" w:after="0"/>
              <w:jc w:val="left"/>
              <w:rPr>
                <w:color w:val="000000"/>
              </w:rPr>
            </w:pPr>
            <w:r>
              <w:rPr>
                <w:color w:val="000000"/>
              </w:rPr>
              <w:t>            </w:t>
            </w:r>
            <w:r>
              <w:rPr>
                <w:rFonts w:ascii="Arial;sans-serif" w:hAnsi="Arial;sans-serif"/>
                <w:b w:val="false"/>
                <w:color w:val="000000"/>
                <w:sz w:val="20"/>
              </w:rPr>
              <w:t>Title: Authorized Signatory and ___________</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491490"/>
                <wp:effectExtent l="0" t="0" r="0" b="0"/>
                <wp:wrapNone/>
                <wp:docPr id="168" name="Frame164"/>
                <a:graphic xmlns:a="http://schemas.openxmlformats.org/drawingml/2006/main">
                  <a:graphicData uri="http://schemas.microsoft.com/office/word/2010/wordprocessingShape">
                    <wps:wsp>
                      <wps:cNvSpPr txBox="1"/>
                      <wps:spPr>
                        <a:xfrm>
                          <a:off x="0" y="0"/>
                          <a:ext cx="6480175" cy="491490"/>
                        </a:xfrm>
                        <a:prstGeom prst="rect"/>
                        <a:solidFill>
                          <a:srgbClr val="FFFFFF"/>
                        </a:solidFill>
                      </wps:spPr>
                      <wps:txb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Rider 1 - Page 1</w:t>
                            </w:r>
                            <w:r>
                              <w:br w:type="page"/>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ACTIVE\316412\774361\81728160.v10-2/20/26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8.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Rider 1 - Page 1</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ACTIVE\316412\774361\81728160.v10-2/20/26</w:t>
                      </w:r>
                    </w:p>
                  </w:txbxContent>
                </v:textbox>
                <w10:wrap type="none"/>
              </v:rect>
            </w:pict>
          </mc:Fallback>
        </mc:AlternateConten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RIDER 2</w:t>
      </w:r>
    </w:p>
    <w:p>
      <w:pPr>
        <w:pStyle w:val="TextBody"/>
        <w:bidi w:val="0"/>
        <w:spacing w:lineRule="auto" w:line="288" w:before="0" w:after="240"/>
        <w:jc w:val="center"/>
        <w:rPr>
          <w:rFonts w:ascii="Arial;sans-serif" w:hAnsi="Arial;sans-serif"/>
          <w:b w:val="false"/>
          <w:color w:val="000000"/>
          <w:sz w:val="20"/>
        </w:rPr>
      </w:pPr>
      <w:r>
        <w:rPr>
          <w:rFonts w:ascii="Arial;sans-serif" w:hAnsi="Arial;sans-serif"/>
          <w:b w:val="false"/>
          <w:color w:val="000000"/>
          <w:sz w:val="20"/>
        </w:rPr>
        <w:t>ADDITIONAL PROVISIONS</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This Rider 2 ("Rider") is attached to and a part of a certain Lease by ORCHARD COMMONS, LLC, a Florida limited liability company, as Landlord, and SI-BONE, INC., a Delaware corporation, as Tenant, for the Premises as described therein (the "Lease").</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SECTION 1.    DEFINED TERMS; FORCE AND EFFECT.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Capitalized terms used in this Rider shall have the same meanings set forth in the Lease except as otherwise specified herein and except for terms capitalized in the ordinary course of punctuation. This Rider is part of the Lease. Should any inconsistency arise between this Rider and any other provision of the Lease as to the specific matters which are the subject of this Rider, the terms and conditions of this Rider shall control.</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SECTION 2.    CONDITION OF PREMISES; DELIVERY; CONSTRUCTION PERIOD; COMMENCEMENT DATE; TERM</w:t>
      </w:r>
    </w:p>
    <w:p>
      <w:pPr>
        <w:pStyle w:val="TextBody"/>
        <w:bidi w:val="0"/>
        <w:spacing w:lineRule="auto" w:line="288" w:before="0" w:after="240"/>
        <w:ind w:left="0" w:right="0" w:firstLine="720"/>
        <w:jc w:val="both"/>
        <w:rPr/>
      </w:pPr>
      <w:r>
        <w:rPr>
          <w:rFonts w:ascii="Arial;sans-serif" w:hAnsi="Arial;sans-serif"/>
          <w:b w:val="false"/>
          <w:color w:val="000000"/>
          <w:sz w:val="20"/>
        </w:rPr>
        <w:t>2.1.    </w:t>
      </w:r>
      <w:r>
        <w:rPr>
          <w:rFonts w:ascii="Arial;sans-serif" w:hAnsi="Arial;sans-serif"/>
          <w:b w:val="false"/>
          <w:color w:val="000000"/>
          <w:sz w:val="20"/>
          <w:u w:val="single"/>
        </w:rPr>
        <w:t>Projected Delivery Date; Delivery Date; Commencement Date: Tenant’s Obligations During Construction Period; Term</w:t>
      </w:r>
      <w:r>
        <w:rPr>
          <w:rFonts w:ascii="Arial;sans-serif" w:hAnsi="Arial;sans-serif"/>
          <w:b w:val="false"/>
          <w:color w:val="000000"/>
          <w:sz w:val="20"/>
        </w:rPr>
        <w:t>.</w:t>
      </w:r>
    </w:p>
    <w:p>
      <w:pPr>
        <w:pStyle w:val="TextBody"/>
        <w:bidi w:val="0"/>
        <w:spacing w:lineRule="auto" w:line="288" w:before="0" w:after="240"/>
        <w:ind w:left="0" w:right="0" w:firstLine="1440"/>
        <w:jc w:val="both"/>
        <w:rPr/>
      </w:pPr>
      <w:r>
        <w:rPr>
          <w:rFonts w:ascii="Arial;sans-serif" w:hAnsi="Arial;sans-serif"/>
          <w:b w:val="false"/>
          <w:color w:val="000000"/>
          <w:sz w:val="20"/>
        </w:rPr>
        <w:t>(a)    Landlord shall tender to Tenant possession of the Premises within five (5) business days after the Lease has been executed by both Tenant and Landlord (the “Projected Delivery Date”). On the date Landlord actually tenders to Tenant possession of the Premises (the “Delivery Date”), all the terms and conditions of the Lease shall apply, and Tenant shall observe and perform all terms and conditions of the Lease, including all that are specified to apply during the Term (for example only, Tenant’s insurance and indemnification obligations), except that during the period (the “Construction Period”) from the Delivery Date until the Commencement Date (defined below), in recognition of Tenant’s construction and installations in, and preparation of, the Premises for the use and occupancy permitted by this Lease: (i) Tenant shall not be obligated to pay Monthly Base Rent, Rent Adjustment Deposits or Rent Adjustments; and (ii) Landlord shall not be obligated to provide services or utilities except if and to the extent expressly provided in Section 4 of the Workletter. The Term of this Lease shall be as shown in Section 1.01(5) of the Basic Lease Provisions and the Commencement Date of the Term shall be the date which is the earlier to occur of (i) Tenant’s commencement of its business operations in the Premises (and its machine shop and warehouse functions) in the Premises, provided that Tenant’s change of address to the Premises shall not, by such action itself, be deemed commencement of its business operations, or (ii) the Projected Commencement Date</w:t>
      </w:r>
      <w:r>
        <w:rPr>
          <w:rFonts w:ascii="Arial;sans-serif" w:hAnsi="Arial;sans-serif"/>
          <w:b/>
          <w:color w:val="000000"/>
          <w:sz w:val="20"/>
        </w:rPr>
        <w:t>.</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Tenant shall notify Landlord in writing within twelve (12) months after Tenant takes possession of the Premises of any defects in the roof or any base Building electrical, mechanical (including the HVAC Unit (defined below)), fire and life safety and plumbing systems located in or serving the Premises (“Defects”). Except for Defects stated in such notice, Tenant shall be conclusively deemed to have accepted the Premises "AS IS" in the condition existing on the date Tenant first takes possession, and to have waived all claims relating to the condition of the Premises. Landlord shall proceed diligently to correct the Defects, at Landlord’s sole cost, stated in such notice unless Landlord disputes the existence of any such Defects. In the event of any dispute as to the existence of any such defects, the reasonable decision of Landlord shall be final and binding on the parties.  No agreement of Landlord to alter, remodel, decorate, clean or improve the Premises or the Real Property and no representation regarding the condition of the Premises or the Real Property has been made by or on behalf of Landlord to Tenant, except as may be specifically stated in this Lease.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Landlord shall provide Tenant with an inspection report on the heating, ventilation and air conditioning system(s) located in or serving the Premises (collectively the “HVAC Unit(s)”) on or before the Commencement Date. Notwithstanding anything in this Lease to the contrary, in the event the inspection report shows the HVAC Unit(s) are no longer operable, in need of substantial repairs (including without limitation, repairs or replacements of compressors, belts, motors, crank cases), or are flagged to be replaced during the initial Term of this Lease, Landlord, at its sole cost and expense, shall replace such HVAC Unit(s).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Prior to the Commencement Date, Landlord agrees to replace, at Landlord’s sole cost, the HVAC unit identified as AC-2A (Carrier - 50AJB025-N-611FF) with a substantially comparable unit. Prior to replacing such unit, Landlord shall deliver a bid (“Landlord’s HVAC Bid”) with the cost to replace the unit to Tenant, and Tenant shall have the option either to have (i) Landlord proceed to replace the unit in accordance with Landlord’s HVAC Bid at Landlord’s sole cost, or (ii) Tenant’s contractor replace the HVAC unit with HVAC unit of equal or greater tonnage of Tenant’s choosing. If Tenant elects to have its own contractor replace the HVAC unit, then Landlord shall pay to Tenant the cost to replace the HVAC unit up to the amount of Landlord’s HVAC Bid within 30 days after Tenant’s request for payment together with an invoice for the cost of the work. </w:t>
      </w:r>
    </w:p>
    <w:p>
      <w:pPr>
        <w:pStyle w:val="TextBody"/>
        <w:bidi w:val="0"/>
        <w:spacing w:lineRule="auto" w:line="288" w:before="0" w:after="240"/>
        <w:ind w:left="0" w:right="0" w:firstLine="1440"/>
        <w:jc w:val="both"/>
        <w:rPr>
          <w:rFonts w:ascii="Arial;sans-serif" w:hAnsi="Arial;sans-serif"/>
          <w:b w:val="false"/>
          <w:color w:val="000000"/>
          <w:sz w:val="20"/>
        </w:rPr>
      </w:pPr>
      <w:r>
        <w:rPr>
          <w:rFonts w:ascii="Arial;sans-serif" w:hAnsi="Arial;sans-serif"/>
          <w:b w:val="false"/>
          <w:color w:val="000000"/>
          <w:sz w:val="20"/>
        </w:rPr>
        <w:t xml:space="preserve">(b)    Upon request by Landlord, Tenant and Landlord shall enter into an agreement (the form of which is attached to this Lease as Rider 1) confirming the Commencement Date and the Expiration Date. If Tenant fails to enter into such agreement within ten (10) business days after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535305"/>
                <wp:effectExtent l="0" t="0" r="0" b="0"/>
                <wp:wrapNone/>
                <wp:docPr id="169" name="Frame165"/>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Rider 2 - Page 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Rider 2 - Page 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Landlord’s request enclosing the proposed agreement or make objections thereto, then the Commencement Date and the Expiration Date shall be the dates designated by Landlord in such agreement.</w:t>
      </w:r>
    </w:p>
    <w:p>
      <w:pPr>
        <w:pStyle w:val="TextBody"/>
        <w:bidi w:val="0"/>
        <w:spacing w:lineRule="auto" w:line="288" w:before="0" w:after="240"/>
        <w:ind w:left="0" w:right="0" w:firstLine="720"/>
        <w:jc w:val="both"/>
        <w:rPr/>
      </w:pPr>
      <w:r>
        <w:rPr>
          <w:rFonts w:ascii="Arial;sans-serif" w:hAnsi="Arial;sans-serif"/>
          <w:b w:val="false"/>
          <w:color w:val="000000"/>
          <w:sz w:val="20"/>
        </w:rPr>
        <w:t>2.2    </w:t>
      </w:r>
      <w:r>
        <w:rPr>
          <w:rFonts w:ascii="Arial;sans-serif" w:hAnsi="Arial;sans-serif"/>
          <w:b w:val="false"/>
          <w:color w:val="000000"/>
          <w:sz w:val="20"/>
          <w:u w:val="single"/>
        </w:rPr>
        <w:t>Failure to Deliver Possession</w:t>
      </w:r>
      <w:r>
        <w:rPr>
          <w:rFonts w:ascii="Arial;sans-serif" w:hAnsi="Arial;sans-serif"/>
          <w:b w:val="false"/>
          <w:color w:val="000000"/>
          <w:sz w:val="20"/>
        </w:rPr>
        <w:t xml:space="preserve">.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    If Landlord shall be unable to give possession of the Premises on the Projected Delivery Date by reason of the following: (i) the holding over or retention of possession of any tenant, tenants or occupants, or (ii) the Landlord Work, if any, is not Substantially Complete, or (iii) for any other reason, then Landlord shall not be subject to any liability for the failure to give possession on said date; however, the Commencement Date shall be delayed day for day. No such failure to deliver possession on the originally scheduled Projected Delivery Date shall affect the validity of this Lease or the obligations of the Tenant hereunder. If Rider 2 or the Workletter requires that any Landlord Work or Tenant Work or both be Substantially Complete as an element of determining when the Delivery Date or Commencement Date occurs, then such work shall be deemed Substantially Complete if the delay in achieving actual Substantial Completion shall be due to any Tenant Delay and/or default on the part of Tenant. </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(b)    Notwithstanding any of the foregoing provisions of Subsection (a) above to the contrary, if Landlord has not tendered possession of the Premises on or before the Sunset Date (defined below), then, as Tenant’s sole and exclusive remedy, Tenant shall have the option to terminate this Lease exercisable by giving written notice to Landlord within three (3) business days after the Sunset Date. If Tenant does not timely give notice of its election to terminate this Lease as aforesaid and delivery of possession does not occur on or before the date which is thirty (30) days following the Sunset Date, then Tenant shall again have such option to terminate this Lease in the manner described above and such date shall constitute the new Sunset Date; it being the intention of the parties that Tenant shall have a recurring termination option after each such thirty (30) day period following the initial Sunset Date if Landlord has not tendered possession by the end of each such thirty (30) day period. As used in this Lease, "Sunset Date" means the initial Sunset Date which is sixty (60) days after the Projected Delivery Date and any succeeding new Sunset Dates (at thirty (30) day intervals after the initial Sunset Date), and each such Sunset Date, as applicable, shall be extended by the number of days of delay due to Force Majeure plus the number of days of Tenant Delay, if any. On or before the Sunset Date, if such date includes any period of Force Majeure or Tenant Delay, Landlord shall give Tenant written notice of the resulting calendar date which is the Sunset Date.</w:t>
      </w:r>
    </w:p>
    <w:p>
      <w:pPr>
        <w:pStyle w:val="TextBody"/>
        <w:bidi w:val="0"/>
        <w:spacing w:lineRule="auto" w:line="288" w:before="0" w:after="240"/>
        <w:jc w:val="both"/>
        <w:rPr>
          <w:rFonts w:ascii="Arial;sans-serif" w:hAnsi="Arial;sans-serif"/>
          <w:b/>
          <w:color w:val="000000"/>
          <w:sz w:val="20"/>
        </w:rPr>
      </w:pPr>
      <w:r>
        <w:rPr>
          <w:rFonts w:ascii="Arial;sans-serif" w:hAnsi="Arial;sans-serif"/>
          <w:b/>
          <w:color w:val="000000"/>
          <w:sz w:val="20"/>
        </w:rPr>
        <w:t>SECTION 3    OPTION TO EXTEND.</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(a)    Landlord hereby grants Tenant a single option to extend the Term of the Lease for an additional period of five (5) years (such period may be referred to as the "Option Term"), as to the entire Premises as it then exists, upon and subject to the terms and conditions of this Section (the "Option To Extend"), and provided that at the time of exercise of such option (and each Option, if more than one Option is granted): Tenant must be conducting regular, active, ongoing business in, and be in occupancy (and occupancy by a subtenant, licensee or other party permitted or suffered by Tenant shall not satisfy such condition other than by a Permitted Transferee) of at least seventy-five percent (75%) of the Premises.</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(b)    Tenant's election (the "Election Notice") to exercise the Option To Extend must be given to Landlord in writing no earlier than the date which is fifteen (15) months prior to the Expiration Date and no later than the date which is nine (9) months prior to the Expiration Date. If Tenant either fails or elects not to exercise the Option to Extend by not timely giving its Election Notice, then the Option to Extend shall be null and void, including, if more than one Option is granted, the then applicable Option to Extend and all further Options to Extend.</w:t>
      </w:r>
    </w:p>
    <w:p>
      <w:pPr>
        <w:pStyle w:val="TextBody"/>
        <w:bidi w:val="0"/>
        <w:spacing w:lineRule="auto" w:line="288" w:before="0" w:after="240"/>
        <w:ind w:left="0" w:right="0" w:firstLine="720"/>
        <w:jc w:val="both"/>
        <w:rPr/>
      </w:pPr>
      <w:r>
        <w:rPr>
          <w:rFonts w:ascii="Arial;sans-serif" w:hAnsi="Arial;sans-serif"/>
          <w:b w:val="false"/>
          <w:color w:val="000000"/>
          <w:sz w:val="20"/>
        </w:rPr>
        <w:t xml:space="preserve">(c)    The Option Term (and each Option Term, if more than one Option is granted) shall commence immediately after the expiration of the preceding Term of the Lease. Tenant's leasing of the Premises during the Option Term shall be upon and subject to the same terms and conditions contained in the Lease except that (i) Tenant shall pay the "Option Term Rent", defined and determined in the manner set forth in the immediately following Subsection; (ii) the Security Deposit shall be increased to an amount that is the same percentage or proportion of Option Term Rent as the prior amount of Security Deposit was in relation to Rent for the Term prior to the Option Term, but in no event shall the Security Deposit be decreased; and (iii) Tenant shall accept the Premises in its "as is" condition without any obligation of Landlord to repaint, remodel, repair, improve or alter the Premises or to provide Tenant any allowance therefor, except to the extent tenants leasing space in Comparable Transactions receive an allowance pursuant to the definition of Fair Market Rental Rate defined in </w:t>
      </w:r>
      <w:r>
        <w:rPr>
          <w:rFonts w:ascii="Arial;sans-serif" w:hAnsi="Arial;sans-serif"/>
          <w:b w:val="false"/>
          <w:color w:val="000000"/>
          <w:sz w:val="20"/>
          <w:u w:val="single"/>
        </w:rPr>
        <w:t>Exhibit E</w:t>
      </w:r>
      <w:r>
        <w:rPr>
          <w:color w:val="000000"/>
        </w:rPr>
        <w:t xml:space="preserve"> </w:t>
      </w:r>
      <w:r>
        <w:rPr>
          <w:rFonts w:ascii="Arial;sans-serif" w:hAnsi="Arial;sans-serif"/>
          <w:b w:val="false"/>
          <w:color w:val="000000"/>
          <w:sz w:val="20"/>
        </w:rPr>
        <w:t>hereto, provided, however, Landlord by notice given to Tenant within thirty (30) days after final determination of the Fair Market Rental Rate, may elect to provide, in lieu of such allowance for alterations to the Premises, a rent credit equal to the amount of the allowance that would have otherwise been given, credited toward the rents applicable only to the Premises and due starting after such rent obligation commences. If Tenant timely and properly exercises the Option To Extend, references in the Lease to the Term shall be deemed to mean the preceding Term as extended by the Option Term unless the context clearly requires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535305"/>
                <wp:effectExtent l="0" t="0" r="0" b="0"/>
                <wp:wrapNone/>
                <wp:docPr id="170" name="Frame166"/>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Rider 2 - Page 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Rider 2 - Page 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Arial;sans-serif" w:hAnsi="Arial;sans-serif"/>
          <w:b w:val="false"/>
          <w:color w:val="000000"/>
          <w:sz w:val="20"/>
        </w:rPr>
        <w:t xml:space="preserve">(d)    The Option Term Rent shall mean the sum of the Monthly Base Rent at the Fair Market Rental Rate (as defined in </w:t>
      </w:r>
      <w:r>
        <w:rPr>
          <w:rFonts w:ascii="Arial;sans-serif" w:hAnsi="Arial;sans-serif"/>
          <w:b w:val="false"/>
          <w:color w:val="000000"/>
          <w:sz w:val="20"/>
          <w:u w:val="single"/>
        </w:rPr>
        <w:t>Exhibit E</w:t>
      </w:r>
      <w:r>
        <w:rPr>
          <w:rFonts w:ascii="Arial;sans-serif" w:hAnsi="Arial;sans-serif"/>
          <w:b w:val="false"/>
          <w:color w:val="000000"/>
          <w:sz w:val="20"/>
        </w:rPr>
        <w:t xml:space="preserve">) plus Rent Adjustments and/or certain Operating Expenses (if applicable, based upon a step-up to change the base year or base amount for calculation of Operating Expenses in connection with determination of the Fair Market Rental Rate) plus other charges pursuant to the Lease payable to Landlord. The determination of Fair Market Rental Rate and Option Term Rent shall be made by Landlord, in the good faith exercise of Landlord's business judgment. Within forty-five (45) days after Tenant's exercise of the Option To Extend, Landlord shall notify Tenant of Landlord's determination of the Fair Market Rental Rate and Option Term Rent for the Premises. Tenant may, within fifteen (15) days after receipt thereof, deliver to Landlord a written notice either: (i) accepting Landlord's determination, in which case the extension shall be effective and binding (subject to Subsection (f) below) at the accepted rate; or (ii) setting forth Tenant's good faith estimate, in which case Landlord and Tenant will promptly confer and attempt to agree upon the Fair Market Rental Rate and Option Term Rent. Tenant's failure to timely deliver such notice within such fifteen (15) day period shall be deemed its cancellation of the Option. In the event Tenant has delivered notice setting forth Tenant’s different estimate, but no agreement in writing between Tenant and Landlord on Fair Market Rental Rate and Option Term Rent is reached within thirty (30) days after Landlord's receipt of Tenant's estimate, the Fair Market Rental Rate shall be determined in accordance with the terms of </w:t>
      </w:r>
      <w:r>
        <w:rPr>
          <w:rFonts w:ascii="Arial;sans-serif" w:hAnsi="Arial;sans-serif"/>
          <w:b w:val="false"/>
          <w:color w:val="000000"/>
          <w:sz w:val="20"/>
          <w:u w:val="single"/>
        </w:rPr>
        <w:t>Exhibit E</w:t>
      </w:r>
      <w:r>
        <w:rPr>
          <w:rFonts w:ascii="Arial;sans-serif" w:hAnsi="Arial;sans-serif"/>
          <w:b w:val="false"/>
          <w:color w:val="000000"/>
          <w:sz w:val="20"/>
        </w:rPr>
        <w:t>. To the extent that Tenant pays directly the utility or service provider for utilities or services which Tenant is to obtain directly pursuant to the Lease, Tenant shall continue to pay such amounts, but such amounts shall not be counted as part of the Preceding Rent or the Fair Market Rental Rate as used herein.</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(e)    Promptly after final determination of the Fair Market Rental Rate, Landlord shall prepare a memorandum confirming the specific dates, amounts and terms of the extension for the Option Term in accordance with the terms and conditions of this Option to Extend, in the form of an amendment to the Lease, and Tenant shall execute such amendment within ten (10) business days after Landlord and Tenant agree to the form of the proposed amendment and Landlord shall execute it promptly after Tenant. Notwithstanding any of the foregoing to the contrary, the failure of Landlord to prepare such amendment or of either party to execute an amendment shall not affect the validity and effectiveness of the extension for the Option Term in accordance with the terms and conditions of this Option to Extend.</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(f)    Upon the occurrence of any of the following events, Landlord shall have the option, exercisable at any time prior to commencement of the Option Term, to terminate all of the provisions of this Section with respect to the Option to Extend, whereupon any prior or subsequent exercise of this Option to Extend shall be of no force or effect: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(i)Tenant's failure to timely exercise or timely to perform the Option to Extend in strict accordance with the provisions of this Section.</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(ii)The existence at the time Tenant exercises the Option to Extend or at the commencement of the Option Term of a Default on the part of Tenant under the Lease or of any state of facts which with the passage of time or the giving of notice, or both, would constitute such a Default.</w:t>
      </w:r>
    </w:p>
    <w:p>
      <w:pPr>
        <w:pStyle w:val="TextBody"/>
        <w:bidi w:val="0"/>
        <w:spacing w:lineRule="auto" w:line="288" w:before="0" w:after="240"/>
        <w:jc w:val="both"/>
        <w:rPr>
          <w:rFonts w:ascii="Arial;sans-serif" w:hAnsi="Arial;sans-serif"/>
          <w:b w:val="false"/>
          <w:color w:val="000000"/>
          <w:sz w:val="20"/>
        </w:rPr>
      </w:pPr>
      <w:r>
        <w:rPr>
          <w:rFonts w:ascii="Arial;sans-serif" w:hAnsi="Arial;sans-serif"/>
          <w:b w:val="false"/>
          <w:color w:val="000000"/>
          <w:sz w:val="20"/>
        </w:rPr>
        <w:t>(iii)Tenant's third Default under the Lease prior to the commencement of the Option Term, notwithstanding that all such Defaults may subsequently be cured.</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(g)    Without limiting the generality of any provision of the Lease, time shall be of the essence with respect to all of the provisions of this Section.</w:t>
      </w:r>
    </w:p>
    <w:p>
      <w:pPr>
        <w:pStyle w:val="TextBody"/>
        <w:bidi w:val="0"/>
        <w:spacing w:lineRule="auto" w:line="288" w:before="0" w:after="240"/>
        <w:ind w:left="0" w:right="0" w:firstLine="720"/>
        <w:jc w:val="both"/>
        <w:rPr>
          <w:rFonts w:ascii="Arial;sans-serif" w:hAnsi="Arial;sans-serif"/>
          <w:b w:val="false"/>
          <w:color w:val="000000"/>
          <w:sz w:val="20"/>
        </w:rPr>
      </w:pPr>
      <w:r>
        <w:rPr>
          <w:rFonts w:ascii="Arial;sans-serif" w:hAnsi="Arial;sans-serif"/>
          <w:b w:val="false"/>
          <w:color w:val="000000"/>
          <w:sz w:val="20"/>
        </w:rPr>
        <w:t>(h)    This Option to Extend is personal to SI-BONE, INC., a Delaware corporation, and may not be used by, and shall not be transferable or assignable (voluntarily or involuntarily) to any person or entity (other than a Permitted Transferee which is an assignee of the Lease and which has satisfied the requirements of Sections 10.01 and 10.05 of this Lease).</w:t>
      </w:r>
    </w:p>
    <w:p>
      <w:pPr>
        <w:pStyle w:val="TextBody"/>
        <w:bidi w:val="0"/>
        <w:spacing w:lineRule="auto" w:line="319" w:before="0" w:after="200"/>
        <w:jc w:val="both"/>
        <w:rPr/>
      </w:pPr>
      <w:r>
        <w:rPr>
          <w:rFonts w:ascii="Arial;sans-serif" w:hAnsi="Arial;sans-serif"/>
          <w:b/>
          <w:color w:val="000000"/>
          <w:sz w:val="20"/>
        </w:rPr>
        <w:t>SECTION 4    OFFER RIGHT</w:t>
      </w:r>
      <w:r>
        <w:rPr>
          <w:rFonts w:ascii="Arial;sans-serif" w:hAnsi="Arial;sans-serif"/>
          <w:b w:val="false"/>
          <w:color w:val="000000"/>
          <w:sz w:val="20"/>
        </w:rPr>
        <w:t>.</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(a)    Landlord hereby grants Tenant a one-time right to lease the Offer Space (defined below) if and to the extent such space is Available (defined below) during the period beginning on the date of execution of this Lease and expiring eighteen (18) months prior to the Expiration Date of the Term (the "Offer Period"), upon and subject to the terms and conditions of this Section (the "Offer Right"), and provided that at the time of exercise of such right: Tenant or a Permitted Transferee must be conducting regular, active, ongoing business in, and be in occupancy (and occupancy by a subtenant, licensee or other party permitted or suffered by Tenant shall not satisfy such condition) of the entire Premises.</w:t>
      </w:r>
    </w:p>
    <w:p>
      <w:pPr>
        <w:pStyle w:val="TextBody"/>
        <w:bidi w:val="0"/>
        <w:spacing w:before="0" w:after="0"/>
        <w:jc w:val="both"/>
        <w:rPr/>
      </w:pPr>
      <w:r>
        <w:rPr/>
      </w:r>
    </w:p>
    <w:p>
      <w:pPr>
        <w:pStyle w:val="TextBody"/>
        <w:bidi w:val="0"/>
        <w:spacing w:lineRule="auto" w:line="288"/>
        <w:jc w:val="both"/>
        <w:rPr>
          <w:color w:val="000000"/>
        </w:rPr>
      </w:pPr>
      <w:r>
        <w:rPr>
          <w:color w:val="000000"/>
        </w:rPr>
        <w:t>    </w:t>
      </w:r>
      <w:r>
        <w:rPr>
          <w:rFonts w:ascii="Arial;sans-serif" w:hAnsi="Arial;sans-serif"/>
          <w:b w:val="false"/>
          <w:color w:val="000000"/>
          <w:sz w:val="20"/>
        </w:rPr>
        <w:t xml:space="preserve">(b)    “Offer Space” shall mean the leaseable space comprising approximately 28,531 rentable square feet on the ground floor of the Building that is contiguous to the Premises. The term "Available" shall mean that the space in question is either: (1) vacant and free and clear of all “Prior Rights” (defined below); or (2) space as to which Landlord has received a proposal, or Landlord is making a proposal, for a lease or rights of any nature applicable in the future when such space would be free and clear of all Prior Rights. The term “Prior Rights” shall mean rights of other parties, including without limitation, a lease, lease option, or option or other right of extension, renewal, expansion, refusal, negotiation or other right, either: (i) pursuant to any lease or written agreement which is entered into on or before the beginning of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535305"/>
                <wp:effectExtent l="0" t="0" r="0" b="0"/>
                <wp:wrapNone/>
                <wp:docPr id="171" name="Frame167"/>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Rider 2 - Page 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Rider 2 - Page 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Offer Period; or (ii) pursuant to any extensions or renewal of any of the foregoing, whether or not set forth in such lease or written agreement, and Landlord shall be free at any time to enter such extension or renewal; or (iii) pursuant to any amendment or modification of any of the foregoing, and Landlord shall be free at any time to enter such amendment or modification.</w:t>
      </w:r>
    </w:p>
    <w:p>
      <w:pPr>
        <w:pStyle w:val="TextBody"/>
        <w:bidi w:val="0"/>
        <w:spacing w:before="0" w:after="0"/>
        <w:jc w:val="both"/>
        <w:rPr/>
      </w:pPr>
      <w:r>
        <w:rPr/>
      </w:r>
    </w:p>
    <w:p>
      <w:pPr>
        <w:pStyle w:val="TextBody"/>
        <w:bidi w:val="0"/>
        <w:spacing w:lineRule="auto" w:line="288" w:before="0" w:after="200"/>
        <w:jc w:val="both"/>
        <w:rPr>
          <w:color w:val="000000"/>
        </w:rPr>
      </w:pPr>
      <w:r>
        <w:rPr>
          <w:color w:val="000000"/>
        </w:rPr>
        <w:t>    </w:t>
      </w:r>
      <w:r>
        <w:rPr>
          <w:rFonts w:ascii="Arial;sans-serif" w:hAnsi="Arial;sans-serif"/>
          <w:b w:val="false"/>
          <w:color w:val="000000"/>
          <w:sz w:val="20"/>
        </w:rPr>
        <w:t>(c)    Nothing herein shall be deemed to limit or prevent Landlord from marketing, discussing or negotiating with any other party for a lease of, or rights of any nature as to, any part of the Offer Space, but during the Offer Period before Landlord makes any written proposal to any other party (other than a party with Prior Rights) for any Offer Space which becomes Available (including giving a written response to any proposal or offer received from another party), or contemporaneously with making any such proposal, and in any event within thirty (30) days after such space becomes vacant and free and clear of all “Prior Rights”, Landlord shall give Tenant written notice ("Landlord's Notice"), which notice identifies the space Available, its rentable area, Landlord’s estimate of the projected date such space will be vacant and deliverable to Tenant, Landlord’s estimate of the applicable Fair Market Rental Rate, as defined in Exhibit E hereto (“Landlord’s Estimate”), and if applicable, base year or base amount (if different from that for the rest of the Premises) with respect to Operating Expenses. For the period of ten (10) business days after Landlord gives Landlord's Notice (the "Election Notice Period"), Tenant shall have the right to give Landlord irrevocable written notice (“Election Notice”) of Tenant’s election to lease all (and not less than all) the Offer Space identified in Landlord’s Notice.</w:t>
      </w:r>
    </w:p>
    <w:p>
      <w:pPr>
        <w:pStyle w:val="TextBody"/>
        <w:bidi w:val="0"/>
        <w:spacing w:lineRule="auto" w:line="288" w:before="0" w:after="200"/>
        <w:jc w:val="both"/>
        <w:rPr/>
      </w:pPr>
      <w:r>
        <w:rPr>
          <w:color w:val="000000"/>
        </w:rPr>
        <w:t>    </w:t>
      </w:r>
      <w:r>
        <w:rPr>
          <w:rFonts w:ascii="Arial;sans-serif" w:hAnsi="Arial;sans-serif"/>
          <w:b w:val="false"/>
          <w:color w:val="000000"/>
          <w:sz w:val="20"/>
        </w:rPr>
        <w:t xml:space="preserve">(d)    In the event Tenant duly and timely delivers its Election Notice to Landlord, such exercise shall thereby create and constitute a binding lease of the Offer Space by and to Tenant, subject to suspension or termination of such right pursuant to Subsection (h) below, upon and subject to the same terms and conditions contained in the Lease except as follows: (i) Tenant shall accept the Offer Space in its then “AS IS” condition, but broom clean and free of all tenants or occupants, without any obligation of Landlord to repaint, remodel, improve or alter such space for Tenant’s occupancy or to provide Tenant any allowance therefor except to the extent tenants leasing space in Comparable Transactions receive an allowance pursuant to the definition of Fair Market Rental Rate, provided, however, Landlord, by notice given to Tenant within thirty (30) days after receipt of Tenant’s Election Notice, may elect to provide, in lieu of such allowance for alterations to the Offer Space, a rent credit equal to the amount of the allowance that would have otherwise been given, credited toward the rents applicable only to the Offer Space and due starting after such rent obligation commences; (ii) Landlord shall deliver the Offer Space to Tenant no later than thirty (30) days after the later of the date on which Landlord regains possession of such space or the date on which Landlord receives Tenant’s Election Notice; (iii) upon such delivery, the Offer Space shall be part of the Premises under the Lease, such that the term “Premises” in the Lease thereafter shall mean both the space leased immediately prior to such delivery and the Offer Space, and shall be leased for the remaining term of the Lease (including any extension pursuant to the Option to Extend); (iv) starting on such delivery date, with respect to the Offer Space Tenant shall pay Monthly Base Rent equal to the Fair Market Rental Rate, with Fair Market Rental Rate defined and determined as set forth herein and in </w:t>
      </w:r>
      <w:r>
        <w:rPr>
          <w:rFonts w:ascii="Arial;sans-serif" w:hAnsi="Arial;sans-serif"/>
          <w:b w:val="false"/>
          <w:color w:val="000000"/>
          <w:sz w:val="20"/>
          <w:u w:val="single"/>
        </w:rPr>
        <w:t>Exhibit E</w:t>
      </w:r>
      <w:r>
        <w:rPr>
          <w:rFonts w:ascii="Arial;sans-serif" w:hAnsi="Arial;sans-serif"/>
          <w:b w:val="false"/>
          <w:color w:val="000000"/>
          <w:sz w:val="20"/>
        </w:rPr>
        <w:t>; (v) starting on such delivery date, with respect to the Offer Space Tenant shall additionally pay Tenant’s Share of Operating Expenses or increases in Operating Expenses, as applicable under the Lease, with Tenant’s Share recalculated to reflect addition of the Offer Space, or with a separate Tenant’s Share for the Offer Space if the Lease provides for a base year or base amount for calculation of Operating Expenses and if the base year or base amount for the Offer Space is different from that for the rest of the Premises; (vi) starting on such delivery date, Tenant shall additionally pay other charges payable by Tenant for utilities and otherwise with respect to the Offer Space; (vii) the number of unreserved parking spaces available to Tenant shall increase at the rate of 3.5 spaces per one thousand (1,000) square feet of Rentable Area of the Premises; and (vii) the Security Deposit shall be increased to an amount that is the same percentage or proportion of Rent (after including Rent for the Offer Space) as the prior amount of Security Deposit was in relation to prior Rent.</w:t>
      </w:r>
    </w:p>
    <w:p>
      <w:pPr>
        <w:pStyle w:val="TextBody"/>
        <w:bidi w:val="0"/>
        <w:spacing w:lineRule="auto" w:line="288" w:before="0" w:after="200"/>
        <w:jc w:val="both"/>
        <w:rPr/>
      </w:pPr>
      <w:r>
        <w:rPr>
          <w:color w:val="000000"/>
        </w:rPr>
        <w:t>    </w:t>
      </w:r>
      <w:r>
        <w:rPr>
          <w:rFonts w:ascii="Arial;sans-serif" w:hAnsi="Arial;sans-serif"/>
          <w:b w:val="false"/>
          <w:color w:val="000000"/>
          <w:sz w:val="20"/>
        </w:rPr>
        <w:t xml:space="preserve">(e)    Landlord’s Estimate set forth in Landlord’s Notice shall be conclusive and binding as the Monthly Base Rent payable for the Offer Space in Landlord’s Notice unless Tenant notifies Landlord in Tenant’s Election Notice that Tenant elects to lease the subject Offer Space but disputes Landlord’s Estimate and specifies in detail the reasons therefor and states Tenant’s good faith estimate of the Fair Market Rental Rate. If the dispute is not resolved within ten (10) business days after Landlord receives Tenant’s Election Notice as described above, then the Fair Market Rental Rate shall be determined in accordance with the terms of </w:t>
      </w:r>
      <w:r>
        <w:rPr>
          <w:rFonts w:ascii="Arial;sans-serif" w:hAnsi="Arial;sans-serif"/>
          <w:b w:val="false"/>
          <w:color w:val="000000"/>
          <w:sz w:val="20"/>
          <w:u w:val="single"/>
        </w:rPr>
        <w:t>Exhibit E</w:t>
      </w:r>
      <w:r>
        <w:rPr>
          <w:rFonts w:ascii="Arial;sans-serif" w:hAnsi="Arial;sans-serif"/>
          <w:b w:val="false"/>
          <w:color w:val="000000"/>
          <w:sz w:val="20"/>
        </w:rPr>
        <w:t>.</w:t>
      </w:r>
    </w:p>
    <w:p>
      <w:pPr>
        <w:pStyle w:val="TextBody"/>
        <w:bidi w:val="0"/>
        <w:spacing w:lineRule="auto" w:line="288" w:before="0" w:after="200"/>
        <w:jc w:val="both"/>
        <w:rPr>
          <w:color w:val="000000"/>
        </w:rPr>
      </w:pPr>
      <w:r>
        <w:rPr>
          <w:color w:val="000000"/>
        </w:rPr>
        <w:t>    </w:t>
      </w:r>
      <w:r>
        <w:rPr>
          <w:rFonts w:ascii="Arial;sans-serif" w:hAnsi="Arial;sans-serif"/>
          <w:b w:val="false"/>
          <w:color w:val="000000"/>
          <w:sz w:val="20"/>
        </w:rPr>
        <w:t>(f)    Promptly after final determination of the Fair Market Rental Rate, Landlord shall prepare a memorandum confirming the specific dates, amounts and terms of the lease of the subject Offer Space in accordance with the terms and conditions of this Offer Right, in the form of an amendment to the Lease. Tenant shall execute such amendment within ten (10) business days after receipt of the proposed amendment and Landlord shall execute it promptly after Tenant. Notwithstanding any of the foregoing to the contrary, the failure of Landlord to prepare such amendment or of either party to execute an amendment shall not affect the validity and effectiveness of the lease of the Offer Space in accordance with the terms and conditions of this Offer Right.</w:t>
      </w:r>
    </w:p>
    <w:p>
      <w:pPr>
        <w:pStyle w:val="TextBody"/>
        <w:bidi w:val="0"/>
        <w:spacing w:lineRule="auto" w:line="288" w:before="0" w:after="200"/>
        <w:jc w:val="both"/>
        <w:rPr>
          <w:color w:val="000000"/>
        </w:rPr>
      </w:pPr>
      <w:r>
        <w:rPr>
          <w:color w:val="000000"/>
        </w:rPr>
        <w:t>    </w:t>
      </w:r>
      <w:r>
        <w:rPr>
          <w:rFonts w:ascii="Arial;sans-serif" w:hAnsi="Arial;sans-serif"/>
          <w:b w:val="false"/>
          <w:color w:val="000000"/>
          <w:sz w:val="20"/>
        </w:rPr>
        <w:t xml:space="preserve">(g)    If Tenant either fails or elects not to exercise its Offer Right as to the Offer Space covered by Landlord's Notice by not giving its Election Notice within the Election Notice Period, then Tenant's Offer Right shall terminate, and be null and void, as to the subject space identified in the applicable Landlord’s Notice (but not as to any Offer Space subject to this Offer Right which has not become Available and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535305"/>
                <wp:effectExtent l="0" t="0" r="0" b="0"/>
                <wp:wrapNone/>
                <wp:docPr id="172" name="Frame168"/>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Rider 2 - Page 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Rider 2 - Page 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been included in a Landlord’s Notice), and at any time thereafter Landlord shall be free to lease and/or otherwise grant options or rights to the subject space on any terms and conditions whatsoever free and clear of the Offer Right.</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(h)    During any period that Tenant does not occupy at least seventy-five percent (75%) of the Premises or that there is an uncured Default by Tenant under the Lease, or any state of facts which with the passage of time or the giving of notice, or both, would constitute such a default, the Offer Right shall not apply and shall be ineffective and suspended, and Landlord shall not be obligated to give a Landlord’s Notice as to any space which becomes Available during such suspension period, and Landlord shall not be obligated to negotiate (or enter any amendment) with respect to any Offer Space which was the subject of a pending Landlord’s Notice for which an amendment has not been fully executed, and during such suspension period Landlord shall be free to lease and/or otherwise grant options or rights to such space on any terms and conditions whatsoever free and clear of the Offer Right. The Offer Right shall terminate upon any of the following: (1) the termination of the Lease upon the occurrence of a Tenant default or otherwise; (2) Landlord's recovery of possession of the Premises upon the occurrence of a Tenant default or otherwise; (3) rejection of the Lease in any bankruptcy proceeding; or (4) the failure of Tenant timely to exercise, give any notices, perform or agree, within any applicable time period specified above, with respect to any Offer Space which was the subject of any Landlord’s Notice.</w:t>
      </w:r>
    </w:p>
    <w:p>
      <w:pPr>
        <w:pStyle w:val="TextBody"/>
        <w:bidi w:val="0"/>
        <w:spacing w:before="0" w:after="0"/>
        <w:jc w:val="both"/>
        <w:rPr/>
      </w:pPr>
      <w:r>
        <w:rPr/>
      </w:r>
    </w:p>
    <w:p>
      <w:pPr>
        <w:pStyle w:val="TextBody"/>
        <w:bidi w:val="0"/>
        <w:spacing w:lineRule="auto" w:line="288" w:before="0" w:after="240"/>
        <w:jc w:val="both"/>
        <w:rPr>
          <w:color w:val="000000"/>
        </w:rPr>
      </w:pPr>
      <w:r>
        <w:rPr>
          <w:color w:val="000000"/>
        </w:rPr>
        <w:t>    </w:t>
      </w:r>
      <w:r>
        <w:rPr>
          <w:rFonts w:ascii="Arial;sans-serif" w:hAnsi="Arial;sans-serif"/>
          <w:b w:val="false"/>
          <w:color w:val="000000"/>
          <w:sz w:val="20"/>
        </w:rPr>
        <w:t>(i)    The Offer Right is personal to SI-BONE, INC., a Delaware corporation, and may not be used by, and shall not be transferable or assignable (voluntarily or involuntarily) to any person or entity (other than a Permitted Transferee which is an assignee of the Lease and which has satisfied the requirements of Sections 10.01 and 10.05 of this Lease).</w:t>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 xml:space="preserve">SECTION 5    TENANT SIGNAGE &amp; EXTERIOR SIGNAGE </w:t>
      </w:r>
    </w:p>
    <w:p>
      <w:pPr>
        <w:pStyle w:val="TextBody"/>
        <w:bidi w:val="0"/>
        <w:spacing w:lineRule="auto" w:line="288" w:before="0" w:after="200"/>
        <w:jc w:val="both"/>
        <w:rPr/>
      </w:pPr>
      <w:r>
        <w:rPr>
          <w:color w:val="000000"/>
        </w:rPr>
        <w:t>    </w:t>
      </w:r>
      <w:r>
        <w:rPr>
          <w:rFonts w:ascii="Arial;sans-serif" w:hAnsi="Arial;sans-serif"/>
          <w:b w:val="false"/>
          <w:color w:val="000000"/>
          <w:sz w:val="20"/>
        </w:rPr>
        <w:t>(a)    </w:t>
      </w:r>
      <w:r>
        <w:rPr>
          <w:rFonts w:ascii="Arial;sans-serif" w:hAnsi="Arial;sans-serif"/>
          <w:b w:val="false"/>
          <w:color w:val="000000"/>
          <w:sz w:val="20"/>
          <w:u w:val="single"/>
        </w:rPr>
        <w:t>Signage Generally</w:t>
      </w:r>
      <w:r>
        <w:rPr>
          <w:rFonts w:ascii="Arial;sans-serif" w:hAnsi="Arial;sans-serif"/>
          <w:b w:val="false"/>
          <w:color w:val="000000"/>
          <w:sz w:val="20"/>
        </w:rPr>
        <w:t>. Except as expressly provided herein, Tenant shall not install any signage within the Project, the Building or the Premises (if visible from the exterior of the Premises) without obtaining the prior written approval of Landlord, and Tenant shall be responsible for procurement, installation, maintenance and removal of any such signage installed by Tenant, and all necessary repairs and restoration to the Premises and the Building, and all costs in connection therewith. Any such signage shall comply with Landlord's current Building signage standards, any applicable recorded covenants, conditions and restrictions, and all Laws, and shall be consistent with class A standards.</w:t>
      </w:r>
    </w:p>
    <w:p>
      <w:pPr>
        <w:pStyle w:val="TextBody"/>
        <w:bidi w:val="0"/>
        <w:spacing w:lineRule="auto" w:line="288" w:before="0" w:after="200"/>
        <w:jc w:val="both"/>
        <w:rPr/>
      </w:pPr>
      <w:r>
        <w:rPr>
          <w:color w:val="000000"/>
        </w:rPr>
        <w:t>    </w:t>
      </w:r>
      <w:r>
        <w:rPr>
          <w:rFonts w:ascii="Arial;sans-serif" w:hAnsi="Arial;sans-serif"/>
          <w:b w:val="false"/>
          <w:color w:val="000000"/>
          <w:sz w:val="20"/>
        </w:rPr>
        <w:t>(b)    </w:t>
      </w:r>
      <w:r>
        <w:rPr>
          <w:rFonts w:ascii="Arial;sans-serif" w:hAnsi="Arial;sans-serif"/>
          <w:b w:val="false"/>
          <w:color w:val="000000"/>
          <w:sz w:val="20"/>
          <w:u w:val="single"/>
        </w:rPr>
        <w:t>Exterior Sign Right</w:t>
      </w:r>
      <w:r>
        <w:rPr>
          <w:rFonts w:ascii="Arial;sans-serif" w:hAnsi="Arial;sans-serif"/>
          <w:b w:val="false"/>
          <w:color w:val="000000"/>
          <w:sz w:val="20"/>
        </w:rPr>
        <w:t>.</w:t>
      </w:r>
    </w:p>
    <w:p>
      <w:pPr>
        <w:pStyle w:val="TextBody"/>
        <w:bidi w:val="0"/>
        <w:spacing w:lineRule="auto" w:line="288" w:before="0" w:after="200"/>
        <w:jc w:val="both"/>
        <w:rPr/>
      </w:pPr>
      <w:r>
        <w:rPr>
          <w:color w:val="000000"/>
        </w:rPr>
        <w:t>    </w:t>
      </w:r>
      <w:r>
        <w:rPr>
          <w:rFonts w:ascii="Arial;sans-serif" w:hAnsi="Arial;sans-serif"/>
          <w:b w:val="false"/>
          <w:color w:val="000000"/>
          <w:sz w:val="20"/>
        </w:rPr>
        <w:t>(1)    </w:t>
      </w:r>
      <w:r>
        <w:rPr>
          <w:rFonts w:ascii="Arial;sans-serif" w:hAnsi="Arial;sans-serif"/>
          <w:b w:val="false"/>
          <w:color w:val="000000"/>
          <w:sz w:val="20"/>
          <w:u w:val="single"/>
        </w:rPr>
        <w:t>Grant of Right</w:t>
      </w:r>
      <w:r>
        <w:rPr>
          <w:rFonts w:ascii="Arial;sans-serif" w:hAnsi="Arial;sans-serif"/>
          <w:b w:val="false"/>
          <w:color w:val="000000"/>
          <w:sz w:val="20"/>
        </w:rPr>
        <w:t>.  Only for so long as: (i) Tenant leases the entire Premises; and (ii) Tenant is not a bank, investment bank, stock broker, insurance company or other financial institution, and Tenant’s business does not in material part include any of the foregoing businesses (collectively, the “Exterior Sign Conditions”), Tenant shall have the right to place a single sign on the exterior of the Building facing Plumeria Drive</w:t>
      </w:r>
      <w:r>
        <w:rPr>
          <w:color w:val="000000"/>
        </w:rPr>
        <w:t xml:space="preserve"> </w:t>
      </w:r>
      <w:r>
        <w:rPr>
          <w:rFonts w:ascii="Arial;sans-serif" w:hAnsi="Arial;sans-serif"/>
          <w:b w:val="false"/>
          <w:color w:val="000000"/>
          <w:sz w:val="20"/>
        </w:rPr>
        <w:t>(the “Exterior Building Sign”) and Tenant shall have the right to place its name on the monument sign facing Plumeria Drive for the Building (the “Monument Sign”) subject to the terms, covenants and conditions set forth in this Subsection (b). The Exterior Building Sign and the Monument Sign shall be referred to herein collectively as the "Exterior Sign Right". Nothing contained herein shall prohibit or limit Landlord in granting any other exterior signage rights to others.</w:t>
      </w:r>
    </w:p>
    <w:p>
      <w:pPr>
        <w:pStyle w:val="TextBody"/>
        <w:bidi w:val="0"/>
        <w:spacing w:lineRule="auto" w:line="288" w:before="0" w:after="200"/>
        <w:jc w:val="both"/>
        <w:rPr/>
      </w:pPr>
      <w:r>
        <w:rPr>
          <w:color w:val="000000"/>
        </w:rPr>
        <w:t>    </w:t>
      </w:r>
      <w:r>
        <w:rPr>
          <w:rFonts w:ascii="Arial;sans-serif" w:hAnsi="Arial;sans-serif"/>
          <w:b w:val="false"/>
          <w:color w:val="000000"/>
          <w:sz w:val="20"/>
        </w:rPr>
        <w:t>(2)    </w:t>
      </w:r>
      <w:r>
        <w:rPr>
          <w:rFonts w:ascii="Arial;sans-serif" w:hAnsi="Arial;sans-serif"/>
          <w:b w:val="false"/>
          <w:color w:val="000000"/>
          <w:sz w:val="20"/>
          <w:u w:val="single"/>
        </w:rPr>
        <w:t>General Conditions &amp; Requirements</w:t>
      </w:r>
      <w:r>
        <w:rPr>
          <w:rFonts w:ascii="Arial;sans-serif" w:hAnsi="Arial;sans-serif"/>
          <w:b w:val="false"/>
          <w:color w:val="000000"/>
          <w:sz w:val="20"/>
        </w:rPr>
        <w:t xml:space="preserve">.  The Exterior Sign Right is subject to the following conditions and requirements: (i) the Exterior Building Sign shall not cover or obstruct any window area, (ii) Tenant shall obtain all necessary approvals for the Exterior Building Sign and the Monument Sign under, and shall comply with, all applicable laws, rules and regulations of applicable governmental authorities (including, without limitation, any applicable airport or Federal Aviation Administration authorities) and all recorded covenants, conditions and/or restrictions which apply to the Building; (iii) the size, type, style, materials and colors of the sign, method of installation and specific location of the sign, and the contractor for and all work in connection with the sign, contemplated by this Exterior Sign Right shall be subject to Landlord’s prior written approval in its reasonable discretion; (iv) the name on the Exterior Building Sign and the Monument Sign shall be subject to the prior written approval of Landlord in its reasonable discretion but Landlord hereby approves “SI-BONE” or any reasonable derivation thereof; (v) the Exterior Building Sign and the Monument Sign shall be consistent with the design of the Building; (vi) the Exterior Building Sign and the Monument Sign shall be procured, installed, operated, maintained and repaired in safe and good condition, and in class A appearance, by Tenant, at its sole cost and expense, and Tenant shall maintain the areas on which the sign is mounted watertight and shall not adversely affect the good appearance of the areas on which the sign is mounted; (vii) to the extent permitted by law, Tenant assumes all risk of defacement, damage, theft, loss and destruction of Tenant’s Exterior Building Sign and Monument Sign due to any cause, including but not limited to, casualty, vandalism or any act or neglect of any other tenant, guest or occupant of the Project or any member of the public, and Landlord shall not be liable for any of the foregoing or obligated to carry insurance covering any of the foregoing; (viii) if lighting is approved, Tenant shall, at its sole cost and expense, arrange for electrical service and electrical connections for lighting the sign, including separate meter or submeter for electricity use in connection with the Exterior Building Sign; and (ix) prior to commencement of any work, Tenant shall deliver to Landlord certificates of insurance evidencing that Tenant's contractors, agents, workmen, engineers or other persons installing the Building Sign have in effect valid workers’ compensation, public liability and builder's risk insurance in amounts and with such companies and in such forms as Landlord considers necessary or appropriate for its protection. Tenant agrees that Landlord shall have the right, at Landlord’s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535305"/>
                <wp:effectExtent l="0" t="0" r="0" b="0"/>
                <wp:wrapNone/>
                <wp:docPr id="173" name="Frame169"/>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Rider 2 - Page 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Rider 2 - Page 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sole cost, to temporarily remove and replace the Exterior Building Sign and/or the Monument Sign in connection with and during the course of any repairs, changes, alterations, modifications, renovations or additions to the Building.</w:t>
      </w:r>
    </w:p>
    <w:p>
      <w:pPr>
        <w:pStyle w:val="TextBody"/>
        <w:bidi w:val="0"/>
        <w:spacing w:lineRule="auto" w:line="288" w:before="0" w:after="200"/>
        <w:jc w:val="both"/>
        <w:rPr/>
      </w:pPr>
      <w:r>
        <w:rPr>
          <w:color w:val="000000"/>
        </w:rPr>
        <w:t>    </w:t>
      </w:r>
      <w:r>
        <w:rPr>
          <w:rFonts w:ascii="Arial;sans-serif" w:hAnsi="Arial;sans-serif"/>
          <w:b w:val="false"/>
          <w:color w:val="000000"/>
          <w:sz w:val="20"/>
        </w:rPr>
        <w:t>(3)    </w:t>
      </w:r>
      <w:r>
        <w:rPr>
          <w:rFonts w:ascii="Arial;sans-serif" w:hAnsi="Arial;sans-serif"/>
          <w:b w:val="false"/>
          <w:color w:val="000000"/>
          <w:sz w:val="20"/>
          <w:u w:val="single"/>
        </w:rPr>
        <w:t>Expiration or Termination; Removal &amp; Restoration</w:t>
      </w:r>
      <w:r>
        <w:rPr>
          <w:rFonts w:ascii="Arial;sans-serif" w:hAnsi="Arial;sans-serif"/>
          <w:b w:val="false"/>
          <w:color w:val="000000"/>
          <w:sz w:val="20"/>
        </w:rPr>
        <w:t>.  If Tenant fails to meet and comply with the Exterior Sign Conditions set forth above, then in any such event, the Exterior Sign Right shall terminate. Upon the expiration or termination of the Exterior Sign Right, but in no event later than the expiration of the Term or earlier termination of the Lease, Tenant shall, at its sole cost and expense, remove such sign and shall repair and restore the area in which the sign was located to its condition prior to installation of such sign. Tenant shall complete all removal, repair and restoration with respect to the Exterior Building Sign and the Monument Sign no later than thirty (30) days after such expiration or termination, and in the event that Tenant’s Exterior Sign Right shall terminate as provided in the first sentence of this Subsection (3) and Landlord shall require Tenant to remove such sign, Tenant shall, within thirty (30) days after written notice from Landlord, and at Tenant’s sole cost and expense, remove such sign and shall repair and restore the area in which the sign was located to its condition prior to installation of such sign. In the event that Tenant fails timely to remove and restore as provided above, Landlord may, but shall not be obligated to, remove the Exterior Building Sign and/or the Monument Sign and restore the affected area at Tenant's sole cost and expense.</w:t>
      </w:r>
    </w:p>
    <w:p>
      <w:pPr>
        <w:pStyle w:val="TextBody"/>
        <w:bidi w:val="0"/>
        <w:spacing w:lineRule="auto" w:line="288" w:before="0" w:after="200"/>
        <w:jc w:val="both"/>
        <w:rPr/>
      </w:pPr>
      <w:r>
        <w:rPr>
          <w:color w:val="000000"/>
        </w:rPr>
        <w:t>    </w:t>
      </w:r>
      <w:r>
        <w:rPr>
          <w:rFonts w:ascii="Arial;sans-serif" w:hAnsi="Arial;sans-serif"/>
          <w:b w:val="false"/>
          <w:color w:val="000000"/>
          <w:sz w:val="20"/>
        </w:rPr>
        <w:t>(4)    </w:t>
      </w:r>
      <w:r>
        <w:rPr>
          <w:rFonts w:ascii="Arial;sans-serif" w:hAnsi="Arial;sans-serif"/>
          <w:b w:val="false"/>
          <w:color w:val="000000"/>
          <w:sz w:val="20"/>
          <w:u w:val="single"/>
        </w:rPr>
        <w:t>Advance Notice; No Liens</w:t>
      </w:r>
      <w:r>
        <w:rPr>
          <w:rFonts w:ascii="Arial;sans-serif" w:hAnsi="Arial;sans-serif"/>
          <w:b w:val="false"/>
          <w:color w:val="000000"/>
          <w:sz w:val="20"/>
        </w:rPr>
        <w:t>.  Tenant shall keep the Building and Project free of all liens with respect to all work and materials performed and provided in connection with such sign, and Tenant shall give Landlord at least ten (10) days prior written notice of the intended commencement of work in connection with the Exterior Building Sign and the Monument Sign.</w:t>
      </w:r>
    </w:p>
    <w:p>
      <w:pPr>
        <w:pStyle w:val="TextBody"/>
        <w:bidi w:val="0"/>
        <w:spacing w:lineRule="auto" w:line="288" w:before="0" w:after="240"/>
        <w:jc w:val="both"/>
        <w:rPr/>
      </w:pPr>
      <w:r>
        <w:rPr>
          <w:color w:val="000000"/>
        </w:rPr>
        <w:t>    </w:t>
      </w:r>
      <w:r>
        <w:rPr>
          <w:rFonts w:ascii="Arial;sans-serif" w:hAnsi="Arial;sans-serif"/>
          <w:b w:val="false"/>
          <w:color w:val="000000"/>
          <w:sz w:val="20"/>
        </w:rPr>
        <w:t>(5)    </w:t>
      </w:r>
      <w:r>
        <w:rPr>
          <w:rFonts w:ascii="Arial;sans-serif" w:hAnsi="Arial;sans-serif"/>
          <w:b w:val="false"/>
          <w:color w:val="000000"/>
          <w:sz w:val="20"/>
          <w:u w:val="single"/>
        </w:rPr>
        <w:t>Right Personal</w:t>
      </w:r>
      <w:r>
        <w:rPr>
          <w:rFonts w:ascii="Arial;sans-serif" w:hAnsi="Arial;sans-serif"/>
          <w:b w:val="false"/>
          <w:color w:val="000000"/>
          <w:sz w:val="20"/>
        </w:rPr>
        <w:t xml:space="preserve">.  The Exterior Sign Right and the Monument Sign Right are personal to SI-BONE, INC., a Delaware corporation and may not be used by, and shall not be transferable or assignable (voluntarily or involuntarily) to any person or entity (other than (i) a Permitted Transferee which is an assignee of the Lease and which has satisfied the requirements of Sections 10.01 and 10.05 of this Lease, or (ii an assignee of the Lease or a subtenant leasing at least seventy-five percent (75%) of the Premises). </w:t>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 xml:space="preserve">SECTION 6    LETTER OF CREDIT </w:t>
      </w:r>
    </w:p>
    <w:p>
      <w:pPr>
        <w:pStyle w:val="TextBody"/>
        <w:bidi w:val="0"/>
        <w:spacing w:lineRule="auto" w:line="288" w:before="0" w:after="200"/>
        <w:jc w:val="both"/>
        <w:rPr>
          <w:color w:val="000000"/>
        </w:rPr>
      </w:pPr>
      <w:r>
        <w:rPr>
          <w:color w:val="000000"/>
        </w:rPr>
        <w:t>    </w:t>
      </w:r>
      <w:r>
        <w:rPr>
          <w:rFonts w:ascii="Arial;sans-serif" w:hAnsi="Arial;sans-serif"/>
          <w:b w:val="false"/>
          <w:color w:val="000000"/>
          <w:sz w:val="20"/>
        </w:rPr>
        <w:t>(a)    If Tenant elects pursuant to Section 5(c) of the Lease, Tenant may, at Tenant’s sole cost and expense, provide Landlord with the “Letter of Credit” as a substitute for the cash Security Deposit otherwise required under this Lease, and for the full and faithful performance by Tenant of each and every term, provision, covenant, and condition of this Lease (if Tenant substitutes the Letter of Credit for the Security Deposit, references herein to the “Security” shall mean the Letter of Credit). If Tenant fails timely to perform any of the terms, provisions, covenants and conditions of this Lease or any other document executed by Tenant in connection with this Lease, including, but not limited to, the payment of Rent or the repair of damage to the Premises caused by Tenant (excluding normal wear and tear), then Landlord may use, apply, or retain the whole or any part of the Security for the payment of any Rent not paid when due, for the cost of repairing such damage, for the cost of cleaning the Premises, for the payment of any other sum which Landlord may expend or may be required to expend by reason of Tenant's failure to perform, and otherwise for compensation of Landlord for any other loss or damage to Landlord occasioned by Tenant's failure to perform, including, but not limited to, any loss of future Rent and any damage or deficiency in the reletting of the Premises (whether such loss, damages or deficiency accrue before or after summary proceedings or other reentry by Landlord) and the amount of the unpaid past Rent, future Rent loss, and all other losses, costs and damages, that Landlord would be entitled to recover if Landlord were to pursue recovery under Section 11.02(b) or (c) of this Lease or California Civil Code Section 1951.2 or 1951.4 (and any supplements, amendments, replacements and substitutions thereof and therefor from time to time). If Landlord so uses, applies or retains all or part of the Security, Tenant shall within five (5) business days after demand pay or deliver to Landlord in immediately available funds the sum necessary to replace the amount used, applied or retained, except as specified in (d) below. If Tenant has fully and faithfully performed and observed all of Tenant's obligations under the terms, provisions, covenants and conditions of this Lease, the Security (except any amount retained for application by Landlord as provided herein) shall be returned or paid over to Tenant no later than sixty (60) days after the latest of: (i) the Termination Date; (ii) the removal of Tenant from the Premises; or (iii) the surrender of the Premises by Tenant to Landlord in accordance with this Lease. Provided, however, in no event shall any such return be construed as an admission by Landlord that Tenant has performed all of its obligations hereunder.</w:t>
      </w:r>
    </w:p>
    <w:p>
      <w:pPr>
        <w:pStyle w:val="TextBody"/>
        <w:bidi w:val="0"/>
        <w:spacing w:lineRule="auto" w:line="288"/>
        <w:jc w:val="both"/>
        <w:rPr>
          <w:color w:val="000000"/>
        </w:rPr>
      </w:pPr>
      <w:r>
        <w:rPr>
          <w:color w:val="000000"/>
        </w:rPr>
        <w:t>    </w:t>
      </w:r>
      <w:r>
        <w:rPr>
          <w:rFonts w:ascii="Arial;sans-serif" w:hAnsi="Arial;sans-serif"/>
          <w:b w:val="false"/>
          <w:color w:val="000000"/>
          <w:sz w:val="20"/>
        </w:rPr>
        <w:t xml:space="preserve">(b)    The Security, whether in the form of cash, Letter of Credit and/or Letter of Credit Proceeds (defined below), shall not be deemed an advance rent deposit or an advance payment of any kind, or a measure of Landlord’s damages with respect to Tenant’s failure to perform, nor shall any action or inaction of Landlord with respect to it or its use or application be a waiver of, or bar or defense to, enforcement of any right or remedy of Landlord. Landlord shall not be required to keep the Security separate from its general funds and shall not have any fiduciary duties or other duties (except as set forth in this Section) concerning the Security. Tenant shall not be entitled to any interest on the Security. In the event of any sale, lease or transfer of Landlord's interest in the Building, Landlord shall have the right to transfer the Security, or balance thereof, to the vendee, transferee or lessee and any such transfer shall release Landlord from all liability for the return of the Security. Tenant thereafter shall look solely to such vendee, transferee or lessee for the return or payment of the Security. Tenant shall not assign or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535305"/>
                <wp:effectExtent l="0" t="0" r="0" b="0"/>
                <wp:wrapNone/>
                <wp:docPr id="174" name="Frame170"/>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Rider 2 - Page 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Rider 2 - Page 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encumber or attempt to assign or encumber the Security or any interest in it and Landlord shall not be bound by any such assignment, encumbrance, attempted assignment or attempted encumbrance, and regardless of one or more assignments of this Lease, Landlord may return the Security to the original Tenant without liability to any assignee. Tenant hereby waives any and all rights of Tenant under the provisions of Section 1950.7 of the California Civil Code, and any and all rights of Tenant under all provisions of law, now or hereafter enacted, regarding security deposits.</w:t>
      </w:r>
    </w:p>
    <w:p>
      <w:pPr>
        <w:pStyle w:val="TextBody"/>
        <w:bidi w:val="0"/>
        <w:spacing w:before="0" w:after="0"/>
        <w:jc w:val="both"/>
        <w:rPr/>
      </w:pPr>
      <w:r>
        <w:rPr/>
      </w:r>
    </w:p>
    <w:p>
      <w:pPr>
        <w:pStyle w:val="TextBody"/>
        <w:bidi w:val="0"/>
        <w:spacing w:lineRule="auto" w:line="288" w:before="0" w:after="200"/>
        <w:jc w:val="both"/>
        <w:rPr>
          <w:color w:val="000000"/>
        </w:rPr>
      </w:pPr>
      <w:r>
        <w:rPr>
          <w:color w:val="000000"/>
        </w:rPr>
        <w:t>    </w:t>
      </w:r>
      <w:r>
        <w:rPr>
          <w:rFonts w:ascii="Arial;sans-serif" w:hAnsi="Arial;sans-serif"/>
          <w:b w:val="false"/>
          <w:color w:val="000000"/>
          <w:sz w:val="20"/>
        </w:rPr>
        <w:t>(c)    If Tenant fails timely to perform any obligation under this Section 6, such breach shall constitute a Default by Tenant under this Lease without any right to or requirement of any further notice or cure period under any other Article of this Lease, except such notice and cure period expressly provided under this Article Five.</w:t>
      </w:r>
    </w:p>
    <w:p>
      <w:pPr>
        <w:pStyle w:val="TextBody"/>
        <w:bidi w:val="0"/>
        <w:spacing w:lineRule="auto" w:line="288" w:before="0" w:after="200"/>
        <w:jc w:val="both"/>
        <w:rPr/>
      </w:pPr>
      <w:r>
        <w:rPr>
          <w:color w:val="000000"/>
        </w:rPr>
        <w:t>    </w:t>
      </w:r>
      <w:r>
        <w:rPr>
          <w:rFonts w:ascii="Arial;sans-serif" w:hAnsi="Arial;sans-serif"/>
          <w:b w:val="false"/>
          <w:color w:val="000000"/>
          <w:sz w:val="20"/>
        </w:rPr>
        <w:t xml:space="preserve">(d)    As used herein, “Letter of Credit” shall mean an unconditional, irrevocable sight draft letter of credit issued, presentable and payable at the office of a major national bank a location acceptable to Landlord, in its reasonable discretion, which major national bank shall also be satisfactory to Landlord in its reasonable discretion (the “Bank”), naming Landlord as beneficiary, in an amount equal to ONE HUNDRED SIXTY-THREE THOUSAND SIXTY-SIX and 55/100 DOLLARS ($163,066.55). Landlord hereby approves First Citizens Bank or Silicon Valley Bank as a Bank. The Letter of Credit shall provide: (i) that Landlord may make partial and multiple draws thereunder, up to the face amount thereof, and that Landlord may draw upon the Letter of Credit up to the full amount thereof, as determined by Landlord, and the Bank will pay to Landlord the amount of such draw upon receipt by the Bank of a sight draft signed by Landlord without requirement for any additional documents or statements by Landlord; and (ii) that, in the event of assignment or other transfer of either Landlord’s interest in this Lease or of any interest in Landlord (including, without limitation, consolidations, mergers, reorganizations or other entity changes), the Letter of Credit shall be freely transferable by Landlord, without charge and without recourse, to the assignee or transferee of such interest and the Bank shall confirm the same to Landlord and such assignee or transferee. The Letter of Credit shall be in the form attached as </w:t>
      </w:r>
      <w:r>
        <w:rPr>
          <w:rFonts w:ascii="Arial;sans-serif" w:hAnsi="Arial;sans-serif"/>
          <w:b w:val="false"/>
          <w:color w:val="000000"/>
          <w:sz w:val="20"/>
          <w:u w:val="single"/>
        </w:rPr>
        <w:t>Exhibit F</w:t>
      </w:r>
      <w:r>
        <w:rPr>
          <w:color w:val="000000"/>
        </w:rPr>
        <w:t xml:space="preserve"> </w:t>
      </w:r>
      <w:r>
        <w:rPr>
          <w:rFonts w:ascii="Arial;sans-serif" w:hAnsi="Arial;sans-serif"/>
          <w:b w:val="false"/>
          <w:color w:val="000000"/>
          <w:sz w:val="20"/>
        </w:rPr>
        <w:t>hereto or in another form and substance acceptable to Landlord, in its reasonable discretion. Landlord may (but shall not be required to) draw upon the Letter of Credit and use the proceeds therefrom (the “Letter of Credit Proceeds”) or any portion thereof in any manner Landlord is permitted to use the Security under this Article Five. In the event Landlord draws upon the Letter of Credit and elects not to terminate the Lease, but to use the Letter of Credit Proceeds, then within five (5) business days after Landlord gives Tenant written notice specifying the amount of the Letter of Credit Proceeds so utilized by Landlord, Tenant shall immediately deliver to Landlord an amendment to the Letter of Credit or a replacement Letter of Credit in an amount equal to one hundred percent (100%) of the then-required amount of the Letter of Credit. Tenant’s failure to deliver such amendment or replacement of the Letter of Credit to Landlord within five (5) business days after Landlord’s notice shall constitute a Default by Tenant under this Lease. The Letter of Credit shall have an initial term of no longer than one (1) year, shall be “evergreen”, and shall be extended, reissued or replaced by Tenant, in each case at least thirty (30) days prior to its expiration in a manner that fully complies with the requirements of this Section 6, so that in all events the Letter of Credit required hereunder shall be in full force and effect continuously until the date (the “L/C Expiration Date”) for return of the Security described in Subsection (a) above. No more often than once per year, Landlord shall have the right to require Tenant to deliver to Landlord, on fifteen (15) days prior notice, a replacement Letter of Credit on the same terms and conditions set forth in this Article Five, in the event that Landlord determines, in its good faith judgment, that the issuing Bank is no longer satisfactory to remain as the issuer of the Letter of Credit because the Bank’s financial condition has materially decreased. Any advice from the issuer that it intends to withdraw or not extend the Letter of Credit prior to any scheduled annual expiration or the L/C Expiration Date shall entitle the Landlord to immediately draw upon the Letter of Credit.</w:t>
      </w:r>
    </w:p>
    <w:p>
      <w:pPr>
        <w:pStyle w:val="TextBody"/>
        <w:bidi w:val="0"/>
        <w:spacing w:lineRule="auto" w:line="288" w:before="0" w:after="0"/>
        <w:jc w:val="center"/>
        <w:rPr>
          <w:rFonts w:ascii="sans-serif" w:hAnsi="sans-serif"/>
          <w:b/>
          <w:color w:val="000000"/>
          <w:sz w:val="22"/>
        </w:rPr>
      </w:pPr>
      <w:r>
        <w:rPr>
          <w:rFonts w:ascii="sans-serif" w:hAnsi="sans-serif"/>
          <w:b/>
          <w:color w:val="000000"/>
          <w:sz w:val="22"/>
        </w:rPr>
        <w:t>[REMAINDER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535305"/>
                <wp:effectExtent l="0" t="0" r="0" b="0"/>
                <wp:wrapNone/>
                <wp:docPr id="175" name="Frame171"/>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Rider 2 - Page 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r>
                        <w:rPr>
                          <w:rFonts w:ascii="sans-serif" w:hAnsi="sans-serif"/>
                          <w:b w:val="false"/>
                          <w:color w:val="000000"/>
                          <w:sz w:val="22"/>
                        </w:rPr>
                        <w:t>Rider 2 - Page 7</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00"/>
        <w:jc w:val="center"/>
        <w:rPr>
          <w:rFonts w:ascii="Arial;sans-serif" w:hAnsi="Arial;sans-serif"/>
          <w:b/>
          <w:color w:val="000000"/>
          <w:sz w:val="20"/>
        </w:rPr>
      </w:pPr>
      <w:r>
        <w:rPr>
          <w:rFonts w:ascii="Arial;sans-serif" w:hAnsi="Arial;sans-serif"/>
          <w:b/>
          <w:color w:val="000000"/>
          <w:sz w:val="20"/>
        </w:rPr>
        <w:t>RIDER 3</w:t>
      </w:r>
    </w:p>
    <w:p>
      <w:pPr>
        <w:pStyle w:val="TextBody"/>
        <w:bidi w:val="0"/>
        <w:spacing w:lineRule="auto" w:line="319" w:before="120" w:after="360"/>
        <w:jc w:val="center"/>
        <w:rPr>
          <w:rFonts w:ascii="Arial;sans-serif" w:hAnsi="Arial;sans-serif"/>
          <w:b w:val="false"/>
          <w:color w:val="000000"/>
          <w:sz w:val="20"/>
          <w:u w:val="single"/>
        </w:rPr>
      </w:pPr>
      <w:r>
        <w:rPr>
          <w:rFonts w:ascii="Arial;sans-serif" w:hAnsi="Arial;sans-serif"/>
          <w:b w:val="false"/>
          <w:color w:val="000000"/>
          <w:sz w:val="20"/>
          <w:u w:val="single"/>
        </w:rPr>
        <w:t>LANDLORD’S SUSTAINABILITY POLICIES</w:t>
      </w:r>
    </w:p>
    <w:p>
      <w:pPr>
        <w:pStyle w:val="TextBody"/>
        <w:bidi w:val="0"/>
        <w:spacing w:lineRule="auto" w:line="319" w:before="0" w:after="200"/>
        <w:jc w:val="both"/>
        <w:rPr>
          <w:color w:val="000000"/>
        </w:rPr>
      </w:pPr>
      <w:r>
        <w:rPr>
          <w:color w:val="000000"/>
        </w:rPr>
        <w:t>    </w:t>
      </w:r>
      <w:r>
        <w:rPr>
          <w:rFonts w:ascii="Arial;sans-serif" w:hAnsi="Arial;sans-serif"/>
          <w:b w:val="false"/>
          <w:color w:val="000000"/>
          <w:sz w:val="20"/>
        </w:rPr>
        <w:t>THIS RIDER 3 (“Landlord’s Sustainability Policies”) is hereby incorporated into and made a part of that certain Lease dated as of January __, 2026 (the “Lease”) by and between Orchard Commons, LLC, a Florida limited liability company (“Landlord”), and SI-BONE, INC., a Delaware corporation (“Tenant”).</w:t>
      </w:r>
    </w:p>
    <w:p>
      <w:pPr>
        <w:pStyle w:val="TextBody"/>
        <w:bidi w:val="0"/>
        <w:spacing w:lineRule="auto" w:line="288" w:before="120" w:after="120"/>
        <w:ind w:left="0" w:right="0" w:hanging="360"/>
        <w:jc w:val="both"/>
        <w:rPr>
          <w:rFonts w:ascii="Arial;sans-serif" w:hAnsi="Arial;sans-serif"/>
          <w:b w:val="false"/>
          <w:color w:val="000000"/>
          <w:sz w:val="20"/>
        </w:rPr>
      </w:pPr>
      <w:r>
        <w:rPr>
          <w:rFonts w:ascii="Arial;sans-serif" w:hAnsi="Arial;sans-serif"/>
          <w:b w:val="false"/>
          <w:color w:val="000000"/>
          <w:sz w:val="20"/>
        </w:rPr>
        <w:t>1.Green Standard Initiative</w:t>
      </w:r>
    </w:p>
    <w:p>
      <w:pPr>
        <w:pStyle w:val="TextBody"/>
        <w:bidi w:val="0"/>
        <w:spacing w:lineRule="auto" w:line="319" w:before="120" w:after="120"/>
        <w:jc w:val="both"/>
        <w:rPr>
          <w:rFonts w:ascii="Arial;sans-serif" w:hAnsi="Arial;sans-serif"/>
          <w:b w:val="false"/>
          <w:color w:val="000000"/>
          <w:sz w:val="20"/>
        </w:rPr>
      </w:pPr>
      <w:r>
        <w:rPr>
          <w:rFonts w:ascii="Arial;sans-serif" w:hAnsi="Arial;sans-serif"/>
          <w:b w:val="false"/>
          <w:color w:val="000000"/>
          <w:sz w:val="20"/>
        </w:rPr>
        <w:t>Landlord and Tenant shall each promote and improve the environmental performance of the Premises and the Building and agree to cooperate with the other to abide by Landlord’s Sustainability Policies. Tenant acknowledges that Landlord may elect, in Landlord’s sole discretion, to implement commercially reasonable energy, water and waste, efficiency, and environmentally sustainable practices (collectively, the “Green Standard Initiative”) and, in furtherance of the same, may pursue a third party or government mandated rating or certification systems for environmental sustainability and/or health and wellness (“Green Rating”) at Landlord’s sole cost. Tenant agrees that, throughout the Term of the Lease, Tenant shall cooperate with Landlord and comply with the Green Rating and any rules and regulations adopted by Landlord for the Building to promote sustainability, energy efficiency, resource efficiency, recycling and/or environmental health and wellness standards for the Building as the same may be changed, modified or replaced from time to time upon notice to Tenant. No Tenant Work shall be required to obtain any such certification, except as required by Laws.</w:t>
      </w:r>
    </w:p>
    <w:p>
      <w:pPr>
        <w:pStyle w:val="TextBody"/>
        <w:bidi w:val="0"/>
        <w:spacing w:lineRule="auto" w:line="319" w:before="120" w:after="120"/>
        <w:jc w:val="both"/>
        <w:rPr>
          <w:rFonts w:ascii="Arial;sans-serif" w:hAnsi="Arial;sans-serif"/>
          <w:b w:val="false"/>
          <w:color w:val="000000"/>
          <w:sz w:val="20"/>
        </w:rPr>
      </w:pPr>
      <w:r>
        <w:rPr>
          <w:rFonts w:ascii="Arial;sans-serif" w:hAnsi="Arial;sans-serif"/>
          <w:b w:val="false"/>
          <w:color w:val="000000"/>
          <w:sz w:val="20"/>
        </w:rPr>
        <w:t xml:space="preserve">As and when requested by Tenant during the Term (as the same may be further extended), Landlord shall provide Tenant (in the format requested by Tenant and reasonably necessary or desirable to comply with applicable laws or requirements) with data concerning transportation means, energy consumption, water consumption, and the operation of the Building and Building Systems. Such data may include, without limitation, operating hours, the types of equipment used at the Building, cleaning product materials (both chemical and paper products), as applicable, and energy use and cost. Upon Landlord’s prior written consent, which consent shall not be unreasonably withheld, conditioned or delayed, Tenant may disclose such information to any applicable governmental authority or agency or state energy commission or to its lenders, its constituents, consultants and advisors and prospective purchasers, investors and lenders; however, Landlord’s consent shall not be required if Tenant’s disclosure is legally required. </w:t>
      </w:r>
    </w:p>
    <w:p>
      <w:pPr>
        <w:pStyle w:val="TextBody"/>
        <w:bidi w:val="0"/>
        <w:spacing w:lineRule="auto" w:line="288" w:before="120" w:after="120"/>
        <w:ind w:left="0" w:right="0" w:hanging="360"/>
        <w:jc w:val="both"/>
        <w:rPr>
          <w:rFonts w:ascii="Arial;sans-serif" w:hAnsi="Arial;sans-serif"/>
          <w:b w:val="false"/>
          <w:color w:val="000000"/>
          <w:sz w:val="20"/>
        </w:rPr>
      </w:pPr>
      <w:r>
        <w:rPr>
          <w:rFonts w:ascii="Arial;sans-serif" w:hAnsi="Arial;sans-serif"/>
          <w:b w:val="false"/>
          <w:color w:val="000000"/>
          <w:sz w:val="20"/>
        </w:rPr>
        <w:t>2.Direct Billing; Reporting Requirements; Submeters</w:t>
      </w:r>
    </w:p>
    <w:p>
      <w:pPr>
        <w:pStyle w:val="TextBody"/>
        <w:bidi w:val="0"/>
        <w:spacing w:lineRule="auto" w:line="319" w:before="120" w:after="120"/>
        <w:jc w:val="both"/>
        <w:rPr>
          <w:rFonts w:ascii="Arial;sans-serif" w:hAnsi="Arial;sans-serif"/>
          <w:b w:val="false"/>
          <w:color w:val="000000"/>
          <w:sz w:val="20"/>
        </w:rPr>
      </w:pPr>
      <w:r>
        <w:rPr>
          <w:rFonts w:ascii="Arial;sans-serif" w:hAnsi="Arial;sans-serif"/>
          <w:b w:val="false"/>
          <w:color w:val="000000"/>
          <w:sz w:val="20"/>
        </w:rPr>
        <w:t>If Tenant is billed directly by a public utility with respect to Tenant’s energy usage at the Premises, then, upon request, Tenant shall provide monthly energy utility usage for the Premises to Landlord for the period of time requested by Landlord or, at Landlord’s option, provide any written authorization or other documentation required for Landlord to request information regarding Tenant's energy usage with respect to the Premises directly from the applicable utility company. Tenant will comply with all reporting requirements related to energy consumption and emissions enacted pursuant to applicable federal and local Laws and regulations. In the event the Premises are not separately metered or submetered, Landlord shall have the right at its sole cost and expense, to install submeters to monitor energy consumption in the Premises.</w:t>
      </w:r>
    </w:p>
    <w:p>
      <w:pPr>
        <w:pStyle w:val="TextBody"/>
        <w:bidi w:val="0"/>
        <w:spacing w:lineRule="auto" w:line="288" w:before="120" w:after="120"/>
        <w:ind w:left="0" w:right="0" w:hanging="360"/>
        <w:jc w:val="both"/>
        <w:rPr>
          <w:rFonts w:ascii="Arial;sans-serif" w:hAnsi="Arial;sans-serif"/>
          <w:b w:val="false"/>
          <w:color w:val="000000"/>
          <w:sz w:val="20"/>
        </w:rPr>
      </w:pPr>
      <w:r>
        <w:rPr>
          <w:rFonts w:ascii="Arial;sans-serif" w:hAnsi="Arial;sans-serif"/>
          <w:b w:val="false"/>
          <w:color w:val="000000"/>
          <w:sz w:val="20"/>
        </w:rPr>
        <w:t>3.Recycling</w:t>
      </w:r>
    </w:p>
    <w:p>
      <w:pPr>
        <w:pStyle w:val="TextBody"/>
        <w:bidi w:val="0"/>
        <w:spacing w:lineRule="auto" w:line="319" w:before="120" w:after="120"/>
        <w:jc w:val="both"/>
        <w:rPr>
          <w:rFonts w:ascii="Arial;sans-serif" w:hAnsi="Arial;sans-serif"/>
          <w:b w:val="false"/>
          <w:color w:val="000000"/>
          <w:sz w:val="20"/>
        </w:rPr>
      </w:pPr>
      <w:r>
        <w:rPr>
          <w:rFonts w:ascii="Arial;sans-serif" w:hAnsi="Arial;sans-serif"/>
          <w:b w:val="false"/>
          <w:color w:val="000000"/>
          <w:sz w:val="20"/>
        </w:rPr>
        <w:t>Tenant shall place all refuse and recyclables, including without limitation paper, plastics, cardboard, glass and metals, in receptacles in the Premises or in the receptacles (if any) provided by Landlord for the Building.</w:t>
      </w:r>
    </w:p>
    <w:p>
      <w:pPr>
        <w:pStyle w:val="TextBody"/>
        <w:bidi w:val="0"/>
        <w:spacing w:lineRule="auto" w:line="288" w:before="120" w:after="120"/>
        <w:ind w:left="0" w:right="0" w:hanging="360"/>
        <w:jc w:val="both"/>
        <w:rPr>
          <w:rFonts w:ascii="Arial;sans-serif" w:hAnsi="Arial;sans-serif"/>
          <w:b w:val="false"/>
          <w:color w:val="000000"/>
          <w:sz w:val="20"/>
        </w:rPr>
      </w:pPr>
      <w:r>
        <w:rPr>
          <w:rFonts w:ascii="Arial;sans-serif" w:hAnsi="Arial;sans-serif"/>
          <w:b w:val="false"/>
          <w:color w:val="000000"/>
          <w:sz w:val="20"/>
        </w:rPr>
        <w:t>4.Alternative Energy System</w:t>
      </w:r>
    </w:p>
    <w:p>
      <w:pPr>
        <w:pStyle w:val="TextBody"/>
        <w:bidi w:val="0"/>
        <w:spacing w:lineRule="auto" w:line="319" w:before="120" w:after="120"/>
        <w:jc w:val="both"/>
        <w:rPr>
          <w:rFonts w:ascii="Arial;sans-serif" w:hAnsi="Arial;sans-serif"/>
          <w:b w:val="false"/>
          <w:color w:val="000000"/>
          <w:sz w:val="20"/>
        </w:rPr>
      </w:pPr>
      <w:r>
        <w:rPr>
          <w:rFonts w:ascii="Arial;sans-serif" w:hAnsi="Arial;sans-serif"/>
          <w:b w:val="false"/>
          <w:color w:val="000000"/>
          <w:sz w:val="20"/>
        </w:rPr>
        <w:t xml:space="preserve">Landlord shall have the express right, without Tenant’s consent, to install or to permit an Affiliate or other third party to install, on-site power generation, and if applicable, energy storage (i.e., solar, photovoltaic, battery storage or small wind systems, including, without limitation, a solar electric generating system on the roof) (the “Alternative Energy System”), at or on the Building or on the Land and the right to enter into a lease or license for the roof of the Building or the Land whereby such lessee or licensee shall have the right to install an Alternative Energy System on the roof of the Building or on the Land. Tenant agrees to cooperate with Landlord in connection with the installation and on-going operation of any on-site Alternative Energy System. Tenant acknowledges and agrees that Tenant shall have no right to receive the benefit of any renewable energy credits or similar credits resulting from on-site energy generation or the Alternative Energy System, including tax credits, rebates, benefits, reductions, offsets, and allowances resulting from the environmental or related attributes of the Alternative Energy System or the sale of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238250"/>
                <wp:effectExtent l="0" t="0" r="0" b="0"/>
                <wp:wrapNone/>
                <wp:docPr id="176" name="Frame172"/>
                <a:graphic xmlns:a="http://schemas.openxmlformats.org/drawingml/2006/main">
                  <a:graphicData uri="http://schemas.microsoft.com/office/word/2010/wordprocessingShape">
                    <wps:wsp>
                      <wps:cNvSpPr txBox="1"/>
                      <wps:spPr>
                        <a:xfrm>
                          <a:off x="0" y="0"/>
                          <a:ext cx="6480175" cy="1238250"/>
                        </a:xfrm>
                        <a:prstGeom prst="rect"/>
                        <a:solidFill>
                          <a:srgbClr val="FFFFFF"/>
                        </a:solidFill>
                      </wps:spPr>
                      <wps:txbx>
                        <w:txbxContent>
                          <w:p>
                            <w:pPr>
                              <w:pStyle w:val="TextBody"/>
                              <w:bidi w:val="0"/>
                              <w:spacing w:lineRule="auto" w:line="319" w:before="0" w:after="200"/>
                              <w:jc w:val="left"/>
                              <w:rPr>
                                <w:color w:val="000000"/>
                              </w:rPr>
                            </w:pPr>
                            <w:r>
                              <w:rPr>
                                <w:color w:val="000000"/>
                              </w:rPr>
                              <w:t>    </w:t>
                            </w:r>
                            <w:r>
                              <w:br w:type="page"/>
                            </w:r>
                          </w:p>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Rider 3 - Page 1</w:t>
                            </w:r>
                          </w:p>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19" w:before="0" w:after="200"/>
                        <w:jc w:val="left"/>
                        <w:rPr>
                          <w:color w:val="000000"/>
                        </w:rPr>
                      </w:pPr>
                      <w:r>
                        <w:rPr>
                          <w:color w:val="000000"/>
                        </w:rPr>
                        <w:t>    </w:t>
                      </w:r>
                    </w:p>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Rider 3 - Page 1</w:t>
                      </w:r>
                    </w:p>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120" w:after="120"/>
        <w:jc w:val="both"/>
        <w:rPr>
          <w:rFonts w:ascii="Arial;sans-serif" w:hAnsi="Arial;sans-serif"/>
          <w:b w:val="false"/>
          <w:color w:val="000000"/>
          <w:sz w:val="20"/>
        </w:rPr>
      </w:pPr>
      <w:r>
        <w:rPr>
          <w:rFonts w:ascii="Arial;sans-serif" w:hAnsi="Arial;sans-serif"/>
          <w:b w:val="false"/>
          <w:color w:val="000000"/>
          <w:sz w:val="20"/>
        </w:rPr>
        <w:t>electricity generated by the Alternative Energy System. Landlord shall be deemed to be the sole and exclusive owner of the energy generated by the Alternative Energy System and Landlord may retain or assign such renewable energy credits in Landlord’s sole discretion. Landlord shall have the right, at Landlord’s option, to sell any energy generated from such on-site Alternative Energy System to the Building for use by tenants of the Building at market utility rates for such power and/or to sell any such energy to any utility provider or to third parties using Renewable Energy Certificates or other similar tradable renewable certificate and any proceeds received by Landlord from the sale of such energy shall belong exclusively to Landlord or its Affiliate, as applicable.</w:t>
      </w:r>
    </w:p>
    <w:p>
      <w:pPr>
        <w:pStyle w:val="TextBody"/>
        <w:bidi w:val="0"/>
        <w:spacing w:lineRule="auto" w:line="288" w:before="120" w:after="120"/>
        <w:ind w:left="0" w:right="0" w:hanging="360"/>
        <w:jc w:val="both"/>
        <w:rPr>
          <w:rFonts w:ascii="Arial;sans-serif" w:hAnsi="Arial;sans-serif"/>
          <w:b w:val="false"/>
          <w:color w:val="000000"/>
          <w:sz w:val="20"/>
        </w:rPr>
      </w:pPr>
      <w:r>
        <w:rPr>
          <w:rFonts w:ascii="Arial;sans-serif" w:hAnsi="Arial;sans-serif"/>
          <w:b w:val="false"/>
          <w:color w:val="000000"/>
          <w:sz w:val="20"/>
        </w:rPr>
        <w:t>5.Sustainable Products</w:t>
      </w:r>
    </w:p>
    <w:p>
      <w:pPr>
        <w:pStyle w:val="TextBody"/>
        <w:bidi w:val="0"/>
        <w:spacing w:lineRule="auto" w:line="319" w:before="120" w:after="120"/>
        <w:jc w:val="both"/>
        <w:rPr>
          <w:rFonts w:ascii="Arial;sans-serif" w:hAnsi="Arial;sans-serif"/>
          <w:b w:val="false"/>
          <w:color w:val="000000"/>
          <w:sz w:val="20"/>
        </w:rPr>
      </w:pPr>
      <w:r>
        <w:rPr>
          <w:rFonts w:ascii="Arial;sans-serif" w:hAnsi="Arial;sans-serif"/>
          <w:b w:val="false"/>
          <w:color w:val="000000"/>
          <w:sz w:val="20"/>
        </w:rPr>
        <w:t>Tenant agrees that environmentally responsible purchasing and chemical use are necessary to provide sound environmental stewardship, protect human health, and control Operating Expenses. Tenant shall use environmentally responsible and sustainable cleaning products, materials and finishes in the construction of and maintenance of the Premises, including, without limitation, paper hand towels (if used) shall contain a minimum of 40% post-consumer recycled content, or Green Seal GS-09 and/or Chlorine Free Products Association (CFPA) Certification.</w:t>
      </w:r>
    </w:p>
    <w:p>
      <w:pPr>
        <w:pStyle w:val="TextBody"/>
        <w:bidi w:val="0"/>
        <w:spacing w:lineRule="auto" w:line="288" w:before="120" w:after="120"/>
        <w:ind w:left="0" w:right="0" w:hanging="360"/>
        <w:jc w:val="both"/>
        <w:rPr>
          <w:rFonts w:ascii="Arial;sans-serif" w:hAnsi="Arial;sans-serif"/>
          <w:b w:val="false"/>
          <w:color w:val="000000"/>
          <w:sz w:val="20"/>
        </w:rPr>
      </w:pPr>
      <w:r>
        <w:rPr>
          <w:rFonts w:ascii="Arial;sans-serif" w:hAnsi="Arial;sans-serif"/>
          <w:b w:val="false"/>
          <w:color w:val="000000"/>
          <w:sz w:val="20"/>
        </w:rPr>
        <w:t>6.Construction Materials and Practices</w:t>
      </w:r>
    </w:p>
    <w:p>
      <w:pPr>
        <w:pStyle w:val="TextBody"/>
        <w:bidi w:val="0"/>
        <w:spacing w:lineRule="auto" w:line="319" w:before="120" w:after="120"/>
        <w:jc w:val="both"/>
        <w:rPr>
          <w:rFonts w:ascii="Arial;sans-serif" w:hAnsi="Arial;sans-serif"/>
          <w:b w:val="false"/>
          <w:color w:val="000000"/>
          <w:sz w:val="20"/>
        </w:rPr>
      </w:pPr>
      <w:r>
        <w:rPr>
          <w:rFonts w:ascii="Arial;sans-serif" w:hAnsi="Arial;sans-serif"/>
          <w:b w:val="false"/>
          <w:color w:val="000000"/>
          <w:sz w:val="20"/>
        </w:rPr>
        <w:t>All of Tenant’s construction methods and procedures (including without limitation, material purchases, and disposal of waste) must comply with the requirements of the Green Standard Initiatives and shall not adversely affect any current or future Green Rating. Landlord may, upon reasonable prior notice to Tenant, adopt construction rules and regulations for implementing and complying with the Green Rating and Landlord’s Sustainability Practices. Tenant shall cooperate with Landlord and its consultants to maximize lighting transmission and reducing electrical loads in its Premises, including, without limitation, requiring the use of occupancy sensors, plug load management and office equipment with power saving settings. All new electrical equipment purchased for use within the Premises shall be ENERGY STAR® certified or equivalent and all new plumbing fixtures shall consist of WaterSense® products or use low-flow aerators. If an ENERGY STAR® certified product is not available, Tenant will purchase the most energy efficient item possible that meets their requirements. No Tenant Work shall be required to obtain any such certification except as required by Laws.</w:t>
      </w:r>
    </w:p>
    <w:p>
      <w:pPr>
        <w:pStyle w:val="TextBody"/>
        <w:bidi w:val="0"/>
        <w:spacing w:lineRule="auto" w:line="288" w:before="120" w:after="120"/>
        <w:ind w:left="0" w:right="0" w:hanging="360"/>
        <w:jc w:val="both"/>
        <w:rPr>
          <w:rFonts w:ascii="Arial;sans-serif" w:hAnsi="Arial;sans-serif"/>
          <w:b w:val="false"/>
          <w:color w:val="000000"/>
          <w:sz w:val="20"/>
        </w:rPr>
      </w:pPr>
      <w:r>
        <w:rPr>
          <w:rFonts w:ascii="Arial;sans-serif" w:hAnsi="Arial;sans-serif"/>
          <w:b w:val="false"/>
          <w:color w:val="000000"/>
          <w:sz w:val="20"/>
        </w:rPr>
        <w:t>7.Tenant’s Green Initiatives.</w:t>
      </w:r>
    </w:p>
    <w:p>
      <w:pPr>
        <w:pStyle w:val="TextBody"/>
        <w:bidi w:val="0"/>
        <w:spacing w:lineRule="auto" w:line="319" w:before="120" w:after="120"/>
        <w:jc w:val="both"/>
        <w:rPr/>
      </w:pPr>
      <w:r>
        <w:rPr>
          <w:rFonts w:ascii="Arial;sans-serif" w:hAnsi="Arial;sans-serif"/>
          <w:b w:val="false"/>
          <w:color w:val="000000"/>
          <w:sz w:val="20"/>
        </w:rPr>
        <w:t>Landlord seeks to align its green lease goals with Tenant and encourages Tenant to design its space pursuant to the standards outlined by the EPA’s ENERGY STAR® Tenant Space</w:t>
      </w:r>
      <w:r>
        <w:rPr>
          <w:rFonts w:ascii="Arial;sans-serif" w:hAnsi="Arial;sans-serif"/>
          <w:b w:val="false"/>
          <w:color w:val="000000"/>
          <w:sz w:val="13"/>
        </w:rPr>
        <w:t>TM</w:t>
      </w:r>
      <w:r>
        <w:rPr>
          <w:color w:val="000000"/>
        </w:rPr>
        <w:t xml:space="preserve"> </w:t>
      </w:r>
      <w:r>
        <w:rPr>
          <w:rFonts w:ascii="Arial;sans-serif" w:hAnsi="Arial;sans-serif"/>
          <w:b w:val="false"/>
          <w:color w:val="000000"/>
          <w:sz w:val="20"/>
        </w:rPr>
        <w:t>program and contact Landlord with opportunities to collaborate efforts and/or potentially share costs of sustainability projects. If Tenant has a proposal for a project to upgrade the energy and water conservation equipment and systems or otherwise improve the environmental performance of the Building/and or the Premises, Tenant should contact the property management team for the Building with such proposals. Notwithstanding the foregoing, nothing in this Section 7 shall require Landlord to undertake any sustainability initiative proposed by Tenant.</w:t>
      </w:r>
    </w:p>
    <w:p>
      <w:pPr>
        <w:pStyle w:val="TextBody"/>
        <w:bidi w:val="0"/>
        <w:spacing w:before="120" w:after="1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19.1</w:t>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238250"/>
                <wp:effectExtent l="0" t="0" r="0" b="0"/>
                <wp:wrapNone/>
                <wp:docPr id="177" name="Frame173"/>
                <a:graphic xmlns:a="http://schemas.openxmlformats.org/drawingml/2006/main">
                  <a:graphicData uri="http://schemas.microsoft.com/office/word/2010/wordprocessingShape">
                    <wps:wsp>
                      <wps:cNvSpPr txBox="1"/>
                      <wps:spPr>
                        <a:xfrm>
                          <a:off x="0" y="0"/>
                          <a:ext cx="6480175" cy="1238250"/>
                        </a:xfrm>
                        <a:prstGeom prst="rect"/>
                        <a:solidFill>
                          <a:srgbClr val="FFFFFF"/>
                        </a:solidFill>
                      </wps:spPr>
                      <wps:txbx>
                        <w:txbxContent>
                          <w:p>
                            <w:pPr>
                              <w:pStyle w:val="TextBody"/>
                              <w:bidi w:val="0"/>
                              <w:spacing w:lineRule="auto" w:line="319" w:before="0" w:after="200"/>
                              <w:jc w:val="left"/>
                              <w:rPr>
                                <w:color w:val="000000"/>
                              </w:rPr>
                            </w:pPr>
                            <w:r>
                              <w:rPr>
                                <w:color w:val="000000"/>
                              </w:rPr>
                              <w:t>    </w:t>
                            </w:r>
                          </w:p>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Rider 3 - Page 2</w:t>
                            </w:r>
                          </w:p>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7.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319" w:before="0" w:after="200"/>
                        <w:jc w:val="left"/>
                        <w:rPr>
                          <w:color w:val="000000"/>
                        </w:rPr>
                      </w:pPr>
                      <w:r>
                        <w:rPr>
                          <w:color w:val="000000"/>
                        </w:rPr>
                        <w:t>    </w:t>
                      </w:r>
                    </w:p>
                    <w:p>
                      <w:pPr>
                        <w:pStyle w:val="TextBody"/>
                        <w:bidi w:val="0"/>
                        <w:spacing w:lineRule="auto" w:line="319" w:before="0" w:after="200"/>
                        <w:jc w:val="center"/>
                        <w:rPr>
                          <w:rFonts w:ascii="sans-serif" w:hAnsi="sans-serif"/>
                          <w:b w:val="false"/>
                          <w:color w:val="000000"/>
                          <w:sz w:val="22"/>
                        </w:rPr>
                      </w:pPr>
                      <w:r>
                        <w:rPr>
                          <w:rFonts w:ascii="sans-serif" w:hAnsi="sans-serif"/>
                          <w:b w:val="false"/>
                          <w:color w:val="000000"/>
                          <w:sz w:val="22"/>
                        </w:rPr>
                        <w:t>Rider 3 - Page 2</w:t>
                      </w:r>
                    </w:p>
                    <w:p>
                      <w:pPr>
                        <w:pStyle w:val="TextBody"/>
                        <w:bidi w:val="0"/>
                        <w:spacing w:lineRule="auto" w:line="319" w:before="0" w:after="200"/>
                        <w:jc w:val="left"/>
                        <w:rPr/>
                      </w:pPr>
                      <w:r>
                        <w:rPr>
                          <w:rFonts w:ascii="sans-serif" w:hAnsi="sans-serif"/>
                          <w:b w:val="false"/>
                          <w:color w:val="000000"/>
                          <w:sz w:val="16"/>
                        </w:rPr>
                        <w:t>[2041-03185/4938-4757-9781.6]</w:t>
                      </w:r>
                      <w:r>
                        <w:rPr>
                          <w:color w:val="000000"/>
                        </w:rPr>
                        <w:t xml:space="preserve"> </w:t>
                      </w:r>
                    </w:p>
                    <w:p>
                      <w:pPr>
                        <w:pStyle w:val="TextBody"/>
                        <w:bidi w:val="0"/>
                        <w:spacing w:before="0" w:after="0"/>
                        <w:jc w:val="left"/>
                        <w:rPr/>
                      </w:pPr>
                      <w:r>
                        <w:rPr/>
                      </w:r>
                    </w:p>
                  </w:txbxContent>
                </v:textbox>
                <w10:wrap type="none"/>
              </v:rect>
            </w:pict>
          </mc:Fallback>
        </mc:AlternateContent>
      </w:r>
    </w:p>
    <w:tbl>
      <w:tblPr>
        <w:tblW w:w="7164" w:type="dxa"/>
        <w:jc w:val="left"/>
        <w:tblInd w:w="0" w:type="dxa"/>
        <w:tblLayout w:type="fixed"/>
        <w:tblCellMar>
          <w:top w:w="28" w:type="dxa"/>
          <w:left w:w="28" w:type="dxa"/>
          <w:bottom w:w="28" w:type="dxa"/>
          <w:right w:w="28" w:type="dxa"/>
        </w:tblCellMar>
      </w:tblPr>
      <w:tblGrid>
        <w:gridCol w:w="678"/>
        <w:gridCol w:w="596"/>
        <w:gridCol w:w="597"/>
        <w:gridCol w:w="859"/>
        <w:gridCol w:w="859"/>
        <w:gridCol w:w="861"/>
        <w:gridCol w:w="794"/>
        <w:gridCol w:w="794"/>
        <w:gridCol w:w="1126"/>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187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left"/>
              <w:rPr/>
            </w:pPr>
            <w:r>
              <w:rPr/>
              <w:drawing>
                <wp:inline distT="0" distB="0" distL="0" distR="0">
                  <wp:extent cx="1123950" cy="495300"/>
                  <wp:effectExtent l="0" t="0" r="0" b="0"/>
                  <wp:docPr id="17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5" descr=""/>
                          <pic:cNvPicPr>
                            <a:picLocks noChangeAspect="1" noChangeArrowheads="1"/>
                          </pic:cNvPicPr>
                        </pic:nvPicPr>
                        <pic:blipFill>
                          <a:blip r:embed="rId58"/>
                          <a:stretch>
                            <a:fillRect/>
                          </a:stretch>
                        </pic:blipFill>
                        <pic:spPr bwMode="auto">
                          <a:xfrm>
                            <a:off x="0" y="0"/>
                            <a:ext cx="1123950" cy="495300"/>
                          </a:xfrm>
                          <a:prstGeom prst="rect">
                            <a:avLst/>
                          </a:prstGeom>
                        </pic:spPr>
                      </pic:pic>
                    </a:graphicData>
                  </a:graphic>
                </wp:inline>
              </w:drawing>
            </w:r>
          </w:p>
        </w:tc>
        <w:tc>
          <w:tcPr>
            <w:tcW w:w="25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Cambria;sans-serif" w:hAnsi="Cambria;sans-serif"/>
                <w:b/>
                <w:color w:val="000000"/>
                <w:sz w:val="24"/>
              </w:rPr>
            </w:pPr>
            <w:r>
              <w:rPr>
                <w:rFonts w:ascii="Cambria;sans-serif" w:hAnsi="Cambria;sans-serif"/>
                <w:b/>
                <w:color w:val="000000"/>
                <w:sz w:val="24"/>
              </w:rPr>
              <w:t>Corporate Policy</w:t>
            </w:r>
          </w:p>
          <w:p>
            <w:pPr>
              <w:pStyle w:val="TableContents"/>
              <w:bidi w:val="0"/>
              <w:spacing w:lineRule="auto" w:line="288" w:before="0" w:after="0"/>
              <w:jc w:val="center"/>
              <w:rPr>
                <w:rFonts w:ascii="Cambria;sans-serif" w:hAnsi="Cambria;sans-serif"/>
                <w:b/>
                <w:color w:val="000000"/>
                <w:sz w:val="24"/>
              </w:rPr>
            </w:pPr>
            <w:r>
              <w:rPr>
                <w:rFonts w:ascii="Cambria;sans-serif" w:hAnsi="Cambria;sans-serif"/>
                <w:b/>
                <w:color w:val="000000"/>
                <w:sz w:val="24"/>
              </w:rPr>
              <w:t>Insider Trading Policy</w:t>
            </w:r>
          </w:p>
        </w:tc>
        <w:tc>
          <w:tcPr>
            <w:tcW w:w="271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Document No: CORP-0006</w:t>
            </w:r>
          </w:p>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Revision: E</w:t>
            </w:r>
          </w:p>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Effective Date: 12/05/2025</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Page 1 of 11</w:t>
            </w:r>
          </w:p>
        </w:tc>
      </w:tr>
    </w:tbl>
    <w:p>
      <w:pPr>
        <w:pStyle w:val="TextBody"/>
        <w:bidi w:val="0"/>
        <w:spacing w:before="0" w:after="0"/>
        <w:jc w:val="both"/>
        <w:rPr/>
      </w:pPr>
      <w:r>
        <w:rPr/>
      </w:r>
    </w:p>
    <w:p>
      <w:pPr>
        <w:pStyle w:val="TextBody"/>
        <w:bidi w:val="0"/>
        <w:spacing w:lineRule="auto" w:line="288" w:before="0" w:after="120"/>
        <w:jc w:val="center"/>
        <w:rPr>
          <w:rFonts w:ascii="Cambria;sans-serif" w:hAnsi="Cambria;sans-serif"/>
          <w:b/>
          <w:color w:val="000000"/>
          <w:sz w:val="22"/>
        </w:rPr>
      </w:pPr>
      <w:r>
        <w:rPr>
          <w:rFonts w:ascii="Cambria;sans-serif" w:hAnsi="Cambria;sans-serif"/>
          <w:b/>
          <w:color w:val="000000"/>
          <w:sz w:val="22"/>
        </w:rPr>
        <w:t>INSIDER TRADING POLICY</w:t>
      </w:r>
    </w:p>
    <w:p>
      <w:pPr>
        <w:pStyle w:val="TextBody"/>
        <w:bidi w:val="0"/>
        <w:spacing w:lineRule="auto" w:line="288" w:before="0" w:after="120"/>
        <w:jc w:val="center"/>
        <w:rPr>
          <w:rFonts w:ascii="Cambria;sans-serif" w:hAnsi="Cambria;sans-serif"/>
          <w:b/>
          <w:color w:val="000000"/>
          <w:sz w:val="22"/>
        </w:rPr>
      </w:pPr>
      <w:r>
        <w:rPr>
          <w:rFonts w:ascii="Cambria;sans-serif" w:hAnsi="Cambria;sans-serif"/>
          <w:b/>
          <w:color w:val="000000"/>
          <w:sz w:val="22"/>
        </w:rPr>
        <w:t>APPROVED BY THE BOARD OF DIRECTORS</w:t>
        <w:br/>
        <w:t>ON DECEMBER 4, 2025</w:t>
      </w:r>
    </w:p>
    <w:p>
      <w:pPr>
        <w:pStyle w:val="TextBody"/>
        <w:bidi w:val="0"/>
        <w:spacing w:lineRule="auto" w:line="240" w:before="0" w:after="120"/>
        <w:ind w:left="0" w:right="0" w:hanging="720"/>
        <w:jc w:val="both"/>
        <w:rPr>
          <w:rFonts w:ascii="Cambria;sans-serif" w:hAnsi="Cambria;sans-serif"/>
          <w:b/>
          <w:color w:val="000000"/>
          <w:sz w:val="22"/>
        </w:rPr>
      </w:pPr>
      <w:r>
        <w:rPr>
          <w:rFonts w:ascii="Cambria;sans-serif" w:hAnsi="Cambria;sans-serif"/>
          <w:b/>
          <w:color w:val="000000"/>
          <w:sz w:val="22"/>
        </w:rPr>
        <w:t>1.Introduction</w:t>
      </w:r>
    </w:p>
    <w:p>
      <w:pPr>
        <w:pStyle w:val="TextBody"/>
        <w:bidi w:val="0"/>
        <w:spacing w:lineRule="auto" w:line="288" w:before="0" w:after="120"/>
        <w:jc w:val="both"/>
        <w:rPr/>
      </w:pPr>
      <w:r>
        <w:rPr>
          <w:rFonts w:ascii="Cambria;sans-serif" w:hAnsi="Cambria;sans-serif"/>
          <w:b/>
          <w:color w:val="000000"/>
          <w:sz w:val="22"/>
        </w:rPr>
        <w:t>2.</w:t>
      </w:r>
      <w:r>
        <w:rPr>
          <w:rFonts w:ascii="Cambria;sans-serif" w:hAnsi="Cambria;sans-serif"/>
          <w:b/>
          <w:color w:val="000000"/>
          <w:sz w:val="22"/>
        </w:rPr>
        <w:t>This policy determines acceptable transactions in the securities of SI-BONE, Inc. (the “Company” or “we”) by our employees, directors and covered consultants (“you”). During the course of your employment, directorship or applicable consultancy with the Company, you may receive important information that is not yet publicly available (“inside information”) about the Company, about other publicly-traded companies with which the Company has business dealings or about third party companies the market prices of whose securities could be impacted by the dissemination of confidential information you receive. Because of your access to this inside information, you may be in a position to profit financially by buying or selling, or in some other way dealing, in the Company’s stock, or stock of another publicly-traded company, or to disclose such information to a third party who does so profit.</w:t>
      </w:r>
    </w:p>
    <w:p>
      <w:pPr>
        <w:pStyle w:val="TextBody"/>
        <w:bidi w:val="0"/>
        <w:spacing w:lineRule="auto" w:line="240" w:before="0" w:after="120"/>
        <w:ind w:left="0" w:right="0" w:hanging="720"/>
        <w:jc w:val="both"/>
        <w:rPr>
          <w:rFonts w:ascii="Cambria;sans-serif" w:hAnsi="Cambria;sans-serif"/>
          <w:b/>
          <w:color w:val="000000"/>
          <w:sz w:val="22"/>
        </w:rPr>
      </w:pPr>
      <w:r>
        <w:rPr>
          <w:rFonts w:ascii="Cambria;sans-serif" w:hAnsi="Cambria;sans-serif"/>
          <w:b/>
          <w:color w:val="000000"/>
          <w:sz w:val="22"/>
        </w:rPr>
        <w:t>3.Securities Transactions</w:t>
      </w:r>
    </w:p>
    <w:p>
      <w:pPr>
        <w:pStyle w:val="TextBody"/>
        <w:bidi w:val="0"/>
        <w:spacing w:lineRule="auto" w:line="288" w:before="0" w:after="120"/>
        <w:ind w:left="0" w:right="0" w:firstLine="720"/>
        <w:jc w:val="both"/>
        <w:rPr/>
      </w:pPr>
      <w:r>
        <w:rPr>
          <w:rFonts w:ascii="Cambria;sans-serif" w:hAnsi="Cambria;sans-serif"/>
          <w:b w:val="false"/>
          <w:color w:val="000000"/>
          <w:sz w:val="22"/>
        </w:rPr>
        <w:t>Use of inside information by someone for personal gain, or to pass on, or “tip,” the inside information to someone who uses it for personal gain (a “</w:t>
      </w:r>
      <w:r>
        <w:rPr>
          <w:rFonts w:ascii="Cambria;sans-serif" w:hAnsi="Cambria;sans-serif"/>
          <w:b/>
          <w:color w:val="000000"/>
          <w:sz w:val="22"/>
        </w:rPr>
        <w:t>tippee</w:t>
      </w:r>
      <w:r>
        <w:rPr>
          <w:color w:val="000000"/>
        </w:rPr>
        <w:t>”</w:t>
      </w:r>
      <w:r>
        <w:rPr>
          <w:rFonts w:ascii="Cambria;sans-serif" w:hAnsi="Cambria;sans-serif"/>
          <w:b w:val="false"/>
          <w:color w:val="000000"/>
          <w:sz w:val="22"/>
        </w:rPr>
        <w:t>), is illegal, regardless of the quantity of shares, and is therefore prohibited. You can be held liable both for your own transactions and for transactions effected by a tippee, or even a tippee of a tippee. Furthermore, it is important that the appearance of insider trading in securities be avoided. The only exception is that transactions directly with the Company, e.g., option exercises using cash payment or purchases under the Company’s employee stock purchase plan, are permitted. However, the subsequent sale (including the sale of stock in a cashless exercise program) or other disposition of such stock is fully subject to these restrictions.</w:t>
      </w:r>
    </w:p>
    <w:p>
      <w:pPr>
        <w:pStyle w:val="TextBody"/>
        <w:bidi w:val="0"/>
        <w:spacing w:lineRule="auto" w:line="240" w:before="0" w:after="120"/>
        <w:ind w:left="0" w:right="0" w:hanging="720"/>
        <w:jc w:val="both"/>
        <w:rPr>
          <w:rFonts w:ascii="Cambria;sans-serif" w:hAnsi="Cambria;sans-serif"/>
          <w:b/>
          <w:color w:val="000000"/>
          <w:sz w:val="22"/>
        </w:rPr>
      </w:pPr>
      <w:r>
        <w:rPr>
          <w:rFonts w:ascii="Cambria;sans-serif" w:hAnsi="Cambria;sans-serif"/>
          <w:b/>
          <w:color w:val="000000"/>
          <w:sz w:val="22"/>
        </w:rPr>
        <w:t>4.Inside Information</w:t>
      </w:r>
    </w:p>
    <w:p>
      <w:pPr>
        <w:pStyle w:val="TextBody"/>
        <w:bidi w:val="0"/>
        <w:spacing w:lineRule="auto" w:line="288" w:before="0" w:after="120"/>
        <w:ind w:left="0" w:right="0" w:firstLine="720"/>
        <w:jc w:val="both"/>
        <w:rPr/>
      </w:pPr>
      <w:r>
        <w:rPr>
          <w:rFonts w:ascii="Cambria;sans-serif" w:hAnsi="Cambria;sans-serif"/>
          <w:b w:val="false"/>
          <w:color w:val="000000"/>
          <w:sz w:val="22"/>
        </w:rPr>
        <w:t>As a practical matter, it is sometimes difficult to determine whether you possess inside information. The key to determining whether nonpublic information you possess about a public company is inside information is whether there is a substantial likelihood that a reasonable investor would consider it important in making an investment decision in securities issued by that company. If the nonpublic information could affect the price of securities issued by the Company or influence investor behavior, it is likely inside information. Certainly, if the information makes you want to trade, it would probably have the same effect on others. Remember, both positive and negative information can be material. If you possess inside information, you may not trade in a company’s stock, advise anyone else to do so or communicate the information to anyone else until you know that the information has been publicly disseminated. This policy also applies to all family members and other household members of those covered by this policy and all companies controlled by those covered by this policy. You may never recommend to another person that he or she buy, hold or sell our stock. This means that in some circumstances, you may have to forego a proposed transaction in a company’s securities even if you planned to execute the transaction prior to learning of the inside information and even though you believe you may suffer an economic loss or sacrifice an anticipated profit by waiting. “</w:t>
      </w:r>
      <w:r>
        <w:rPr>
          <w:rFonts w:ascii="Cambria;sans-serif" w:hAnsi="Cambria;sans-serif"/>
          <w:b/>
          <w:color w:val="000000"/>
          <w:sz w:val="22"/>
        </w:rPr>
        <w:t>Trading</w:t>
      </w:r>
      <w:r>
        <w:rPr>
          <w:color w:val="000000"/>
        </w:rPr>
        <w:t xml:space="preserve">” </w:t>
      </w:r>
      <w:r>
        <w:rPr>
          <w:rFonts w:ascii="Cambria;sans-serif" w:hAnsi="Cambria;sans-serif"/>
          <w:b w:val="false"/>
          <w:color w:val="000000"/>
          <w:sz w:val="22"/>
        </w:rPr>
        <w:t>includes engaging in short sales, transactions in put or call options, hedging transactions and other inherently speculative transactions.</w:t>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19.1</w:t>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271780"/>
                <wp:effectExtent l="0" t="0" r="0" b="0"/>
                <wp:wrapNone/>
                <wp:docPr id="179" name="Frame174"/>
                <a:graphic xmlns:a="http://schemas.openxmlformats.org/drawingml/2006/main">
                  <a:graphicData uri="http://schemas.microsoft.com/office/word/2010/wordprocessingShape">
                    <wps:wsp>
                      <wps:cNvSpPr txBox="1"/>
                      <wps:spPr>
                        <a:xfrm>
                          <a:off x="0" y="0"/>
                          <a:ext cx="6480175" cy="271780"/>
                        </a:xfrm>
                        <a:prstGeom prst="rect"/>
                        <a:solidFill>
                          <a:srgbClr val="FFFFFF"/>
                        </a:solidFill>
                      </wps:spPr>
                      <wps:txbx>
                        <w:txbxContent>
                          <w:p>
                            <w:pPr>
                              <w:pStyle w:val="TextBody"/>
                              <w:bidi w:val="0"/>
                              <w:spacing w:lineRule="atLeast" w:line="240" w:before="0" w:after="0"/>
                              <w:jc w:val="center"/>
                              <w:rPr>
                                <w:rFonts w:ascii="Cambria;sans-serif" w:hAnsi="Cambria;sans-serif"/>
                                <w:b w:val="false"/>
                                <w:i/>
                                <w:color w:val="000000"/>
                                <w:sz w:val="16"/>
                              </w:rPr>
                            </w:pPr>
                            <w:r>
                              <w:rPr>
                                <w:rFonts w:ascii="Cambria;sans-serif" w:hAnsi="Cambria;sans-serif"/>
                                <w:b w:val="false"/>
                                <w:i/>
                                <w:color w:val="000000"/>
                                <w:sz w:val="16"/>
                              </w:rPr>
                              <w:t>This document contains confidential and proprietary information of SI-BONE.</w:t>
                            </w:r>
                            <w:r>
                              <w:br w:type="page"/>
                            </w:r>
                          </w:p>
                          <w:p>
                            <w:pPr>
                              <w:pStyle w:val="TextBody"/>
                              <w:bidi w:val="0"/>
                              <w:spacing w:lineRule="auto" w:line="288" w:before="0" w:after="0"/>
                              <w:jc w:val="center"/>
                              <w:rPr>
                                <w:rFonts w:ascii="Cambria;sans-serif" w:hAnsi="Cambria;sans-serif"/>
                                <w:b w:val="false"/>
                                <w:i/>
                                <w:color w:val="000000"/>
                                <w:sz w:val="16"/>
                              </w:rPr>
                            </w:pPr>
                            <w:r>
                              <w:rPr>
                                <w:rFonts w:ascii="Cambria;sans-serif" w:hAnsi="Cambria;sans-serif"/>
                                <w:b w:val="false"/>
                                <w:i/>
                                <w:color w:val="000000"/>
                                <w:sz w:val="16"/>
                              </w:rPr>
                              <w:t>It may not be copied or reproduced without prior written permission from SI-BONE.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4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tLeast" w:line="240" w:before="0" w:after="0"/>
                        <w:jc w:val="center"/>
                        <w:rPr>
                          <w:rFonts w:ascii="Cambria;sans-serif" w:hAnsi="Cambria;sans-serif"/>
                          <w:b w:val="false"/>
                          <w:i/>
                          <w:color w:val="000000"/>
                          <w:sz w:val="16"/>
                        </w:rPr>
                      </w:pPr>
                      <w:r>
                        <w:rPr>
                          <w:rFonts w:ascii="Cambria;sans-serif" w:hAnsi="Cambria;sans-serif"/>
                          <w:b w:val="false"/>
                          <w:i/>
                          <w:color w:val="000000"/>
                          <w:sz w:val="16"/>
                        </w:rPr>
                        <w:t>This document contains confidential and proprietary information of SI-BONE.</w:t>
                      </w:r>
                    </w:p>
                    <w:p>
                      <w:pPr>
                        <w:pStyle w:val="TextBody"/>
                        <w:bidi w:val="0"/>
                        <w:spacing w:lineRule="auto" w:line="288" w:before="0" w:after="0"/>
                        <w:jc w:val="center"/>
                        <w:rPr>
                          <w:rFonts w:ascii="Cambria;sans-serif" w:hAnsi="Cambria;sans-serif"/>
                          <w:b w:val="false"/>
                          <w:i/>
                          <w:color w:val="000000"/>
                          <w:sz w:val="16"/>
                        </w:rPr>
                      </w:pPr>
                      <w:r>
                        <w:rPr>
                          <w:rFonts w:ascii="Cambria;sans-serif" w:hAnsi="Cambria;sans-serif"/>
                          <w:b w:val="false"/>
                          <w:i/>
                          <w:color w:val="000000"/>
                          <w:sz w:val="16"/>
                        </w:rPr>
                        <w:t>It may not be copied or reproduced without prior written permission from SI-BONE.</w:t>
                      </w:r>
                    </w:p>
                  </w:txbxContent>
                </v:textbox>
                <w10:wrap type="none"/>
              </v:rect>
            </w:pict>
          </mc:Fallback>
        </mc:AlternateContent>
      </w:r>
    </w:p>
    <w:tbl>
      <w:tblPr>
        <w:tblW w:w="7164" w:type="dxa"/>
        <w:jc w:val="left"/>
        <w:tblInd w:w="0" w:type="dxa"/>
        <w:tblLayout w:type="fixed"/>
        <w:tblCellMar>
          <w:top w:w="28" w:type="dxa"/>
          <w:left w:w="28" w:type="dxa"/>
          <w:bottom w:w="28" w:type="dxa"/>
          <w:right w:w="28" w:type="dxa"/>
        </w:tblCellMar>
      </w:tblPr>
      <w:tblGrid>
        <w:gridCol w:w="678"/>
        <w:gridCol w:w="596"/>
        <w:gridCol w:w="597"/>
        <w:gridCol w:w="859"/>
        <w:gridCol w:w="859"/>
        <w:gridCol w:w="861"/>
        <w:gridCol w:w="794"/>
        <w:gridCol w:w="794"/>
        <w:gridCol w:w="1126"/>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187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left"/>
              <w:rPr/>
            </w:pPr>
            <w:r>
              <w:rPr/>
              <w:drawing>
                <wp:inline distT="0" distB="0" distL="0" distR="0">
                  <wp:extent cx="1123950" cy="495300"/>
                  <wp:effectExtent l="0" t="0" r="0" b="0"/>
                  <wp:docPr id="18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6" descr=""/>
                          <pic:cNvPicPr>
                            <a:picLocks noChangeAspect="1" noChangeArrowheads="1"/>
                          </pic:cNvPicPr>
                        </pic:nvPicPr>
                        <pic:blipFill>
                          <a:blip r:embed="rId59"/>
                          <a:stretch>
                            <a:fillRect/>
                          </a:stretch>
                        </pic:blipFill>
                        <pic:spPr bwMode="auto">
                          <a:xfrm>
                            <a:off x="0" y="0"/>
                            <a:ext cx="1123950" cy="495300"/>
                          </a:xfrm>
                          <a:prstGeom prst="rect">
                            <a:avLst/>
                          </a:prstGeom>
                        </pic:spPr>
                      </pic:pic>
                    </a:graphicData>
                  </a:graphic>
                </wp:inline>
              </w:drawing>
            </w:r>
          </w:p>
        </w:tc>
        <w:tc>
          <w:tcPr>
            <w:tcW w:w="25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Cambria;sans-serif" w:hAnsi="Cambria;sans-serif"/>
                <w:b/>
                <w:color w:val="000000"/>
                <w:sz w:val="24"/>
              </w:rPr>
            </w:pPr>
            <w:r>
              <w:rPr>
                <w:rFonts w:ascii="Cambria;sans-serif" w:hAnsi="Cambria;sans-serif"/>
                <w:b/>
                <w:color w:val="000000"/>
                <w:sz w:val="24"/>
              </w:rPr>
              <w:t>Corporate Policy</w:t>
            </w:r>
          </w:p>
          <w:p>
            <w:pPr>
              <w:pStyle w:val="TableContents"/>
              <w:bidi w:val="0"/>
              <w:spacing w:lineRule="auto" w:line="288" w:before="0" w:after="0"/>
              <w:jc w:val="center"/>
              <w:rPr>
                <w:rFonts w:ascii="Cambria;sans-serif" w:hAnsi="Cambria;sans-serif"/>
                <w:b/>
                <w:color w:val="000000"/>
                <w:sz w:val="24"/>
              </w:rPr>
            </w:pPr>
            <w:r>
              <w:rPr>
                <w:rFonts w:ascii="Cambria;sans-serif" w:hAnsi="Cambria;sans-serif"/>
                <w:b/>
                <w:color w:val="000000"/>
                <w:sz w:val="24"/>
              </w:rPr>
              <w:t>Insider Trading Policy</w:t>
            </w:r>
          </w:p>
        </w:tc>
        <w:tc>
          <w:tcPr>
            <w:tcW w:w="271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Document No: CORP-0006</w:t>
            </w:r>
          </w:p>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Revision: E</w:t>
            </w:r>
          </w:p>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Effective Date: 12/05/2025</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Page 2 of 11</w:t>
            </w:r>
          </w:p>
        </w:tc>
      </w:tr>
    </w:tbl>
    <w:p>
      <w:pPr>
        <w:pStyle w:val="TextBody"/>
        <w:bidi w:val="0"/>
        <w:spacing w:before="0" w:after="0"/>
        <w:jc w:val="both"/>
        <w:rPr/>
      </w:pPr>
      <w:r>
        <w:rPr/>
      </w:r>
    </w:p>
    <w:p>
      <w:pPr>
        <w:pStyle w:val="TextBody"/>
        <w:bidi w:val="0"/>
        <w:spacing w:lineRule="auto" w:line="288" w:before="0" w:after="120"/>
        <w:ind w:left="0" w:right="0" w:firstLine="720"/>
        <w:jc w:val="both"/>
        <w:rPr>
          <w:rFonts w:ascii="Cambria;sans-serif" w:hAnsi="Cambria;sans-serif"/>
          <w:b w:val="false"/>
          <w:color w:val="000000"/>
          <w:sz w:val="22"/>
        </w:rPr>
      </w:pPr>
      <w:r>
        <w:rPr>
          <w:rFonts w:ascii="Cambria;sans-serif" w:hAnsi="Cambria;sans-serif"/>
          <w:b w:val="false"/>
          <w:color w:val="000000"/>
          <w:sz w:val="22"/>
        </w:rPr>
        <w:t>Although by no means an all-inclusive list, information about the following items may be considered to be inside information until it is publicly disseminated:</w:t>
      </w:r>
    </w:p>
    <w:p>
      <w:pPr>
        <w:pStyle w:val="TextBody"/>
        <w:bidi w:val="0"/>
        <w:spacing w:lineRule="auto" w:line="288" w:before="0" w:after="120"/>
        <w:ind w:left="0" w:right="0" w:hanging="360"/>
        <w:jc w:val="both"/>
        <w:rPr/>
      </w:pPr>
      <w:r>
        <w:rPr>
          <w:color w:val="000000"/>
        </w:rPr>
        <w:t>•</w:t>
      </w:r>
      <w:r>
        <w:rPr>
          <w:rFonts w:ascii="Cambria;sans-serif" w:hAnsi="Cambria;sans-serif"/>
          <w:b w:val="false"/>
          <w:color w:val="000000"/>
          <w:sz w:val="22"/>
        </w:rPr>
        <w:t>financial results or forecasts;</w:t>
      </w:r>
    </w:p>
    <w:p>
      <w:pPr>
        <w:pStyle w:val="TextBody"/>
        <w:bidi w:val="0"/>
        <w:spacing w:lineRule="auto" w:line="288" w:before="0" w:after="120"/>
        <w:ind w:left="0" w:right="0" w:hanging="360"/>
        <w:jc w:val="both"/>
        <w:rPr/>
      </w:pPr>
      <w:r>
        <w:rPr>
          <w:color w:val="000000"/>
        </w:rPr>
        <w:t>•</w:t>
      </w:r>
      <w:r>
        <w:rPr>
          <w:rFonts w:ascii="Cambria;sans-serif" w:hAnsi="Cambria;sans-serif"/>
          <w:b w:val="false"/>
          <w:color w:val="000000"/>
          <w:sz w:val="22"/>
        </w:rPr>
        <w:t>the clearance or approval of major new products or processes;</w:t>
      </w:r>
    </w:p>
    <w:p>
      <w:pPr>
        <w:pStyle w:val="TextBody"/>
        <w:bidi w:val="0"/>
        <w:spacing w:lineRule="auto" w:line="288" w:before="0" w:after="120"/>
        <w:ind w:left="0" w:right="0" w:hanging="360"/>
        <w:jc w:val="both"/>
        <w:rPr/>
      </w:pPr>
      <w:r>
        <w:rPr>
          <w:color w:val="000000"/>
        </w:rPr>
        <w:t>•</w:t>
      </w:r>
      <w:r>
        <w:rPr>
          <w:rFonts w:ascii="Cambria;sans-serif" w:hAnsi="Cambria;sans-serif"/>
          <w:b w:val="false"/>
          <w:color w:val="000000"/>
          <w:sz w:val="22"/>
        </w:rPr>
        <w:t>acquisitions or dispositions of assets, divisions, companies, etc.;</w:t>
      </w:r>
    </w:p>
    <w:p>
      <w:pPr>
        <w:pStyle w:val="TextBody"/>
        <w:bidi w:val="0"/>
        <w:spacing w:lineRule="auto" w:line="288" w:before="0" w:after="120"/>
        <w:ind w:left="0" w:right="0" w:hanging="360"/>
        <w:jc w:val="both"/>
        <w:rPr/>
      </w:pPr>
      <w:r>
        <w:rPr>
          <w:color w:val="000000"/>
        </w:rPr>
        <w:t>•</w:t>
      </w:r>
      <w:r>
        <w:rPr>
          <w:rFonts w:ascii="Cambria;sans-serif" w:hAnsi="Cambria;sans-serif"/>
          <w:b w:val="false"/>
          <w:color w:val="000000"/>
          <w:sz w:val="22"/>
        </w:rPr>
        <w:t>pending public or private sales of debt or equity;</w:t>
      </w:r>
    </w:p>
    <w:p>
      <w:pPr>
        <w:pStyle w:val="TextBody"/>
        <w:bidi w:val="0"/>
        <w:spacing w:lineRule="auto" w:line="288" w:before="0" w:after="120"/>
        <w:ind w:left="0" w:right="0" w:hanging="360"/>
        <w:jc w:val="both"/>
        <w:rPr/>
      </w:pPr>
      <w:r>
        <w:rPr>
          <w:color w:val="000000"/>
        </w:rPr>
        <w:t>•</w:t>
      </w:r>
      <w:r>
        <w:rPr>
          <w:rFonts w:ascii="Cambria;sans-serif" w:hAnsi="Cambria;sans-serif"/>
          <w:b w:val="false"/>
          <w:color w:val="000000"/>
          <w:sz w:val="22"/>
        </w:rPr>
        <w:t>events regarding our securities (e.g., defaults on senior securities, calls of securities for redemption, repurchase plans, stock splits, public or private equity/debt offerings, or changes in our dividend policies or amounts);</w:t>
      </w:r>
    </w:p>
    <w:p>
      <w:pPr>
        <w:pStyle w:val="TextBody"/>
        <w:bidi w:val="0"/>
        <w:spacing w:lineRule="auto" w:line="288" w:before="0" w:after="120"/>
        <w:ind w:left="0" w:right="0" w:hanging="360"/>
        <w:jc w:val="both"/>
        <w:rPr/>
      </w:pPr>
      <w:r>
        <w:rPr>
          <w:color w:val="000000"/>
        </w:rPr>
        <w:t>•</w:t>
      </w:r>
      <w:r>
        <w:rPr>
          <w:rFonts w:ascii="Cambria;sans-serif" w:hAnsi="Cambria;sans-serif"/>
          <w:b w:val="false"/>
          <w:color w:val="000000"/>
          <w:sz w:val="22"/>
        </w:rPr>
        <w:t>major contract awards or cancellations;</w:t>
      </w:r>
    </w:p>
    <w:p>
      <w:pPr>
        <w:pStyle w:val="TextBody"/>
        <w:bidi w:val="0"/>
        <w:spacing w:lineRule="auto" w:line="288" w:before="0" w:after="120"/>
        <w:ind w:left="0" w:right="0" w:hanging="360"/>
        <w:jc w:val="both"/>
        <w:rPr/>
      </w:pPr>
      <w:r>
        <w:rPr>
          <w:color w:val="000000"/>
        </w:rPr>
        <w:t>•</w:t>
      </w:r>
      <w:r>
        <w:rPr>
          <w:rFonts w:ascii="Cambria;sans-serif" w:hAnsi="Cambria;sans-serif"/>
          <w:b w:val="false"/>
          <w:color w:val="000000"/>
          <w:sz w:val="22"/>
        </w:rPr>
        <w:t>scientific, clinical or regulatory results;</w:t>
      </w:r>
    </w:p>
    <w:p>
      <w:pPr>
        <w:pStyle w:val="TextBody"/>
        <w:bidi w:val="0"/>
        <w:spacing w:lineRule="auto" w:line="288" w:before="0" w:after="120"/>
        <w:ind w:left="0" w:right="0" w:hanging="360"/>
        <w:jc w:val="both"/>
        <w:rPr/>
      </w:pPr>
      <w:r>
        <w:rPr>
          <w:color w:val="000000"/>
        </w:rPr>
        <w:t>•</w:t>
      </w:r>
      <w:r>
        <w:rPr>
          <w:rFonts w:ascii="Cambria;sans-serif" w:hAnsi="Cambria;sans-serif"/>
          <w:b w:val="false"/>
          <w:color w:val="000000"/>
          <w:sz w:val="22"/>
        </w:rPr>
        <w:t>any product recall or significant safety-related event associated with an SI-BONE product;</w:t>
      </w:r>
    </w:p>
    <w:p>
      <w:pPr>
        <w:pStyle w:val="TextBody"/>
        <w:bidi w:val="0"/>
        <w:spacing w:lineRule="auto" w:line="288" w:before="0" w:after="120"/>
        <w:ind w:left="0" w:right="0" w:hanging="360"/>
        <w:jc w:val="both"/>
        <w:rPr/>
      </w:pPr>
      <w:r>
        <w:rPr>
          <w:color w:val="000000"/>
        </w:rPr>
        <w:t>•</w:t>
      </w:r>
      <w:r>
        <w:rPr>
          <w:rFonts w:ascii="Cambria;sans-serif" w:hAnsi="Cambria;sans-serif"/>
          <w:b w:val="false"/>
          <w:color w:val="000000"/>
          <w:sz w:val="22"/>
        </w:rPr>
        <w:t>top management or control changes;</w:t>
      </w:r>
    </w:p>
    <w:p>
      <w:pPr>
        <w:pStyle w:val="TextBody"/>
        <w:bidi w:val="0"/>
        <w:spacing w:lineRule="auto" w:line="288" w:before="0" w:after="120"/>
        <w:ind w:left="0" w:right="0" w:hanging="360"/>
        <w:jc w:val="both"/>
        <w:rPr/>
      </w:pPr>
      <w:r>
        <w:rPr>
          <w:color w:val="000000"/>
        </w:rPr>
        <w:t>•</w:t>
      </w:r>
      <w:r>
        <w:rPr>
          <w:rFonts w:ascii="Cambria;sans-serif" w:hAnsi="Cambria;sans-serif"/>
          <w:b w:val="false"/>
          <w:color w:val="000000"/>
          <w:sz w:val="22"/>
        </w:rPr>
        <w:t>possible tender offers or proxy fights;</w:t>
      </w:r>
    </w:p>
    <w:p>
      <w:pPr>
        <w:pStyle w:val="TextBody"/>
        <w:bidi w:val="0"/>
        <w:spacing w:lineRule="auto" w:line="288" w:before="0" w:after="120"/>
        <w:ind w:left="0" w:right="0" w:hanging="360"/>
        <w:jc w:val="both"/>
        <w:rPr/>
      </w:pPr>
      <w:r>
        <w:rPr>
          <w:color w:val="000000"/>
        </w:rPr>
        <w:t>•</w:t>
      </w:r>
      <w:r>
        <w:rPr>
          <w:rFonts w:ascii="Cambria;sans-serif" w:hAnsi="Cambria;sans-serif"/>
          <w:b w:val="false"/>
          <w:color w:val="000000"/>
          <w:sz w:val="22"/>
        </w:rPr>
        <w:t>significant write-offs;</w:t>
      </w:r>
    </w:p>
    <w:p>
      <w:pPr>
        <w:pStyle w:val="TextBody"/>
        <w:bidi w:val="0"/>
        <w:spacing w:lineRule="auto" w:line="288" w:before="0" w:after="120"/>
        <w:ind w:left="0" w:right="0" w:hanging="360"/>
        <w:jc w:val="both"/>
        <w:rPr/>
      </w:pPr>
      <w:r>
        <w:rPr>
          <w:color w:val="000000"/>
        </w:rPr>
        <w:t>•</w:t>
      </w:r>
      <w:r>
        <w:rPr>
          <w:rFonts w:ascii="Cambria;sans-serif" w:hAnsi="Cambria;sans-serif"/>
          <w:b w:val="false"/>
          <w:color w:val="000000"/>
          <w:sz w:val="22"/>
        </w:rPr>
        <w:t>actual or threatened major litigation, SEC or other investigations, or a major development in or the resolution of any such litigation or investigation;</w:t>
      </w:r>
    </w:p>
    <w:p>
      <w:pPr>
        <w:pStyle w:val="TextBody"/>
        <w:bidi w:val="0"/>
        <w:spacing w:lineRule="auto" w:line="288" w:before="0" w:after="120"/>
        <w:ind w:left="0" w:right="0" w:hanging="360"/>
        <w:jc w:val="both"/>
        <w:rPr/>
      </w:pPr>
      <w:r>
        <w:rPr>
          <w:color w:val="000000"/>
        </w:rPr>
        <w:t>•</w:t>
      </w:r>
      <w:r>
        <w:rPr>
          <w:rFonts w:ascii="Cambria;sans-serif" w:hAnsi="Cambria;sans-serif"/>
          <w:b w:val="false"/>
          <w:color w:val="000000"/>
          <w:sz w:val="22"/>
        </w:rPr>
        <w:t>impending bankruptcy;</w:t>
      </w:r>
    </w:p>
    <w:p>
      <w:pPr>
        <w:pStyle w:val="TextBody"/>
        <w:bidi w:val="0"/>
        <w:spacing w:lineRule="auto" w:line="288" w:before="0" w:after="120"/>
        <w:ind w:left="0" w:right="0" w:hanging="360"/>
        <w:jc w:val="both"/>
        <w:rPr/>
      </w:pPr>
      <w:r>
        <w:rPr>
          <w:color w:val="000000"/>
        </w:rPr>
        <w:t>•</w:t>
      </w:r>
      <w:r>
        <w:rPr>
          <w:rFonts w:ascii="Cambria;sans-serif" w:hAnsi="Cambria;sans-serif"/>
          <w:b w:val="false"/>
          <w:color w:val="000000"/>
          <w:sz w:val="22"/>
        </w:rPr>
        <w:t>gain or loss of a significant license agreement or other contracts with customers or suppliers;</w:t>
      </w:r>
    </w:p>
    <w:p>
      <w:pPr>
        <w:pStyle w:val="TextBody"/>
        <w:bidi w:val="0"/>
        <w:spacing w:lineRule="auto" w:line="288" w:before="0" w:after="120"/>
        <w:ind w:left="0" w:right="0" w:hanging="360"/>
        <w:jc w:val="both"/>
        <w:rPr/>
      </w:pPr>
      <w:r>
        <w:rPr>
          <w:color w:val="000000"/>
        </w:rPr>
        <w:t>•</w:t>
      </w:r>
      <w:r>
        <w:rPr>
          <w:rFonts w:ascii="Cambria;sans-serif" w:hAnsi="Cambria;sans-serif"/>
          <w:b w:val="false"/>
          <w:color w:val="000000"/>
          <w:sz w:val="22"/>
        </w:rPr>
        <w:t>pricing changes or discount policies;</w:t>
      </w:r>
    </w:p>
    <w:p>
      <w:pPr>
        <w:pStyle w:val="TextBody"/>
        <w:bidi w:val="0"/>
        <w:spacing w:lineRule="auto" w:line="288" w:before="0" w:after="120"/>
        <w:ind w:left="0" w:right="0" w:hanging="360"/>
        <w:jc w:val="both"/>
        <w:rPr/>
      </w:pPr>
      <w:r>
        <w:rPr>
          <w:color w:val="000000"/>
        </w:rPr>
        <w:t>•</w:t>
      </w:r>
      <w:r>
        <w:rPr>
          <w:rFonts w:ascii="Cambria;sans-serif" w:hAnsi="Cambria;sans-serif"/>
          <w:b w:val="false"/>
          <w:color w:val="000000"/>
          <w:sz w:val="22"/>
        </w:rPr>
        <w:t xml:space="preserve">corporate partner relationships; </w:t>
      </w:r>
    </w:p>
    <w:p>
      <w:pPr>
        <w:pStyle w:val="TextBody"/>
        <w:bidi w:val="0"/>
        <w:spacing w:lineRule="auto" w:line="288" w:before="0" w:after="120"/>
        <w:ind w:left="0" w:right="0" w:hanging="360"/>
        <w:jc w:val="both"/>
        <w:rPr/>
      </w:pPr>
      <w:r>
        <w:rPr>
          <w:color w:val="000000"/>
        </w:rPr>
        <w:t>•</w:t>
      </w:r>
      <w:r>
        <w:rPr>
          <w:rFonts w:ascii="Cambria;sans-serif" w:hAnsi="Cambria;sans-serif"/>
          <w:b w:val="false"/>
          <w:color w:val="000000"/>
          <w:sz w:val="22"/>
        </w:rPr>
        <w:t>material communications with government agencies; and</w:t>
      </w:r>
    </w:p>
    <w:p>
      <w:pPr>
        <w:pStyle w:val="TextBody"/>
        <w:bidi w:val="0"/>
        <w:spacing w:lineRule="auto" w:line="288" w:before="0" w:after="120"/>
        <w:ind w:left="0" w:right="0" w:hanging="360"/>
        <w:jc w:val="both"/>
        <w:rPr/>
      </w:pPr>
      <w:r>
        <w:rPr>
          <w:color w:val="000000"/>
        </w:rPr>
        <w:t>•</w:t>
      </w:r>
      <w:r>
        <w:rPr>
          <w:rFonts w:ascii="Cambria;sans-serif" w:hAnsi="Cambria;sans-serif"/>
          <w:b w:val="false"/>
          <w:color w:val="000000"/>
          <w:sz w:val="22"/>
        </w:rPr>
        <w:t>notice of issuance of patents.</w:t>
      </w:r>
    </w:p>
    <w:p>
      <w:pPr>
        <w:pStyle w:val="TextBody"/>
        <w:bidi w:val="0"/>
        <w:spacing w:lineRule="auto" w:line="288" w:before="0" w:after="120"/>
        <w:ind w:left="0" w:right="0" w:firstLine="720"/>
        <w:jc w:val="both"/>
        <w:rPr>
          <w:rFonts w:ascii="Cambria;sans-serif" w:hAnsi="Cambria;sans-serif"/>
          <w:b w:val="false"/>
          <w:color w:val="000000"/>
          <w:sz w:val="22"/>
        </w:rPr>
      </w:pPr>
      <w:r>
        <w:rPr>
          <w:rFonts w:ascii="Cambria;sans-serif" w:hAnsi="Cambria;sans-serif"/>
          <w:b w:val="false"/>
          <w:color w:val="000000"/>
          <w:sz w:val="22"/>
        </w:rPr>
        <w:t>For information to be considered publicly disseminated, it must be broadly disclosed, for example through a press release or SEC filing, and a sufficient amount of time must have passed to allow the information to be broadly disclosed. Generally speaking, information will be considered publicly disseminated after one full trading day has elapsed since the date of public disclosure of the information. For example, if an announcement of inside information of which you were aware was made prior to the Nasdaq stock market opening on Wednesday, then you may execute a transaction in the Company’s securities after the stock market opening on Thursday.</w:t>
      </w:r>
    </w:p>
    <w:p>
      <w:pPr>
        <w:pStyle w:val="TextBody"/>
        <w:bidi w:val="0"/>
        <w:spacing w:lineRule="auto" w:line="240" w:before="0" w:after="120"/>
        <w:ind w:left="0" w:right="0" w:hanging="720"/>
        <w:jc w:val="both"/>
        <w:rPr>
          <w:rFonts w:ascii="Cambria;sans-serif" w:hAnsi="Cambria;sans-serif"/>
          <w:b/>
          <w:color w:val="000000"/>
          <w:sz w:val="22"/>
        </w:rPr>
      </w:pPr>
      <w:r>
        <w:rPr>
          <w:rFonts w:ascii="Cambria;sans-serif" w:hAnsi="Cambria;sans-serif"/>
          <w:b/>
          <w:color w:val="000000"/>
          <w:sz w:val="22"/>
        </w:rPr>
        <w:t>5.Stock Trading by Employees, directors and Covered Consultants</w:t>
      </w:r>
    </w:p>
    <w:p>
      <w:pPr>
        <w:pStyle w:val="TextBody"/>
        <w:bidi w:val="0"/>
        <w:spacing w:lineRule="auto" w:line="288" w:before="0" w:after="120"/>
        <w:ind w:left="0" w:right="0" w:firstLine="720"/>
        <w:jc w:val="both"/>
        <w:rPr>
          <w:rFonts w:ascii="Cambria;sans-serif" w:hAnsi="Cambria;sans-serif"/>
          <w:b w:val="false"/>
          <w:color w:val="000000"/>
          <w:sz w:val="22"/>
        </w:rPr>
      </w:pPr>
      <w:r>
        <w:rPr>
          <w:rFonts w:ascii="Cambria;sans-serif" w:hAnsi="Cambria;sans-serif"/>
          <w:b w:val="false"/>
          <w:color w:val="000000"/>
          <w:sz w:val="22"/>
        </w:rPr>
        <w:t xml:space="preserve">All directors and employees, as well as covered consultants, should refrain from trading in securities transactions of the Company’s stock while in possession of inside information. </w:t>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19.1</w:t>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271780"/>
                <wp:effectExtent l="0" t="0" r="0" b="0"/>
                <wp:wrapNone/>
                <wp:docPr id="181" name="Frame175"/>
                <a:graphic xmlns:a="http://schemas.openxmlformats.org/drawingml/2006/main">
                  <a:graphicData uri="http://schemas.microsoft.com/office/word/2010/wordprocessingShape">
                    <wps:wsp>
                      <wps:cNvSpPr txBox="1"/>
                      <wps:spPr>
                        <a:xfrm>
                          <a:off x="0" y="0"/>
                          <a:ext cx="6480175" cy="271780"/>
                        </a:xfrm>
                        <a:prstGeom prst="rect"/>
                        <a:solidFill>
                          <a:srgbClr val="FFFFFF"/>
                        </a:solidFill>
                      </wps:spPr>
                      <wps:txbx>
                        <w:txbxContent>
                          <w:p>
                            <w:pPr>
                              <w:pStyle w:val="TextBody"/>
                              <w:bidi w:val="0"/>
                              <w:spacing w:lineRule="atLeast" w:line="240" w:before="0" w:after="0"/>
                              <w:jc w:val="center"/>
                              <w:rPr>
                                <w:rFonts w:ascii="Cambria;sans-serif" w:hAnsi="Cambria;sans-serif"/>
                                <w:b w:val="false"/>
                                <w:i/>
                                <w:color w:val="000000"/>
                                <w:sz w:val="16"/>
                              </w:rPr>
                            </w:pPr>
                            <w:r>
                              <w:rPr>
                                <w:rFonts w:ascii="Cambria;sans-serif" w:hAnsi="Cambria;sans-serif"/>
                                <w:b w:val="false"/>
                                <w:i/>
                                <w:color w:val="000000"/>
                                <w:sz w:val="16"/>
                              </w:rPr>
                              <w:t>This document contains confidential and proprietary information of SI-BONE.</w:t>
                            </w:r>
                            <w:r>
                              <w:br w:type="page"/>
                            </w:r>
                          </w:p>
                          <w:p>
                            <w:pPr>
                              <w:pStyle w:val="TextBody"/>
                              <w:bidi w:val="0"/>
                              <w:spacing w:lineRule="auto" w:line="288" w:before="0" w:after="0"/>
                              <w:jc w:val="center"/>
                              <w:rPr>
                                <w:rFonts w:ascii="Cambria;sans-serif" w:hAnsi="Cambria;sans-serif"/>
                                <w:b w:val="false"/>
                                <w:i/>
                                <w:color w:val="000000"/>
                                <w:sz w:val="16"/>
                              </w:rPr>
                            </w:pPr>
                            <w:r>
                              <w:rPr>
                                <w:rFonts w:ascii="Cambria;sans-serif" w:hAnsi="Cambria;sans-serif"/>
                                <w:b w:val="false"/>
                                <w:i/>
                                <w:color w:val="000000"/>
                                <w:sz w:val="16"/>
                              </w:rPr>
                              <w:t>It may not be copied or reproduced without prior written permission from SI-BONE.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4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tLeast" w:line="240" w:before="0" w:after="0"/>
                        <w:jc w:val="center"/>
                        <w:rPr>
                          <w:rFonts w:ascii="Cambria;sans-serif" w:hAnsi="Cambria;sans-serif"/>
                          <w:b w:val="false"/>
                          <w:i/>
                          <w:color w:val="000000"/>
                          <w:sz w:val="16"/>
                        </w:rPr>
                      </w:pPr>
                      <w:r>
                        <w:rPr>
                          <w:rFonts w:ascii="Cambria;sans-serif" w:hAnsi="Cambria;sans-serif"/>
                          <w:b w:val="false"/>
                          <w:i/>
                          <w:color w:val="000000"/>
                          <w:sz w:val="16"/>
                        </w:rPr>
                        <w:t>This document contains confidential and proprietary information of SI-BONE.</w:t>
                      </w:r>
                    </w:p>
                    <w:p>
                      <w:pPr>
                        <w:pStyle w:val="TextBody"/>
                        <w:bidi w:val="0"/>
                        <w:spacing w:lineRule="auto" w:line="288" w:before="0" w:after="0"/>
                        <w:jc w:val="center"/>
                        <w:rPr>
                          <w:rFonts w:ascii="Cambria;sans-serif" w:hAnsi="Cambria;sans-serif"/>
                          <w:b w:val="false"/>
                          <w:i/>
                          <w:color w:val="000000"/>
                          <w:sz w:val="16"/>
                        </w:rPr>
                      </w:pPr>
                      <w:r>
                        <w:rPr>
                          <w:rFonts w:ascii="Cambria;sans-serif" w:hAnsi="Cambria;sans-serif"/>
                          <w:b w:val="false"/>
                          <w:i/>
                          <w:color w:val="000000"/>
                          <w:sz w:val="16"/>
                        </w:rPr>
                        <w:t>It may not be copied or reproduced without prior written permission from SI-BONE.</w:t>
                      </w:r>
                    </w:p>
                  </w:txbxContent>
                </v:textbox>
                <w10:wrap type="none"/>
              </v:rect>
            </w:pict>
          </mc:Fallback>
        </mc:AlternateContent>
      </w:r>
    </w:p>
    <w:tbl>
      <w:tblPr>
        <w:tblW w:w="7164" w:type="dxa"/>
        <w:jc w:val="left"/>
        <w:tblInd w:w="0" w:type="dxa"/>
        <w:tblLayout w:type="fixed"/>
        <w:tblCellMar>
          <w:top w:w="28" w:type="dxa"/>
          <w:left w:w="28" w:type="dxa"/>
          <w:bottom w:w="28" w:type="dxa"/>
          <w:right w:w="28" w:type="dxa"/>
        </w:tblCellMar>
      </w:tblPr>
      <w:tblGrid>
        <w:gridCol w:w="678"/>
        <w:gridCol w:w="596"/>
        <w:gridCol w:w="597"/>
        <w:gridCol w:w="859"/>
        <w:gridCol w:w="859"/>
        <w:gridCol w:w="861"/>
        <w:gridCol w:w="794"/>
        <w:gridCol w:w="794"/>
        <w:gridCol w:w="1126"/>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187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left"/>
              <w:rPr/>
            </w:pPr>
            <w:r>
              <w:rPr/>
              <w:drawing>
                <wp:inline distT="0" distB="0" distL="0" distR="0">
                  <wp:extent cx="1123950" cy="495300"/>
                  <wp:effectExtent l="0" t="0" r="0" b="0"/>
                  <wp:docPr id="18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7" descr=""/>
                          <pic:cNvPicPr>
                            <a:picLocks noChangeAspect="1" noChangeArrowheads="1"/>
                          </pic:cNvPicPr>
                        </pic:nvPicPr>
                        <pic:blipFill>
                          <a:blip r:embed="rId60"/>
                          <a:stretch>
                            <a:fillRect/>
                          </a:stretch>
                        </pic:blipFill>
                        <pic:spPr bwMode="auto">
                          <a:xfrm>
                            <a:off x="0" y="0"/>
                            <a:ext cx="1123950" cy="495300"/>
                          </a:xfrm>
                          <a:prstGeom prst="rect">
                            <a:avLst/>
                          </a:prstGeom>
                        </pic:spPr>
                      </pic:pic>
                    </a:graphicData>
                  </a:graphic>
                </wp:inline>
              </w:drawing>
            </w:r>
          </w:p>
        </w:tc>
        <w:tc>
          <w:tcPr>
            <w:tcW w:w="25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Cambria;sans-serif" w:hAnsi="Cambria;sans-serif"/>
                <w:b/>
                <w:color w:val="000000"/>
                <w:sz w:val="24"/>
              </w:rPr>
            </w:pPr>
            <w:r>
              <w:rPr>
                <w:rFonts w:ascii="Cambria;sans-serif" w:hAnsi="Cambria;sans-serif"/>
                <w:b/>
                <w:color w:val="000000"/>
                <w:sz w:val="24"/>
              </w:rPr>
              <w:t>Corporate Policy</w:t>
            </w:r>
          </w:p>
          <w:p>
            <w:pPr>
              <w:pStyle w:val="TableContents"/>
              <w:bidi w:val="0"/>
              <w:spacing w:lineRule="auto" w:line="288" w:before="0" w:after="0"/>
              <w:jc w:val="center"/>
              <w:rPr>
                <w:rFonts w:ascii="Cambria;sans-serif" w:hAnsi="Cambria;sans-serif"/>
                <w:b/>
                <w:color w:val="000000"/>
                <w:sz w:val="24"/>
              </w:rPr>
            </w:pPr>
            <w:r>
              <w:rPr>
                <w:rFonts w:ascii="Cambria;sans-serif" w:hAnsi="Cambria;sans-serif"/>
                <w:b/>
                <w:color w:val="000000"/>
                <w:sz w:val="24"/>
              </w:rPr>
              <w:t>Insider Trading Policy</w:t>
            </w:r>
          </w:p>
        </w:tc>
        <w:tc>
          <w:tcPr>
            <w:tcW w:w="271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Document No: CORP-0006</w:t>
            </w:r>
          </w:p>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Revision: E</w:t>
            </w:r>
          </w:p>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Effective Date: 12/05/2025</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Page 3 of 11</w:t>
            </w:r>
          </w:p>
        </w:tc>
      </w:tr>
    </w:tbl>
    <w:p>
      <w:pPr>
        <w:pStyle w:val="TextBody"/>
        <w:bidi w:val="0"/>
        <w:spacing w:before="0" w:after="0"/>
        <w:jc w:val="both"/>
        <w:rPr/>
      </w:pPr>
      <w:r>
        <w:rPr/>
      </w:r>
    </w:p>
    <w:p>
      <w:pPr>
        <w:pStyle w:val="TextBody"/>
        <w:bidi w:val="0"/>
        <w:spacing w:lineRule="auto" w:line="240" w:before="0" w:after="120"/>
        <w:ind w:left="0" w:right="0" w:hanging="720"/>
        <w:jc w:val="both"/>
        <w:rPr>
          <w:rFonts w:ascii="Cambria;sans-serif" w:hAnsi="Cambria;sans-serif"/>
          <w:b/>
          <w:color w:val="000000"/>
          <w:sz w:val="22"/>
        </w:rPr>
      </w:pPr>
      <w:r>
        <w:rPr>
          <w:rFonts w:ascii="Cambria;sans-serif" w:hAnsi="Cambria;sans-serif"/>
          <w:b/>
          <w:color w:val="000000"/>
          <w:sz w:val="22"/>
        </w:rPr>
        <w:t>6.Covered Insiders</w:t>
      </w:r>
    </w:p>
    <w:p>
      <w:pPr>
        <w:pStyle w:val="TextBody"/>
        <w:bidi w:val="0"/>
        <w:spacing w:lineRule="auto" w:line="288" w:before="0" w:after="120"/>
        <w:ind w:left="0" w:right="0" w:firstLine="720"/>
        <w:jc w:val="both"/>
        <w:rPr/>
      </w:pPr>
      <w:r>
        <w:rPr>
          <w:color w:val="000000"/>
        </w:rPr>
        <w:t>“</w:t>
      </w:r>
      <w:r>
        <w:rPr>
          <w:rFonts w:ascii="Cambria;sans-serif" w:hAnsi="Cambria;sans-serif"/>
          <w:b/>
          <w:color w:val="000000"/>
          <w:sz w:val="22"/>
        </w:rPr>
        <w:t>Covered Insiders”</w:t>
      </w:r>
      <w:r>
        <w:rPr>
          <w:color w:val="000000"/>
        </w:rPr>
        <w:t xml:space="preserve"> </w:t>
      </w:r>
      <w:r>
        <w:rPr>
          <w:rFonts w:ascii="Cambria;sans-serif" w:hAnsi="Cambria;sans-serif"/>
          <w:b w:val="false"/>
          <w:color w:val="000000"/>
          <w:sz w:val="22"/>
        </w:rPr>
        <w:t>includes board of directors and any employees, covered consultants or other persons who (a) hold the title of Vice President or higher, (b) are Regional Sales Directors, (c) are employed within the accounting and finance departments, or (d) are deemed by the Clearing Officers to have routine access to ongoing revenue reporting or other material, nonpublic information by nature of their role or position within the Company. Generally, any entities or family members or others whose trading activities are controlled or influenced by any person should be considered to be subject to the same restrictions as such person.</w:t>
      </w:r>
    </w:p>
    <w:p>
      <w:pPr>
        <w:pStyle w:val="TextBody"/>
        <w:bidi w:val="0"/>
        <w:spacing w:lineRule="auto" w:line="240" w:before="0" w:after="120"/>
        <w:ind w:left="0" w:right="0" w:hanging="720"/>
        <w:jc w:val="both"/>
        <w:rPr>
          <w:rFonts w:ascii="Cambria;sans-serif" w:hAnsi="Cambria;sans-serif"/>
          <w:b/>
          <w:color w:val="000000"/>
          <w:sz w:val="22"/>
        </w:rPr>
      </w:pPr>
      <w:r>
        <w:rPr>
          <w:rFonts w:ascii="Cambria;sans-serif" w:hAnsi="Cambria;sans-serif"/>
          <w:b/>
          <w:color w:val="000000"/>
          <w:sz w:val="22"/>
        </w:rPr>
        <w:t>7.Window Period</w:t>
      </w:r>
    </w:p>
    <w:p>
      <w:pPr>
        <w:pStyle w:val="TextBody"/>
        <w:bidi w:val="0"/>
        <w:spacing w:lineRule="auto" w:line="288" w:before="0" w:after="120"/>
        <w:ind w:left="0" w:right="0" w:firstLine="720"/>
        <w:jc w:val="both"/>
        <w:rPr>
          <w:rFonts w:ascii="Cambria;sans-serif" w:hAnsi="Cambria;sans-serif"/>
          <w:b w:val="false"/>
          <w:color w:val="000000"/>
          <w:sz w:val="22"/>
        </w:rPr>
      </w:pPr>
      <w:r>
        <w:rPr>
          <w:rFonts w:ascii="Cambria;sans-serif" w:hAnsi="Cambria;sans-serif"/>
          <w:b w:val="false"/>
          <w:color w:val="000000"/>
          <w:sz w:val="22"/>
        </w:rPr>
        <w:t>Generally, except as set forth in this policy, Covered Insiders may buy or sell securities of the Company only during a “window period” that opens after one full trading day has elapsed after the public dissemination of the Company’s annual or quarterly financial results and closes two weeks before the end of the next quarter. This window period may be closed early or may not open if, in the judgment of the Company’s Chief Executive Officer, Chief Financial Officer, or Chief Business &amp; Legal Affairs Officer, there exists undisclosed information that would make trades by Covered Insiders inappropriate. It is important to note that the fact that the window period has closed early or has not opened should be considered inside information. A Covered Insider who believes that special circumstances require him or her to trade outside the window period should consult with the Company’s Chief Business &amp; Legal Affairs Officer who will consult with the Company’s outside counsel. Permission to trade outside the window period will be granted only where the circumstances are extenuating and there appears to be no significant risk that the trade may subsequently be questioned.</w:t>
      </w:r>
    </w:p>
    <w:p>
      <w:pPr>
        <w:pStyle w:val="TextBody"/>
        <w:bidi w:val="0"/>
        <w:spacing w:lineRule="auto" w:line="240" w:before="0" w:after="120"/>
        <w:ind w:left="0" w:right="0" w:hanging="720"/>
        <w:jc w:val="both"/>
        <w:rPr>
          <w:rFonts w:ascii="Cambria;sans-serif" w:hAnsi="Cambria;sans-serif"/>
          <w:b/>
          <w:color w:val="000000"/>
          <w:sz w:val="22"/>
        </w:rPr>
      </w:pPr>
      <w:r>
        <w:rPr>
          <w:rFonts w:ascii="Cambria;sans-serif" w:hAnsi="Cambria;sans-serif"/>
          <w:b/>
          <w:color w:val="000000"/>
          <w:sz w:val="22"/>
        </w:rPr>
        <w:t>8.Exceptions to Window Period</w:t>
      </w:r>
    </w:p>
    <w:p>
      <w:pPr>
        <w:pStyle w:val="TextBody"/>
        <w:bidi w:val="0"/>
        <w:spacing w:lineRule="auto" w:line="240" w:before="0" w:after="120"/>
        <w:ind w:left="0" w:right="0" w:hanging="720"/>
        <w:jc w:val="both"/>
        <w:rPr/>
      </w:pPr>
      <w:r>
        <w:rPr>
          <w:rFonts w:ascii="Cambria;sans-serif" w:hAnsi="Cambria;sans-serif"/>
          <w:b/>
          <w:color w:val="000000"/>
          <w:sz w:val="22"/>
        </w:rPr>
        <w:t>8.1ESPP/Option Exercises</w:t>
      </w:r>
      <w:r>
        <w:rPr>
          <w:rFonts w:ascii="Cambria;sans-serif" w:hAnsi="Cambria;sans-serif"/>
          <w:b w:val="false"/>
          <w:color w:val="000000"/>
          <w:sz w:val="22"/>
        </w:rPr>
        <w:t>. Employees who are eligible to do so may purchase stock under the Company’s Employee Stock Purchase Plan (“ESPP”) on periodic designated dates in accordance with the ESPP without restriction to any particular period. Covered Insiders may use cash payment to exercise options granted under the Company’s stock option plans without restriction to any particular period. However, the subsequent sale (including the sale of stock in a cashless exercise program) or other disposition of such stock acquired upon the exercise of options or pursuant to the ESPP is subject to all restrictions of this policy.</w:t>
      </w:r>
    </w:p>
    <w:p>
      <w:pPr>
        <w:pStyle w:val="TextBody"/>
        <w:bidi w:val="0"/>
        <w:spacing w:lineRule="auto" w:line="240" w:before="0" w:after="120"/>
        <w:ind w:left="0" w:right="0" w:hanging="720"/>
        <w:jc w:val="both"/>
        <w:rPr/>
      </w:pPr>
      <w:r>
        <w:rPr>
          <w:rFonts w:ascii="Cambria;sans-serif" w:hAnsi="Cambria;sans-serif"/>
          <w:b/>
          <w:color w:val="000000"/>
          <w:sz w:val="22"/>
        </w:rPr>
        <w:t>8.210b5-1 Automatic Trading Programs</w:t>
      </w:r>
      <w:r>
        <w:rPr>
          <w:rFonts w:ascii="Cambria;sans-serif" w:hAnsi="Cambria;sans-serif"/>
          <w:b w:val="false"/>
          <w:color w:val="000000"/>
          <w:sz w:val="22"/>
        </w:rPr>
        <w:t>. In addition, purchases or sales of the Company’s securities made pursuant to, and in compliance with, a written plan established by a Covered Insider that meets the requirements of Rule 10b5-1 under the Securities Exchange Act of 1934, as amended (the “</w:t>
      </w:r>
      <w:r>
        <w:rPr>
          <w:rFonts w:ascii="Cambria;sans-serif" w:hAnsi="Cambria;sans-serif"/>
          <w:b/>
          <w:color w:val="000000"/>
          <w:sz w:val="22"/>
        </w:rPr>
        <w:t>Exchange Act</w:t>
      </w:r>
      <w:r>
        <w:rPr>
          <w:color w:val="000000"/>
        </w:rPr>
        <w:t>”</w:t>
      </w:r>
      <w:r>
        <w:rPr>
          <w:rFonts w:ascii="Cambria;sans-serif" w:hAnsi="Cambria;sans-serif"/>
          <w:b w:val="false"/>
          <w:color w:val="000000"/>
          <w:sz w:val="22"/>
        </w:rPr>
        <w:t>) (a “</w:t>
      </w:r>
      <w:r>
        <w:rPr>
          <w:rFonts w:ascii="Cambria;sans-serif" w:hAnsi="Cambria;sans-serif"/>
          <w:b/>
          <w:color w:val="000000"/>
          <w:sz w:val="22"/>
        </w:rPr>
        <w:t>Trading</w:t>
      </w:r>
      <w:r>
        <w:rPr>
          <w:color w:val="000000"/>
        </w:rPr>
        <w:t xml:space="preserve"> </w:t>
      </w:r>
      <w:r>
        <w:rPr>
          <w:rFonts w:ascii="Cambria;sans-serif" w:hAnsi="Cambria;sans-serif"/>
          <w:b/>
          <w:color w:val="000000"/>
          <w:sz w:val="22"/>
        </w:rPr>
        <w:t>Plan</w:t>
      </w:r>
      <w:r>
        <w:rPr>
          <w:color w:val="000000"/>
        </w:rPr>
        <w:t>”</w:t>
      </w:r>
      <w:r>
        <w:rPr>
          <w:rFonts w:ascii="Cambria;sans-serif" w:hAnsi="Cambria;sans-serif"/>
          <w:b w:val="false"/>
          <w:color w:val="000000"/>
          <w:sz w:val="22"/>
        </w:rPr>
        <w:t xml:space="preserve">) may be made without restriction to any particular period, provided that (i) the Trading Plan was established in good faith, in compliance with the requirements of Rule 10b5-1, at the time when such individual was not in possession of inside information about the Company and the Company had not imposed any trading blackout period, (ii) the Trading Plan complies with the requirements set forth in the Company’s 10b5-1 Trading Plan Guidelines, and (iii) the Trading Plan was reviewed by the Company prior to establishment, solely to confirm compliance with Company policy and applicable securities laws. The Company must review the plan prior to the establishment of any such Trading Plan or any amendments to such Trading Plan and be notified of the termination of such Trading Plan. Covered Insiders should carefully review </w:t>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19.1</w:t>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271780"/>
                <wp:effectExtent l="0" t="0" r="0" b="0"/>
                <wp:wrapNone/>
                <wp:docPr id="183" name="Frame176"/>
                <a:graphic xmlns:a="http://schemas.openxmlformats.org/drawingml/2006/main">
                  <a:graphicData uri="http://schemas.microsoft.com/office/word/2010/wordprocessingShape">
                    <wps:wsp>
                      <wps:cNvSpPr txBox="1"/>
                      <wps:spPr>
                        <a:xfrm>
                          <a:off x="0" y="0"/>
                          <a:ext cx="6480175" cy="271780"/>
                        </a:xfrm>
                        <a:prstGeom prst="rect"/>
                        <a:solidFill>
                          <a:srgbClr val="FFFFFF"/>
                        </a:solidFill>
                      </wps:spPr>
                      <wps:txbx>
                        <w:txbxContent>
                          <w:p>
                            <w:pPr>
                              <w:pStyle w:val="TextBody"/>
                              <w:bidi w:val="0"/>
                              <w:spacing w:lineRule="atLeast" w:line="240" w:before="0" w:after="0"/>
                              <w:jc w:val="center"/>
                              <w:rPr>
                                <w:rFonts w:ascii="Cambria;sans-serif" w:hAnsi="Cambria;sans-serif"/>
                                <w:b w:val="false"/>
                                <w:i/>
                                <w:color w:val="000000"/>
                                <w:sz w:val="16"/>
                              </w:rPr>
                            </w:pPr>
                            <w:r>
                              <w:rPr>
                                <w:rFonts w:ascii="Cambria;sans-serif" w:hAnsi="Cambria;sans-serif"/>
                                <w:b w:val="false"/>
                                <w:i/>
                                <w:color w:val="000000"/>
                                <w:sz w:val="16"/>
                              </w:rPr>
                              <w:t>This document contains confidential and proprietary information of SI-BONE.</w:t>
                            </w:r>
                            <w:r>
                              <w:br w:type="page"/>
                            </w:r>
                          </w:p>
                          <w:p>
                            <w:pPr>
                              <w:pStyle w:val="TextBody"/>
                              <w:bidi w:val="0"/>
                              <w:spacing w:lineRule="auto" w:line="288" w:before="0" w:after="0"/>
                              <w:jc w:val="center"/>
                              <w:rPr>
                                <w:rFonts w:ascii="Cambria;sans-serif" w:hAnsi="Cambria;sans-serif"/>
                                <w:b w:val="false"/>
                                <w:i/>
                                <w:color w:val="000000"/>
                                <w:sz w:val="16"/>
                              </w:rPr>
                            </w:pPr>
                            <w:r>
                              <w:rPr>
                                <w:rFonts w:ascii="Cambria;sans-serif" w:hAnsi="Cambria;sans-serif"/>
                                <w:b w:val="false"/>
                                <w:i/>
                                <w:color w:val="000000"/>
                                <w:sz w:val="16"/>
                              </w:rPr>
                              <w:t>It may not be copied or reproduced without prior written permission from SI-BONE.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4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tLeast" w:line="240" w:before="0" w:after="0"/>
                        <w:jc w:val="center"/>
                        <w:rPr>
                          <w:rFonts w:ascii="Cambria;sans-serif" w:hAnsi="Cambria;sans-serif"/>
                          <w:b w:val="false"/>
                          <w:i/>
                          <w:color w:val="000000"/>
                          <w:sz w:val="16"/>
                        </w:rPr>
                      </w:pPr>
                      <w:r>
                        <w:rPr>
                          <w:rFonts w:ascii="Cambria;sans-serif" w:hAnsi="Cambria;sans-serif"/>
                          <w:b w:val="false"/>
                          <w:i/>
                          <w:color w:val="000000"/>
                          <w:sz w:val="16"/>
                        </w:rPr>
                        <w:t>This document contains confidential and proprietary information of SI-BONE.</w:t>
                      </w:r>
                    </w:p>
                    <w:p>
                      <w:pPr>
                        <w:pStyle w:val="TextBody"/>
                        <w:bidi w:val="0"/>
                        <w:spacing w:lineRule="auto" w:line="288" w:before="0" w:after="0"/>
                        <w:jc w:val="center"/>
                        <w:rPr>
                          <w:rFonts w:ascii="Cambria;sans-serif" w:hAnsi="Cambria;sans-serif"/>
                          <w:b w:val="false"/>
                          <w:i/>
                          <w:color w:val="000000"/>
                          <w:sz w:val="16"/>
                        </w:rPr>
                      </w:pPr>
                      <w:r>
                        <w:rPr>
                          <w:rFonts w:ascii="Cambria;sans-serif" w:hAnsi="Cambria;sans-serif"/>
                          <w:b w:val="false"/>
                          <w:i/>
                          <w:color w:val="000000"/>
                          <w:sz w:val="16"/>
                        </w:rPr>
                        <w:t>It may not be copied or reproduced without prior written permission from SI-BONE.</w:t>
                      </w:r>
                    </w:p>
                  </w:txbxContent>
                </v:textbox>
                <w10:wrap type="none"/>
              </v:rect>
            </w:pict>
          </mc:Fallback>
        </mc:AlternateContent>
      </w:r>
    </w:p>
    <w:tbl>
      <w:tblPr>
        <w:tblW w:w="7164" w:type="dxa"/>
        <w:jc w:val="left"/>
        <w:tblInd w:w="0" w:type="dxa"/>
        <w:tblLayout w:type="fixed"/>
        <w:tblCellMar>
          <w:top w:w="28" w:type="dxa"/>
          <w:left w:w="28" w:type="dxa"/>
          <w:bottom w:w="28" w:type="dxa"/>
          <w:right w:w="28" w:type="dxa"/>
        </w:tblCellMar>
      </w:tblPr>
      <w:tblGrid>
        <w:gridCol w:w="678"/>
        <w:gridCol w:w="596"/>
        <w:gridCol w:w="597"/>
        <w:gridCol w:w="859"/>
        <w:gridCol w:w="859"/>
        <w:gridCol w:w="861"/>
        <w:gridCol w:w="794"/>
        <w:gridCol w:w="794"/>
        <w:gridCol w:w="1126"/>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187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left"/>
              <w:rPr/>
            </w:pPr>
            <w:r>
              <w:rPr/>
              <w:drawing>
                <wp:inline distT="0" distB="0" distL="0" distR="0">
                  <wp:extent cx="1123950" cy="495300"/>
                  <wp:effectExtent l="0" t="0" r="0" b="0"/>
                  <wp:docPr id="18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8" descr=""/>
                          <pic:cNvPicPr>
                            <a:picLocks noChangeAspect="1" noChangeArrowheads="1"/>
                          </pic:cNvPicPr>
                        </pic:nvPicPr>
                        <pic:blipFill>
                          <a:blip r:embed="rId61"/>
                          <a:stretch>
                            <a:fillRect/>
                          </a:stretch>
                        </pic:blipFill>
                        <pic:spPr bwMode="auto">
                          <a:xfrm>
                            <a:off x="0" y="0"/>
                            <a:ext cx="1123950" cy="495300"/>
                          </a:xfrm>
                          <a:prstGeom prst="rect">
                            <a:avLst/>
                          </a:prstGeom>
                        </pic:spPr>
                      </pic:pic>
                    </a:graphicData>
                  </a:graphic>
                </wp:inline>
              </w:drawing>
            </w:r>
          </w:p>
        </w:tc>
        <w:tc>
          <w:tcPr>
            <w:tcW w:w="25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Cambria;sans-serif" w:hAnsi="Cambria;sans-serif"/>
                <w:b/>
                <w:color w:val="000000"/>
                <w:sz w:val="24"/>
              </w:rPr>
            </w:pPr>
            <w:r>
              <w:rPr>
                <w:rFonts w:ascii="Cambria;sans-serif" w:hAnsi="Cambria;sans-serif"/>
                <w:b/>
                <w:color w:val="000000"/>
                <w:sz w:val="24"/>
              </w:rPr>
              <w:t>Corporate Policy</w:t>
            </w:r>
          </w:p>
          <w:p>
            <w:pPr>
              <w:pStyle w:val="TableContents"/>
              <w:bidi w:val="0"/>
              <w:spacing w:lineRule="auto" w:line="288" w:before="0" w:after="0"/>
              <w:jc w:val="center"/>
              <w:rPr>
                <w:rFonts w:ascii="Cambria;sans-serif" w:hAnsi="Cambria;sans-serif"/>
                <w:b/>
                <w:color w:val="000000"/>
                <w:sz w:val="24"/>
              </w:rPr>
            </w:pPr>
            <w:r>
              <w:rPr>
                <w:rFonts w:ascii="Cambria;sans-serif" w:hAnsi="Cambria;sans-serif"/>
                <w:b/>
                <w:color w:val="000000"/>
                <w:sz w:val="24"/>
              </w:rPr>
              <w:t>Insider Trading Policy</w:t>
            </w:r>
          </w:p>
        </w:tc>
        <w:tc>
          <w:tcPr>
            <w:tcW w:w="271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Document No: CORP-0006</w:t>
            </w:r>
          </w:p>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Revision: E</w:t>
            </w:r>
          </w:p>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Effective Date: 12/05/2025</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Page 4 of 11</w:t>
            </w:r>
          </w:p>
        </w:tc>
      </w:tr>
    </w:tbl>
    <w:p>
      <w:pPr>
        <w:pStyle w:val="TextBody"/>
        <w:bidi w:val="0"/>
        <w:spacing w:before="0" w:after="0"/>
        <w:jc w:val="both"/>
        <w:rPr/>
      </w:pPr>
      <w:r>
        <w:rPr/>
      </w:r>
    </w:p>
    <w:p>
      <w:pPr>
        <w:pStyle w:val="TextBody"/>
        <w:bidi w:val="0"/>
        <w:spacing w:lineRule="auto" w:line="240" w:before="0" w:after="120"/>
        <w:jc w:val="both"/>
        <w:rPr>
          <w:rFonts w:ascii="Cambria;sans-serif" w:hAnsi="Cambria;sans-serif"/>
          <w:b w:val="false"/>
          <w:color w:val="000000"/>
          <w:sz w:val="22"/>
        </w:rPr>
      </w:pPr>
      <w:r>
        <w:rPr>
          <w:rFonts w:ascii="Cambria;sans-serif" w:hAnsi="Cambria;sans-serif"/>
          <w:b w:val="false"/>
          <w:color w:val="000000"/>
          <w:sz w:val="22"/>
        </w:rPr>
        <w:t>the Company’s 10b5-1 Trading Plan Guidelines prior to adopting such a plan; Covered Insiders must comply with such Guidelines to the extent they are binding on the adoption, use and termination of a 10b5-1 Trading Plan (a “Trading Plan”) in the Company’s securities.</w:t>
      </w:r>
    </w:p>
    <w:p>
      <w:pPr>
        <w:pStyle w:val="TextBody"/>
        <w:bidi w:val="0"/>
        <w:spacing w:lineRule="auto" w:line="240" w:before="0" w:after="120"/>
        <w:ind w:left="0" w:right="0" w:hanging="720"/>
        <w:jc w:val="both"/>
        <w:rPr>
          <w:rFonts w:ascii="Cambria;sans-serif" w:hAnsi="Cambria;sans-serif"/>
          <w:b/>
          <w:color w:val="000000"/>
          <w:sz w:val="22"/>
        </w:rPr>
      </w:pPr>
      <w:r>
        <w:rPr>
          <w:rFonts w:ascii="Cambria;sans-serif" w:hAnsi="Cambria;sans-serif"/>
          <w:b/>
          <w:color w:val="000000"/>
          <w:sz w:val="22"/>
        </w:rPr>
        <w:t>9.Pre-Clearance and Advance Notice of Transactions</w:t>
      </w:r>
    </w:p>
    <w:p>
      <w:pPr>
        <w:pStyle w:val="TextBody"/>
        <w:bidi w:val="0"/>
        <w:spacing w:lineRule="auto" w:line="288" w:before="0" w:after="120"/>
        <w:ind w:left="0" w:right="0" w:firstLine="720"/>
        <w:jc w:val="both"/>
        <w:rPr/>
      </w:pPr>
      <w:r>
        <w:rPr>
          <w:rFonts w:ascii="Cambria;sans-serif" w:hAnsi="Cambria;sans-serif"/>
          <w:b w:val="false"/>
          <w:color w:val="000000"/>
          <w:sz w:val="22"/>
        </w:rPr>
        <w:t>In addition to the requirements stated above, Covered Insiders may not engage in any transaction in the Company’s securities, including any purchase or sale in the open market, loan, pledge, hedge or other transfer of beneficial ownership without first obtaining pre-clearance of the transaction from the Company’s Chief Business &amp; Legal Affairs Officer (the “</w:t>
      </w:r>
      <w:r>
        <w:rPr>
          <w:rFonts w:ascii="Cambria;sans-serif" w:hAnsi="Cambria;sans-serif"/>
          <w:b/>
          <w:color w:val="000000"/>
          <w:sz w:val="22"/>
        </w:rPr>
        <w:t>Clearing Officer</w:t>
      </w:r>
      <w:r>
        <w:rPr>
          <w:color w:val="000000"/>
        </w:rPr>
        <w:t>”</w:t>
      </w:r>
      <w:r>
        <w:rPr>
          <w:rFonts w:ascii="Cambria;sans-serif" w:hAnsi="Cambria;sans-serif"/>
          <w:b w:val="false"/>
          <w:color w:val="000000"/>
          <w:sz w:val="22"/>
        </w:rPr>
        <w:t xml:space="preserve">) with reasonable advance notice prior to the proposed transaction. The Clearing Officer will then determine whether the transaction may proceed. Pre-cleared transactions not completed within five business days shall require new pre-clearance under the provisions of this paragraph. The Company may, at its discretion, shorten such period of time. If applicable, the Clearing Officer will also direct the Compliance Coordinator (as identified in the Company’s Section 16 Compliance Program) to assist in complying with the reporting requirements under Section 16(a) of the Exchange Act. </w:t>
      </w:r>
    </w:p>
    <w:p>
      <w:pPr>
        <w:pStyle w:val="TextBody"/>
        <w:bidi w:val="0"/>
        <w:spacing w:lineRule="auto" w:line="288" w:before="0" w:after="120"/>
        <w:ind w:left="0" w:right="0" w:firstLine="720"/>
        <w:jc w:val="both"/>
        <w:rPr>
          <w:rFonts w:ascii="Cambria;sans-serif" w:hAnsi="Cambria;sans-serif"/>
          <w:b w:val="false"/>
          <w:color w:val="000000"/>
          <w:sz w:val="22"/>
        </w:rPr>
      </w:pPr>
      <w:r>
        <w:rPr>
          <w:rFonts w:ascii="Cambria;sans-serif" w:hAnsi="Cambria;sans-serif"/>
          <w:b w:val="false"/>
          <w:color w:val="000000"/>
          <w:sz w:val="22"/>
        </w:rPr>
        <w:t>Advance notice of gifts or an intent to exercise an outstanding stock option by a Covered Insider shall be given to a Clearing Officer. To the extent possible, advance notice of upcoming transactions to be effected pursuant to an established Trading Plan shall also be given to a Clearing Officer. Immediately upon completion of any transaction, the Covered Insider must notify the Compliance Coordinator and any other individuals identified in Section 3 of the Company’s Section 16 Compliance Program so that the Company may assist in any Section 16 reporting obligations.</w:t>
      </w:r>
    </w:p>
    <w:p>
      <w:pPr>
        <w:pStyle w:val="TextBody"/>
        <w:bidi w:val="0"/>
        <w:spacing w:lineRule="auto" w:line="240" w:before="0" w:after="120"/>
        <w:ind w:left="0" w:right="0" w:hanging="720"/>
        <w:jc w:val="both"/>
        <w:rPr>
          <w:rFonts w:ascii="Cambria;sans-serif" w:hAnsi="Cambria;sans-serif"/>
          <w:b/>
          <w:color w:val="000000"/>
          <w:sz w:val="22"/>
        </w:rPr>
      </w:pPr>
      <w:r>
        <w:rPr>
          <w:rFonts w:ascii="Cambria;sans-serif" w:hAnsi="Cambria;sans-serif"/>
          <w:b/>
          <w:color w:val="000000"/>
          <w:sz w:val="22"/>
        </w:rPr>
        <w:t>10.Prohibition of Hedging, Speculative Trading or Short-Sales</w:t>
      </w:r>
    </w:p>
    <w:p>
      <w:pPr>
        <w:pStyle w:val="TextBody"/>
        <w:bidi w:val="0"/>
        <w:spacing w:lineRule="auto" w:line="288" w:before="0" w:after="120"/>
        <w:ind w:left="0" w:right="0" w:firstLine="720"/>
        <w:jc w:val="both"/>
        <w:rPr>
          <w:rFonts w:ascii="Cambria;sans-serif" w:hAnsi="Cambria;sans-serif"/>
          <w:b w:val="false"/>
          <w:color w:val="000000"/>
          <w:sz w:val="22"/>
        </w:rPr>
      </w:pPr>
      <w:r>
        <w:rPr>
          <w:rFonts w:ascii="Cambria;sans-serif" w:hAnsi="Cambria;sans-serif"/>
          <w:b w:val="false"/>
          <w:color w:val="000000"/>
          <w:sz w:val="22"/>
        </w:rPr>
        <w:t>No director, employee or covered consultant may engage in short sales, transactions in put or call options, hedging transactions, margin accounts, pledges, or other inherently speculative transactions with respect to the Company’s stock at any time.</w:t>
      </w:r>
    </w:p>
    <w:p>
      <w:pPr>
        <w:pStyle w:val="TextBody"/>
        <w:bidi w:val="0"/>
        <w:spacing w:lineRule="auto" w:line="240" w:before="0" w:after="120"/>
        <w:ind w:left="0" w:right="0" w:hanging="720"/>
        <w:jc w:val="both"/>
        <w:rPr>
          <w:rFonts w:ascii="Cambria;sans-serif" w:hAnsi="Cambria;sans-serif"/>
          <w:b/>
          <w:color w:val="000000"/>
          <w:sz w:val="22"/>
        </w:rPr>
      </w:pPr>
      <w:r>
        <w:rPr>
          <w:rFonts w:ascii="Cambria;sans-serif" w:hAnsi="Cambria;sans-serif"/>
          <w:b/>
          <w:color w:val="000000"/>
          <w:sz w:val="22"/>
        </w:rPr>
        <w:t xml:space="preserve">10.1Short-Swing Trading/Control Stock/Section 16 Reports </w:t>
      </w:r>
    </w:p>
    <w:p>
      <w:pPr>
        <w:pStyle w:val="TextBody"/>
        <w:bidi w:val="0"/>
        <w:spacing w:lineRule="auto" w:line="288" w:before="0" w:after="120"/>
        <w:ind w:left="0" w:right="0" w:firstLine="720"/>
        <w:jc w:val="both"/>
        <w:rPr>
          <w:rFonts w:ascii="Cambria;sans-serif" w:hAnsi="Cambria;sans-serif"/>
          <w:b w:val="false"/>
          <w:color w:val="000000"/>
          <w:sz w:val="22"/>
        </w:rPr>
      </w:pPr>
      <w:r>
        <w:rPr>
          <w:rFonts w:ascii="Cambria;sans-serif" w:hAnsi="Cambria;sans-serif"/>
          <w:b w:val="false"/>
          <w:color w:val="000000"/>
          <w:sz w:val="22"/>
        </w:rPr>
        <w:t>Officers and directors subject to the reporting obligations under Section 16 of the Exchange Act should take care not to violate the prohibition on short-swing trading (Section 16(b) of the Exchange Act) and the restrictions on sales by control persons (Rule 144 under the Securities Act of 1933, as amended), and should file all appropriate Section 16(a) reports (Forms 3, 4 and 5), which are enumerated and described in the Company’s Section 16 Compliance Program, and any notices of sale required by Rule 144.</w:t>
      </w:r>
    </w:p>
    <w:p>
      <w:pPr>
        <w:pStyle w:val="TextBody"/>
        <w:bidi w:val="0"/>
        <w:spacing w:lineRule="auto" w:line="240" w:before="0" w:after="120"/>
        <w:ind w:left="0" w:right="0" w:hanging="720"/>
        <w:jc w:val="both"/>
        <w:rPr>
          <w:rFonts w:ascii="Cambria;sans-serif" w:hAnsi="Cambria;sans-serif"/>
          <w:b/>
          <w:color w:val="000000"/>
          <w:sz w:val="22"/>
        </w:rPr>
      </w:pPr>
      <w:r>
        <w:rPr>
          <w:rFonts w:ascii="Cambria;sans-serif" w:hAnsi="Cambria;sans-serif"/>
          <w:b/>
          <w:color w:val="000000"/>
          <w:sz w:val="22"/>
        </w:rPr>
        <w:t>10.2Prohibition of Speculative Trading in the Securities of Other Companies</w:t>
      </w:r>
    </w:p>
    <w:p>
      <w:pPr>
        <w:pStyle w:val="TextBody"/>
        <w:bidi w:val="0"/>
        <w:spacing w:lineRule="auto" w:line="288" w:before="0" w:after="120"/>
        <w:ind w:left="0" w:right="0" w:firstLine="720"/>
        <w:jc w:val="both"/>
        <w:rPr>
          <w:rFonts w:ascii="Cambria;sans-serif" w:hAnsi="Cambria;sans-serif"/>
          <w:b w:val="false"/>
          <w:color w:val="000000"/>
          <w:sz w:val="22"/>
        </w:rPr>
      </w:pPr>
      <w:r>
        <w:rPr>
          <w:rFonts w:ascii="Cambria;sans-serif" w:hAnsi="Cambria;sans-serif"/>
          <w:b w:val="false"/>
          <w:color w:val="000000"/>
          <w:sz w:val="22"/>
        </w:rPr>
        <w:t>In addition to restrictions on trading the Company’s securities, you are prohibited from trading in securities of any other company while in possession of material nonpublic information about such company that you obtained through your employment, directorship, or consultancy with the Company. This prohibition applies regardless of how you obtained such information and includes:</w:t>
      </w:r>
    </w:p>
    <w:p>
      <w:pPr>
        <w:pStyle w:val="TextBody"/>
        <w:bidi w:val="0"/>
        <w:spacing w:lineRule="auto" w:line="288" w:before="0" w:after="120"/>
        <w:ind w:left="0" w:right="0" w:hanging="360"/>
        <w:jc w:val="both"/>
        <w:rPr/>
      </w:pPr>
      <w:r>
        <w:rPr>
          <w:color w:val="000000"/>
        </w:rPr>
        <w:t>•</w:t>
      </w:r>
      <w:r>
        <w:rPr>
          <w:rFonts w:ascii="Cambria;sans-serif" w:hAnsi="Cambria;sans-serif"/>
          <w:b w:val="false"/>
          <w:color w:val="000000"/>
          <w:sz w:val="22"/>
        </w:rPr>
        <w:t>trading in securities of the Company’s competitors, customers, suppliers, distributors, partners, or other business counterparties;</w:t>
      </w:r>
    </w:p>
    <w:p>
      <w:pPr>
        <w:pStyle w:val="TextBody"/>
        <w:bidi w:val="0"/>
        <w:spacing w:lineRule="auto" w:line="288" w:before="0" w:after="120"/>
        <w:ind w:left="0" w:right="0" w:hanging="360"/>
        <w:jc w:val="both"/>
        <w:rPr/>
      </w:pPr>
      <w:r>
        <w:rPr>
          <w:color w:val="000000"/>
        </w:rPr>
        <w:t>•</w:t>
      </w:r>
      <w:r>
        <w:rPr>
          <w:rFonts w:ascii="Cambria;sans-serif" w:hAnsi="Cambria;sans-serif"/>
          <w:b w:val="false"/>
          <w:color w:val="000000"/>
          <w:sz w:val="22"/>
        </w:rPr>
        <w:t>trading in securities of companies in the medical device, orthopedic, healthcare, or related industries where the Company’s nonpublic information may be material;</w:t>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19.1</w:t>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271780"/>
                <wp:effectExtent l="0" t="0" r="0" b="0"/>
                <wp:wrapNone/>
                <wp:docPr id="185" name="Frame177"/>
                <a:graphic xmlns:a="http://schemas.openxmlformats.org/drawingml/2006/main">
                  <a:graphicData uri="http://schemas.microsoft.com/office/word/2010/wordprocessingShape">
                    <wps:wsp>
                      <wps:cNvSpPr txBox="1"/>
                      <wps:spPr>
                        <a:xfrm>
                          <a:off x="0" y="0"/>
                          <a:ext cx="6480175" cy="271780"/>
                        </a:xfrm>
                        <a:prstGeom prst="rect"/>
                        <a:solidFill>
                          <a:srgbClr val="FFFFFF"/>
                        </a:solidFill>
                      </wps:spPr>
                      <wps:txbx>
                        <w:txbxContent>
                          <w:p>
                            <w:pPr>
                              <w:pStyle w:val="TextBody"/>
                              <w:bidi w:val="0"/>
                              <w:spacing w:lineRule="atLeast" w:line="240" w:before="0" w:after="0"/>
                              <w:jc w:val="center"/>
                              <w:rPr>
                                <w:rFonts w:ascii="Cambria;sans-serif" w:hAnsi="Cambria;sans-serif"/>
                                <w:b w:val="false"/>
                                <w:i/>
                                <w:color w:val="000000"/>
                                <w:sz w:val="16"/>
                              </w:rPr>
                            </w:pPr>
                            <w:r>
                              <w:rPr>
                                <w:rFonts w:ascii="Cambria;sans-serif" w:hAnsi="Cambria;sans-serif"/>
                                <w:b w:val="false"/>
                                <w:i/>
                                <w:color w:val="000000"/>
                                <w:sz w:val="16"/>
                              </w:rPr>
                              <w:t>This document contains confidential and proprietary information of SI-BONE.</w:t>
                            </w:r>
                            <w:r>
                              <w:br w:type="page"/>
                            </w:r>
                          </w:p>
                          <w:p>
                            <w:pPr>
                              <w:pStyle w:val="TextBody"/>
                              <w:bidi w:val="0"/>
                              <w:spacing w:lineRule="auto" w:line="288" w:before="0" w:after="0"/>
                              <w:jc w:val="center"/>
                              <w:rPr>
                                <w:rFonts w:ascii="Cambria;sans-serif" w:hAnsi="Cambria;sans-serif"/>
                                <w:b w:val="false"/>
                                <w:i/>
                                <w:color w:val="000000"/>
                                <w:sz w:val="16"/>
                              </w:rPr>
                            </w:pPr>
                            <w:r>
                              <w:rPr>
                                <w:rFonts w:ascii="Cambria;sans-serif" w:hAnsi="Cambria;sans-serif"/>
                                <w:b w:val="false"/>
                                <w:i/>
                                <w:color w:val="000000"/>
                                <w:sz w:val="16"/>
                              </w:rPr>
                              <w:t>It may not be copied or reproduced without prior written permission from SI-BONE.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4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tLeast" w:line="240" w:before="0" w:after="0"/>
                        <w:jc w:val="center"/>
                        <w:rPr>
                          <w:rFonts w:ascii="Cambria;sans-serif" w:hAnsi="Cambria;sans-serif"/>
                          <w:b w:val="false"/>
                          <w:i/>
                          <w:color w:val="000000"/>
                          <w:sz w:val="16"/>
                        </w:rPr>
                      </w:pPr>
                      <w:r>
                        <w:rPr>
                          <w:rFonts w:ascii="Cambria;sans-serif" w:hAnsi="Cambria;sans-serif"/>
                          <w:b w:val="false"/>
                          <w:i/>
                          <w:color w:val="000000"/>
                          <w:sz w:val="16"/>
                        </w:rPr>
                        <w:t>This document contains confidential and proprietary information of SI-BONE.</w:t>
                      </w:r>
                    </w:p>
                    <w:p>
                      <w:pPr>
                        <w:pStyle w:val="TextBody"/>
                        <w:bidi w:val="0"/>
                        <w:spacing w:lineRule="auto" w:line="288" w:before="0" w:after="0"/>
                        <w:jc w:val="center"/>
                        <w:rPr>
                          <w:rFonts w:ascii="Cambria;sans-serif" w:hAnsi="Cambria;sans-serif"/>
                          <w:b w:val="false"/>
                          <w:i/>
                          <w:color w:val="000000"/>
                          <w:sz w:val="16"/>
                        </w:rPr>
                      </w:pPr>
                      <w:r>
                        <w:rPr>
                          <w:rFonts w:ascii="Cambria;sans-serif" w:hAnsi="Cambria;sans-serif"/>
                          <w:b w:val="false"/>
                          <w:i/>
                          <w:color w:val="000000"/>
                          <w:sz w:val="16"/>
                        </w:rPr>
                        <w:t>It may not be copied or reproduced without prior written permission from SI-BONE.</w:t>
                      </w:r>
                    </w:p>
                  </w:txbxContent>
                </v:textbox>
                <w10:wrap type="none"/>
              </v:rect>
            </w:pict>
          </mc:Fallback>
        </mc:AlternateContent>
      </w:r>
    </w:p>
    <w:tbl>
      <w:tblPr>
        <w:tblW w:w="7164" w:type="dxa"/>
        <w:jc w:val="left"/>
        <w:tblInd w:w="0" w:type="dxa"/>
        <w:tblLayout w:type="fixed"/>
        <w:tblCellMar>
          <w:top w:w="28" w:type="dxa"/>
          <w:left w:w="28" w:type="dxa"/>
          <w:bottom w:w="28" w:type="dxa"/>
          <w:right w:w="28" w:type="dxa"/>
        </w:tblCellMar>
      </w:tblPr>
      <w:tblGrid>
        <w:gridCol w:w="678"/>
        <w:gridCol w:w="596"/>
        <w:gridCol w:w="597"/>
        <w:gridCol w:w="859"/>
        <w:gridCol w:w="859"/>
        <w:gridCol w:w="861"/>
        <w:gridCol w:w="794"/>
        <w:gridCol w:w="794"/>
        <w:gridCol w:w="1126"/>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187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left"/>
              <w:rPr/>
            </w:pPr>
            <w:r>
              <w:rPr/>
              <w:drawing>
                <wp:inline distT="0" distB="0" distL="0" distR="0">
                  <wp:extent cx="1123950" cy="495300"/>
                  <wp:effectExtent l="0" t="0" r="0" b="0"/>
                  <wp:docPr id="18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9" descr=""/>
                          <pic:cNvPicPr>
                            <a:picLocks noChangeAspect="1" noChangeArrowheads="1"/>
                          </pic:cNvPicPr>
                        </pic:nvPicPr>
                        <pic:blipFill>
                          <a:blip r:embed="rId62"/>
                          <a:stretch>
                            <a:fillRect/>
                          </a:stretch>
                        </pic:blipFill>
                        <pic:spPr bwMode="auto">
                          <a:xfrm>
                            <a:off x="0" y="0"/>
                            <a:ext cx="1123950" cy="495300"/>
                          </a:xfrm>
                          <a:prstGeom prst="rect">
                            <a:avLst/>
                          </a:prstGeom>
                        </pic:spPr>
                      </pic:pic>
                    </a:graphicData>
                  </a:graphic>
                </wp:inline>
              </w:drawing>
            </w:r>
          </w:p>
        </w:tc>
        <w:tc>
          <w:tcPr>
            <w:tcW w:w="25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Cambria;sans-serif" w:hAnsi="Cambria;sans-serif"/>
                <w:b/>
                <w:color w:val="000000"/>
                <w:sz w:val="24"/>
              </w:rPr>
            </w:pPr>
            <w:r>
              <w:rPr>
                <w:rFonts w:ascii="Cambria;sans-serif" w:hAnsi="Cambria;sans-serif"/>
                <w:b/>
                <w:color w:val="000000"/>
                <w:sz w:val="24"/>
              </w:rPr>
              <w:t>Corporate Policy</w:t>
            </w:r>
          </w:p>
          <w:p>
            <w:pPr>
              <w:pStyle w:val="TableContents"/>
              <w:bidi w:val="0"/>
              <w:spacing w:lineRule="auto" w:line="288" w:before="0" w:after="0"/>
              <w:jc w:val="center"/>
              <w:rPr>
                <w:rFonts w:ascii="Cambria;sans-serif" w:hAnsi="Cambria;sans-serif"/>
                <w:b/>
                <w:color w:val="000000"/>
                <w:sz w:val="24"/>
              </w:rPr>
            </w:pPr>
            <w:r>
              <w:rPr>
                <w:rFonts w:ascii="Cambria;sans-serif" w:hAnsi="Cambria;sans-serif"/>
                <w:b/>
                <w:color w:val="000000"/>
                <w:sz w:val="24"/>
              </w:rPr>
              <w:t>Insider Trading Policy</w:t>
            </w:r>
          </w:p>
        </w:tc>
        <w:tc>
          <w:tcPr>
            <w:tcW w:w="271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Document No: CORP-0006</w:t>
            </w:r>
          </w:p>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Revision: E</w:t>
            </w:r>
          </w:p>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Effective Date: 12/05/2025</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Page 5 of 11</w:t>
            </w:r>
          </w:p>
        </w:tc>
      </w:tr>
    </w:tbl>
    <w:p>
      <w:pPr>
        <w:pStyle w:val="TextBody"/>
        <w:bidi w:val="0"/>
        <w:spacing w:before="0" w:after="0"/>
        <w:jc w:val="both"/>
        <w:rPr/>
      </w:pPr>
      <w:r>
        <w:rPr/>
      </w:r>
    </w:p>
    <w:p>
      <w:pPr>
        <w:pStyle w:val="TextBody"/>
        <w:bidi w:val="0"/>
        <w:spacing w:lineRule="auto" w:line="288" w:before="0" w:after="120"/>
        <w:ind w:left="0" w:right="0" w:hanging="360"/>
        <w:jc w:val="both"/>
        <w:rPr/>
      </w:pPr>
      <w:r>
        <w:rPr>
          <w:color w:val="000000"/>
        </w:rPr>
        <w:t>•</w:t>
      </w:r>
      <w:r>
        <w:rPr>
          <w:rFonts w:ascii="Cambria;sans-serif" w:hAnsi="Cambria;sans-serif"/>
          <w:b w:val="false"/>
          <w:color w:val="000000"/>
          <w:sz w:val="22"/>
        </w:rPr>
        <w:t>trading in securities of companies that may be economically affected by the Company’s business developments, clinical trial results, or regulatory developments; and</w:t>
      </w:r>
    </w:p>
    <w:p>
      <w:pPr>
        <w:pStyle w:val="TextBody"/>
        <w:bidi w:val="0"/>
        <w:spacing w:lineRule="auto" w:line="288" w:before="0" w:after="120"/>
        <w:ind w:left="0" w:right="0" w:hanging="360"/>
        <w:jc w:val="both"/>
        <w:rPr/>
      </w:pPr>
      <w:r>
        <w:rPr>
          <w:color w:val="000000"/>
        </w:rPr>
        <w:t>•</w:t>
      </w:r>
      <w:r>
        <w:rPr>
          <w:rFonts w:ascii="Cambria;sans-serif" w:hAnsi="Cambria;sans-serif"/>
          <w:b w:val="false"/>
          <w:color w:val="000000"/>
          <w:sz w:val="22"/>
        </w:rPr>
        <w:t>trading in securities of potential acquisition targets, merger partners, joint venture participants, or strategic alliance candidates.</w:t>
      </w:r>
    </w:p>
    <w:p>
      <w:pPr>
        <w:pStyle w:val="TextBody"/>
        <w:bidi w:val="0"/>
        <w:spacing w:lineRule="auto" w:line="288" w:before="0" w:after="120"/>
        <w:ind w:left="0" w:right="0" w:firstLine="720"/>
        <w:jc w:val="both"/>
        <w:rPr>
          <w:rFonts w:ascii="Cambria;sans-serif" w:hAnsi="Cambria;sans-serif"/>
          <w:b w:val="false"/>
          <w:color w:val="000000"/>
          <w:sz w:val="22"/>
        </w:rPr>
      </w:pPr>
      <w:r>
        <w:rPr>
          <w:rFonts w:ascii="Cambria;sans-serif" w:hAnsi="Cambria;sans-serif"/>
          <w:b w:val="false"/>
          <w:color w:val="000000"/>
          <w:sz w:val="22"/>
        </w:rPr>
        <w:t>Material nonpublic information subject to this prohibition includes any confidential information learned through your relationship with the Company that could reasonably affect another company’s stock price, including, but not limited to:</w:t>
      </w:r>
    </w:p>
    <w:p>
      <w:pPr>
        <w:pStyle w:val="TextBody"/>
        <w:bidi w:val="0"/>
        <w:spacing w:lineRule="auto" w:line="288" w:before="0" w:after="120"/>
        <w:ind w:left="0" w:right="0" w:hanging="360"/>
        <w:jc w:val="both"/>
        <w:rPr/>
      </w:pPr>
      <w:r>
        <w:rPr>
          <w:color w:val="000000"/>
        </w:rPr>
        <w:t>•</w:t>
      </w:r>
      <w:r>
        <w:rPr>
          <w:rFonts w:ascii="Cambria;sans-serif" w:hAnsi="Cambria;sans-serif"/>
          <w:b w:val="false"/>
          <w:color w:val="000000"/>
          <w:sz w:val="22"/>
        </w:rPr>
        <w:t>the Company’s financial performance, clinical trial results, or regulatory developments that may impact competitors or partners;</w:t>
      </w:r>
    </w:p>
    <w:p>
      <w:pPr>
        <w:pStyle w:val="TextBody"/>
        <w:bidi w:val="0"/>
        <w:spacing w:lineRule="auto" w:line="288" w:before="0" w:after="120"/>
        <w:ind w:left="0" w:right="0" w:hanging="360"/>
        <w:jc w:val="both"/>
        <w:rPr/>
      </w:pPr>
      <w:r>
        <w:rPr>
          <w:color w:val="000000"/>
        </w:rPr>
        <w:t>•</w:t>
      </w:r>
      <w:r>
        <w:rPr>
          <w:rFonts w:ascii="Cambria;sans-serif" w:hAnsi="Cambria;sans-serif"/>
          <w:b w:val="false"/>
          <w:color w:val="000000"/>
          <w:sz w:val="22"/>
        </w:rPr>
        <w:t>planned or potential business transactions, partnerships, or competitive strategies;</w:t>
      </w:r>
    </w:p>
    <w:p>
      <w:pPr>
        <w:pStyle w:val="TextBody"/>
        <w:bidi w:val="0"/>
        <w:spacing w:lineRule="auto" w:line="288" w:before="0" w:after="120"/>
        <w:ind w:left="0" w:right="0" w:hanging="360"/>
        <w:jc w:val="both"/>
        <w:rPr/>
      </w:pPr>
      <w:r>
        <w:rPr>
          <w:color w:val="000000"/>
        </w:rPr>
        <w:t>•</w:t>
      </w:r>
      <w:r>
        <w:rPr>
          <w:rFonts w:ascii="Cambria;sans-serif" w:hAnsi="Cambria;sans-serif"/>
          <w:b w:val="false"/>
          <w:color w:val="000000"/>
          <w:sz w:val="22"/>
        </w:rPr>
        <w:t>industry trends, market intelligence, or regulatory developments affecting the healthcare sector; and</w:t>
      </w:r>
    </w:p>
    <w:p>
      <w:pPr>
        <w:pStyle w:val="TextBody"/>
        <w:bidi w:val="0"/>
        <w:spacing w:lineRule="auto" w:line="288" w:before="0" w:after="120"/>
        <w:ind w:left="0" w:right="0" w:hanging="360"/>
        <w:jc w:val="both"/>
        <w:rPr/>
      </w:pPr>
      <w:r>
        <w:rPr>
          <w:color w:val="000000"/>
        </w:rPr>
        <w:t>•</w:t>
      </w:r>
      <w:r>
        <w:rPr>
          <w:rFonts w:ascii="Cambria;sans-serif" w:hAnsi="Cambria;sans-serif"/>
          <w:b w:val="false"/>
          <w:color w:val="000000"/>
          <w:sz w:val="22"/>
        </w:rPr>
        <w:t>customer relationships, supplier arrangements, or distribution agreements.</w:t>
      </w:r>
    </w:p>
    <w:p>
      <w:pPr>
        <w:pStyle w:val="TextBody"/>
        <w:bidi w:val="0"/>
        <w:spacing w:lineRule="auto" w:line="288" w:before="0" w:after="120"/>
        <w:ind w:left="0" w:right="0" w:firstLine="720"/>
        <w:jc w:val="both"/>
        <w:rPr>
          <w:rFonts w:ascii="Cambria;sans-serif" w:hAnsi="Cambria;sans-serif"/>
          <w:b w:val="false"/>
          <w:color w:val="000000"/>
          <w:sz w:val="22"/>
        </w:rPr>
      </w:pPr>
      <w:r>
        <w:rPr>
          <w:rFonts w:ascii="Cambria;sans-serif" w:hAnsi="Cambria;sans-serif"/>
          <w:b w:val="false"/>
          <w:color w:val="000000"/>
          <w:sz w:val="22"/>
        </w:rPr>
        <w:t>You may not rely on your own judgment about whether information is “material.” If you possess nonpublic information about another company obtained through your relationship with the Company, you must refrain from trading in that company’s securities until the information becomes publicly disseminated.</w:t>
      </w:r>
    </w:p>
    <w:p>
      <w:pPr>
        <w:pStyle w:val="TextBody"/>
        <w:bidi w:val="0"/>
        <w:spacing w:lineRule="auto" w:line="240" w:before="0" w:after="120"/>
        <w:ind w:left="0" w:right="0" w:hanging="720"/>
        <w:jc w:val="both"/>
        <w:rPr>
          <w:rFonts w:ascii="Cambria;sans-serif" w:hAnsi="Cambria;sans-serif"/>
          <w:b/>
          <w:color w:val="000000"/>
          <w:sz w:val="22"/>
        </w:rPr>
      </w:pPr>
      <w:r>
        <w:rPr>
          <w:rFonts w:ascii="Cambria;sans-serif" w:hAnsi="Cambria;sans-serif"/>
          <w:b/>
          <w:color w:val="000000"/>
          <w:sz w:val="22"/>
        </w:rPr>
        <w:t>11.Prohibition of Inappropriate Disclosures in Online Forums</w:t>
      </w:r>
    </w:p>
    <w:p>
      <w:pPr>
        <w:pStyle w:val="TextBody"/>
        <w:bidi w:val="0"/>
        <w:spacing w:lineRule="auto" w:line="288" w:before="0" w:after="120"/>
        <w:ind w:left="0" w:right="0" w:firstLine="720"/>
        <w:jc w:val="both"/>
        <w:rPr>
          <w:rFonts w:ascii="Cambria;sans-serif" w:hAnsi="Cambria;sans-serif"/>
          <w:b w:val="false"/>
          <w:color w:val="000000"/>
          <w:sz w:val="22"/>
        </w:rPr>
      </w:pPr>
      <w:r>
        <w:rPr>
          <w:rFonts w:ascii="Cambria;sans-serif" w:hAnsi="Cambria;sans-serif"/>
          <w:b w:val="false"/>
          <w:color w:val="000000"/>
          <w:sz w:val="22"/>
        </w:rPr>
        <w:t>You may not discuss, disclose, reference, or imply any material nonpublic information concerning the Company or any business partners, customers, suppliers, or competitors, including on blogs or bulletin boards or in any online forum or social media platform, regardless of whether you identify yourself as associated with the Company or act anonymously. This includes posting or sharing information that could reasonably be linked to confidential aspects of the Company’s operations, financial performance, transactions, research, products, personnel, clinical studies, or company strategy.</w:t>
      </w:r>
    </w:p>
    <w:p>
      <w:pPr>
        <w:pStyle w:val="TextBody"/>
        <w:bidi w:val="0"/>
        <w:spacing w:lineRule="auto" w:line="288" w:before="0" w:after="120"/>
        <w:ind w:left="0" w:right="0" w:firstLine="720"/>
        <w:jc w:val="both"/>
        <w:rPr>
          <w:rFonts w:ascii="Cambria;sans-serif" w:hAnsi="Cambria;sans-serif"/>
          <w:b w:val="false"/>
          <w:color w:val="000000"/>
          <w:sz w:val="22"/>
        </w:rPr>
      </w:pPr>
      <w:r>
        <w:rPr>
          <w:rFonts w:ascii="Cambria;sans-serif" w:hAnsi="Cambria;sans-serif"/>
          <w:b w:val="false"/>
          <w:color w:val="000000"/>
          <w:sz w:val="22"/>
        </w:rPr>
        <w:t>Violation of this policy—including indirect or implied references to confidential matters or responding to rumors and speculation online—may constitute a breach of the Company’s Insider Trading Policy and may expose the individual to disciplinary action and civil or criminal liability under U.S. securities law. For clarity, this policy is designed to comply with securities laws and does not restrict employees from discussing wages, benefits, or other terms and conditions of employment, or engaging in other protected concerted activity under the National Labor Relations Act.</w:t>
      </w:r>
    </w:p>
    <w:p>
      <w:pPr>
        <w:pStyle w:val="TextBody"/>
        <w:bidi w:val="0"/>
        <w:spacing w:lineRule="auto" w:line="240" w:before="0" w:after="120"/>
        <w:ind w:left="0" w:right="0" w:hanging="720"/>
        <w:jc w:val="both"/>
        <w:rPr>
          <w:rFonts w:ascii="Cambria;sans-serif" w:hAnsi="Cambria;sans-serif"/>
          <w:b/>
          <w:color w:val="000000"/>
          <w:sz w:val="22"/>
        </w:rPr>
      </w:pPr>
      <w:r>
        <w:rPr>
          <w:rFonts w:ascii="Cambria;sans-serif" w:hAnsi="Cambria;sans-serif"/>
          <w:b/>
          <w:color w:val="000000"/>
          <w:sz w:val="22"/>
        </w:rPr>
        <w:t>12.Duration of Policy’s Applicability</w:t>
      </w:r>
    </w:p>
    <w:p>
      <w:pPr>
        <w:pStyle w:val="TextBody"/>
        <w:bidi w:val="0"/>
        <w:spacing w:lineRule="auto" w:line="288" w:before="0" w:after="120"/>
        <w:ind w:left="0" w:right="0" w:firstLine="720"/>
        <w:jc w:val="both"/>
        <w:rPr>
          <w:rFonts w:ascii="Cambria;sans-serif" w:hAnsi="Cambria;sans-serif"/>
          <w:b w:val="false"/>
          <w:color w:val="000000"/>
          <w:sz w:val="22"/>
        </w:rPr>
      </w:pPr>
      <w:r>
        <w:rPr>
          <w:rFonts w:ascii="Cambria;sans-serif" w:hAnsi="Cambria;sans-serif"/>
          <w:b w:val="false"/>
          <w:color w:val="000000"/>
          <w:sz w:val="22"/>
        </w:rPr>
        <w:t xml:space="preserve">This policy continues to apply until you cease to be an employee, director or covered consultant of the Company. However, applicable securities laws, including the prohibition on trading when in possession of material nonpublic information, will continue to apply to your transactions in the Company’s stock or the stock of other public companies engaged in business transactions with the Company even after your employment, directorship or consultancy with the Company has terminated. If you are in possession of inside information when your relationship </w:t>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19.1</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271780"/>
                <wp:effectExtent l="0" t="0" r="0" b="0"/>
                <wp:wrapNone/>
                <wp:docPr id="187" name="Frame178"/>
                <a:graphic xmlns:a="http://schemas.openxmlformats.org/drawingml/2006/main">
                  <a:graphicData uri="http://schemas.microsoft.com/office/word/2010/wordprocessingShape">
                    <wps:wsp>
                      <wps:cNvSpPr txBox="1"/>
                      <wps:spPr>
                        <a:xfrm>
                          <a:off x="0" y="0"/>
                          <a:ext cx="6480175" cy="271780"/>
                        </a:xfrm>
                        <a:prstGeom prst="rect"/>
                        <a:solidFill>
                          <a:srgbClr val="FFFFFF"/>
                        </a:solidFill>
                      </wps:spPr>
                      <wps:txbx>
                        <w:txbxContent>
                          <w:p>
                            <w:pPr>
                              <w:pStyle w:val="TextBody"/>
                              <w:bidi w:val="0"/>
                              <w:spacing w:lineRule="atLeast" w:line="240" w:before="0" w:after="0"/>
                              <w:jc w:val="center"/>
                              <w:rPr>
                                <w:rFonts w:ascii="Cambria;sans-serif" w:hAnsi="Cambria;sans-serif"/>
                                <w:b w:val="false"/>
                                <w:i/>
                                <w:color w:val="000000"/>
                                <w:sz w:val="16"/>
                              </w:rPr>
                            </w:pPr>
                            <w:r>
                              <w:rPr>
                                <w:rFonts w:ascii="Cambria;sans-serif" w:hAnsi="Cambria;sans-serif"/>
                                <w:b w:val="false"/>
                                <w:i/>
                                <w:color w:val="000000"/>
                                <w:sz w:val="16"/>
                              </w:rPr>
                              <w:t>This document contains confidential and proprietary information of SI-BONE.</w:t>
                            </w:r>
                            <w:r>
                              <w:br w:type="page"/>
                            </w:r>
                          </w:p>
                          <w:p>
                            <w:pPr>
                              <w:pStyle w:val="TextBody"/>
                              <w:bidi w:val="0"/>
                              <w:spacing w:lineRule="auto" w:line="288" w:before="0" w:after="0"/>
                              <w:jc w:val="center"/>
                              <w:rPr>
                                <w:rFonts w:ascii="Cambria;sans-serif" w:hAnsi="Cambria;sans-serif"/>
                                <w:b w:val="false"/>
                                <w:i/>
                                <w:color w:val="000000"/>
                                <w:sz w:val="16"/>
                              </w:rPr>
                            </w:pPr>
                            <w:r>
                              <w:rPr>
                                <w:rFonts w:ascii="Cambria;sans-serif" w:hAnsi="Cambria;sans-serif"/>
                                <w:b w:val="false"/>
                                <w:i/>
                                <w:color w:val="000000"/>
                                <w:sz w:val="16"/>
                              </w:rPr>
                              <w:t>It may not be copied or reproduced without prior written permission from SI-BONE.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4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tLeast" w:line="240" w:before="0" w:after="0"/>
                        <w:jc w:val="center"/>
                        <w:rPr>
                          <w:rFonts w:ascii="Cambria;sans-serif" w:hAnsi="Cambria;sans-serif"/>
                          <w:b w:val="false"/>
                          <w:i/>
                          <w:color w:val="000000"/>
                          <w:sz w:val="16"/>
                        </w:rPr>
                      </w:pPr>
                      <w:r>
                        <w:rPr>
                          <w:rFonts w:ascii="Cambria;sans-serif" w:hAnsi="Cambria;sans-serif"/>
                          <w:b w:val="false"/>
                          <w:i/>
                          <w:color w:val="000000"/>
                          <w:sz w:val="16"/>
                        </w:rPr>
                        <w:t>This document contains confidential and proprietary information of SI-BONE.</w:t>
                      </w:r>
                    </w:p>
                    <w:p>
                      <w:pPr>
                        <w:pStyle w:val="TextBody"/>
                        <w:bidi w:val="0"/>
                        <w:spacing w:lineRule="auto" w:line="288" w:before="0" w:after="0"/>
                        <w:jc w:val="center"/>
                        <w:rPr>
                          <w:rFonts w:ascii="Cambria;sans-serif" w:hAnsi="Cambria;sans-serif"/>
                          <w:b w:val="false"/>
                          <w:i/>
                          <w:color w:val="000000"/>
                          <w:sz w:val="16"/>
                        </w:rPr>
                      </w:pPr>
                      <w:r>
                        <w:rPr>
                          <w:rFonts w:ascii="Cambria;sans-serif" w:hAnsi="Cambria;sans-serif"/>
                          <w:b w:val="false"/>
                          <w:i/>
                          <w:color w:val="000000"/>
                          <w:sz w:val="16"/>
                        </w:rPr>
                        <w:t>It may not be copied or reproduced without prior written permission from SI-BONE.</w:t>
                      </w:r>
                    </w:p>
                  </w:txbxContent>
                </v:textbox>
                <w10:wrap type="none"/>
              </v:rect>
            </w:pict>
          </mc:Fallback>
        </mc:AlternateContent>
      </w:r>
    </w:p>
    <w:tbl>
      <w:tblPr>
        <w:tblW w:w="7164" w:type="dxa"/>
        <w:jc w:val="left"/>
        <w:tblInd w:w="0" w:type="dxa"/>
        <w:tblLayout w:type="fixed"/>
        <w:tblCellMar>
          <w:top w:w="28" w:type="dxa"/>
          <w:left w:w="28" w:type="dxa"/>
          <w:bottom w:w="28" w:type="dxa"/>
          <w:right w:w="28" w:type="dxa"/>
        </w:tblCellMar>
      </w:tblPr>
      <w:tblGrid>
        <w:gridCol w:w="678"/>
        <w:gridCol w:w="596"/>
        <w:gridCol w:w="597"/>
        <w:gridCol w:w="859"/>
        <w:gridCol w:w="859"/>
        <w:gridCol w:w="861"/>
        <w:gridCol w:w="794"/>
        <w:gridCol w:w="794"/>
        <w:gridCol w:w="1126"/>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187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left"/>
              <w:rPr/>
            </w:pPr>
            <w:r>
              <w:rPr/>
              <w:drawing>
                <wp:inline distT="0" distB="0" distL="0" distR="0">
                  <wp:extent cx="1123950" cy="495300"/>
                  <wp:effectExtent l="0" t="0" r="0" b="0"/>
                  <wp:docPr id="18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0" descr=""/>
                          <pic:cNvPicPr>
                            <a:picLocks noChangeAspect="1" noChangeArrowheads="1"/>
                          </pic:cNvPicPr>
                        </pic:nvPicPr>
                        <pic:blipFill>
                          <a:blip r:embed="rId63"/>
                          <a:stretch>
                            <a:fillRect/>
                          </a:stretch>
                        </pic:blipFill>
                        <pic:spPr bwMode="auto">
                          <a:xfrm>
                            <a:off x="0" y="0"/>
                            <a:ext cx="1123950" cy="495300"/>
                          </a:xfrm>
                          <a:prstGeom prst="rect">
                            <a:avLst/>
                          </a:prstGeom>
                        </pic:spPr>
                      </pic:pic>
                    </a:graphicData>
                  </a:graphic>
                </wp:inline>
              </w:drawing>
            </w:r>
          </w:p>
        </w:tc>
        <w:tc>
          <w:tcPr>
            <w:tcW w:w="25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Cambria;sans-serif" w:hAnsi="Cambria;sans-serif"/>
                <w:b/>
                <w:color w:val="000000"/>
                <w:sz w:val="24"/>
              </w:rPr>
            </w:pPr>
            <w:r>
              <w:rPr>
                <w:rFonts w:ascii="Cambria;sans-serif" w:hAnsi="Cambria;sans-serif"/>
                <w:b/>
                <w:color w:val="000000"/>
                <w:sz w:val="24"/>
              </w:rPr>
              <w:t>Corporate Policy</w:t>
            </w:r>
          </w:p>
          <w:p>
            <w:pPr>
              <w:pStyle w:val="TableContents"/>
              <w:bidi w:val="0"/>
              <w:spacing w:lineRule="auto" w:line="288" w:before="0" w:after="0"/>
              <w:jc w:val="center"/>
              <w:rPr>
                <w:rFonts w:ascii="Cambria;sans-serif" w:hAnsi="Cambria;sans-serif"/>
                <w:b/>
                <w:color w:val="000000"/>
                <w:sz w:val="24"/>
              </w:rPr>
            </w:pPr>
            <w:r>
              <w:rPr>
                <w:rFonts w:ascii="Cambria;sans-serif" w:hAnsi="Cambria;sans-serif"/>
                <w:b/>
                <w:color w:val="000000"/>
                <w:sz w:val="24"/>
              </w:rPr>
              <w:t>Insider Trading Policy</w:t>
            </w:r>
          </w:p>
        </w:tc>
        <w:tc>
          <w:tcPr>
            <w:tcW w:w="271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Document No: CORP-0006</w:t>
            </w:r>
          </w:p>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Revision: E</w:t>
            </w:r>
          </w:p>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Effective Date: 12/05/2025</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Page 6 of 11</w:t>
            </w:r>
          </w:p>
        </w:tc>
      </w:tr>
    </w:tbl>
    <w:p>
      <w:pPr>
        <w:pStyle w:val="TextBody"/>
        <w:bidi w:val="0"/>
        <w:spacing w:before="0" w:after="0"/>
        <w:jc w:val="both"/>
        <w:rPr/>
      </w:pPr>
      <w:r>
        <w:rPr/>
      </w:r>
    </w:p>
    <w:p>
      <w:pPr>
        <w:pStyle w:val="TextBody"/>
        <w:bidi w:val="0"/>
        <w:spacing w:lineRule="auto" w:line="288" w:before="0" w:after="120"/>
        <w:jc w:val="both"/>
        <w:rPr>
          <w:rFonts w:ascii="Cambria;sans-serif" w:hAnsi="Cambria;sans-serif"/>
          <w:b w:val="false"/>
          <w:color w:val="000000"/>
          <w:sz w:val="22"/>
        </w:rPr>
      </w:pPr>
      <w:r>
        <w:rPr>
          <w:rFonts w:ascii="Cambria;sans-serif" w:hAnsi="Cambria;sans-serif"/>
          <w:b w:val="false"/>
          <w:color w:val="000000"/>
          <w:sz w:val="22"/>
        </w:rPr>
        <w:t>with the Company concludes, you may not trade in the Company’s stock or the stock of such other company until the information has been publicly disseminated or is no longer material.</w:t>
      </w:r>
    </w:p>
    <w:p>
      <w:pPr>
        <w:pStyle w:val="TextBody"/>
        <w:bidi w:val="0"/>
        <w:spacing w:lineRule="auto" w:line="240" w:before="0" w:after="120"/>
        <w:ind w:left="0" w:right="0" w:hanging="720"/>
        <w:jc w:val="both"/>
        <w:rPr>
          <w:rFonts w:ascii="Cambria;sans-serif" w:hAnsi="Cambria;sans-serif"/>
          <w:b/>
          <w:color w:val="000000"/>
          <w:sz w:val="22"/>
        </w:rPr>
      </w:pPr>
      <w:r>
        <w:rPr>
          <w:rFonts w:ascii="Cambria;sans-serif" w:hAnsi="Cambria;sans-serif"/>
          <w:b/>
          <w:color w:val="000000"/>
          <w:sz w:val="22"/>
        </w:rPr>
        <w:t>13.Penalties</w:t>
      </w:r>
    </w:p>
    <w:p>
      <w:pPr>
        <w:pStyle w:val="TextBody"/>
        <w:bidi w:val="0"/>
        <w:spacing w:lineRule="auto" w:line="288" w:before="0" w:after="120"/>
        <w:ind w:left="0" w:right="0" w:firstLine="720"/>
        <w:jc w:val="both"/>
        <w:rPr/>
      </w:pPr>
      <w:r>
        <w:rPr>
          <w:rFonts w:ascii="Cambria;sans-serif" w:hAnsi="Cambria;sans-serif"/>
          <w:b w:val="false"/>
          <w:color w:val="000000"/>
          <w:sz w:val="22"/>
        </w:rPr>
        <w:t xml:space="preserve">Anyone who effects transactions in the Company’s stock or the stock of other public companies engaged in business transactions with the Company (or provides information to enable others to do so) on the basis of inside information is subject to both civil liability and criminal penalties, as well as disciplinary action by the Company, up to and including termination of the individual’s service relationship with the Company. An employee, director or covered consultant who has questions about this policy should contact his or her own attorney or the Company’s Chief Legal Officer at mpisetsky@si-bone.com or (669) 206-2501. Please also see Frequently Asked Questions attached hereto as </w:t>
      </w:r>
      <w:r>
        <w:rPr>
          <w:rFonts w:ascii="Cambria;sans-serif" w:hAnsi="Cambria;sans-serif"/>
          <w:b/>
          <w:color w:val="000000"/>
          <w:sz w:val="22"/>
        </w:rPr>
        <w:t>Exhibit A</w:t>
      </w:r>
      <w:r>
        <w:rPr>
          <w:rFonts w:ascii="Cambria;sans-serif" w:hAnsi="Cambria;sans-serif"/>
          <w:b w:val="false"/>
          <w:color w:val="000000"/>
          <w:sz w:val="22"/>
        </w:rPr>
        <w:t xml:space="preserve">. </w:t>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before="0" w:after="120"/>
        <w:jc w:val="center"/>
        <w:rPr/>
      </w:pPr>
      <w:r>
        <w:rPr/>
      </w:r>
    </w:p>
    <w:p>
      <w:pPr>
        <w:pStyle w:val="TextBody"/>
        <w:bidi w:val="0"/>
        <w:spacing w:lineRule="auto" w:line="288" w:before="0" w:after="120"/>
        <w:jc w:val="center"/>
        <w:rPr>
          <w:rFonts w:ascii="Cambria;sans-serif" w:hAnsi="Cambria;sans-serif"/>
          <w:b/>
          <w:color w:val="000000"/>
          <w:sz w:val="22"/>
        </w:rPr>
      </w:pPr>
      <w:r>
        <w:rPr>
          <w:rFonts w:ascii="Cambria;sans-serif" w:hAnsi="Cambria;sans-serif"/>
          <w:b/>
          <w:color w:val="000000"/>
          <w:sz w:val="22"/>
        </w:rPr>
        <w:t>REVISION HISTORY</w:t>
      </w:r>
    </w:p>
    <w:tbl>
      <w:tblPr>
        <w:tblW w:w="10205" w:type="dxa"/>
        <w:jc w:val="left"/>
        <w:tblInd w:w="0" w:type="dxa"/>
        <w:tblLayout w:type="fixed"/>
        <w:tblCellMar>
          <w:top w:w="28" w:type="dxa"/>
          <w:left w:w="28" w:type="dxa"/>
          <w:bottom w:w="28" w:type="dxa"/>
          <w:right w:w="28" w:type="dxa"/>
        </w:tblCellMar>
      </w:tblPr>
      <w:tblGrid>
        <w:gridCol w:w="375"/>
        <w:gridCol w:w="330"/>
        <w:gridCol w:w="331"/>
        <w:gridCol w:w="2105"/>
        <w:gridCol w:w="1982"/>
        <w:gridCol w:w="1988"/>
        <w:gridCol w:w="390"/>
        <w:gridCol w:w="390"/>
        <w:gridCol w:w="391"/>
        <w:gridCol w:w="561"/>
        <w:gridCol w:w="561"/>
        <w:gridCol w:w="801"/>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both"/>
              <w:rPr>
                <w:rFonts w:ascii="Cambria;sans-serif" w:hAnsi="Cambria;sans-serif"/>
                <w:b/>
                <w:color w:val="000000"/>
                <w:sz w:val="22"/>
              </w:rPr>
            </w:pPr>
            <w:r>
              <w:rPr>
                <w:rFonts w:ascii="Cambria;sans-serif" w:hAnsi="Cambria;sans-serif"/>
                <w:b/>
                <w:color w:val="000000"/>
                <w:sz w:val="22"/>
              </w:rPr>
              <w:t>Revision</w:t>
            </w:r>
          </w:p>
        </w:tc>
        <w:tc>
          <w:tcPr>
            <w:tcW w:w="60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both"/>
              <w:rPr>
                <w:rFonts w:ascii="Cambria;sans-serif" w:hAnsi="Cambria;sans-serif"/>
                <w:b/>
                <w:color w:val="000000"/>
                <w:sz w:val="22"/>
              </w:rPr>
            </w:pPr>
            <w:r>
              <w:rPr>
                <w:rFonts w:ascii="Cambria;sans-serif" w:hAnsi="Cambria;sans-serif"/>
                <w:b/>
                <w:color w:val="000000"/>
                <w:sz w:val="22"/>
              </w:rPr>
              <w:t>Change Description</w:t>
            </w:r>
          </w:p>
        </w:tc>
        <w:tc>
          <w:tcPr>
            <w:tcW w:w="11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both"/>
              <w:rPr>
                <w:rFonts w:ascii="Cambria;sans-serif" w:hAnsi="Cambria;sans-serif"/>
                <w:b/>
                <w:color w:val="000000"/>
                <w:sz w:val="22"/>
              </w:rPr>
            </w:pPr>
            <w:r>
              <w:rPr>
                <w:rFonts w:ascii="Cambria;sans-serif" w:hAnsi="Cambria;sans-serif"/>
                <w:b/>
                <w:color w:val="000000"/>
                <w:sz w:val="22"/>
              </w:rPr>
              <w:t>Effective Date</w:t>
            </w:r>
          </w:p>
        </w:tc>
        <w:tc>
          <w:tcPr>
            <w:tcW w:w="1923" w:type="dxa"/>
            <w:gridSpan w:val="3"/>
            <w:tcBorders>
              <w:top w:val="single" w:sz="8" w:space="0" w:color="000000"/>
              <w:left w:val="single" w:sz="8" w:space="0" w:color="000000"/>
              <w:right w:val="single" w:sz="8" w:space="0" w:color="000000"/>
            </w:tcBorders>
            <w:tcMar>
              <w:top w:w="30" w:type="dxa"/>
              <w:bottom w:w="0" w:type="dxa"/>
              <w:right w:w="75" w:type="dxa"/>
            </w:tcMar>
            <w:vAlign w:val="center"/>
          </w:tcPr>
          <w:p>
            <w:pPr>
              <w:pStyle w:val="TableContents"/>
              <w:bidi w:val="0"/>
              <w:spacing w:lineRule="auto" w:line="240" w:before="0" w:after="283"/>
              <w:jc w:val="both"/>
              <w:rPr>
                <w:rFonts w:ascii="Cambria;sans-serif" w:hAnsi="Cambria;sans-serif"/>
                <w:b/>
                <w:color w:val="000000"/>
                <w:sz w:val="22"/>
              </w:rPr>
            </w:pPr>
            <w:r>
              <w:rPr>
                <w:rFonts w:ascii="Cambria;sans-serif" w:hAnsi="Cambria;sans-serif"/>
                <w:b/>
                <w:color w:val="000000"/>
                <w:sz w:val="22"/>
              </w:rPr>
              <w:t>Author/Approver</w:t>
            </w:r>
          </w:p>
        </w:tc>
      </w:tr>
      <w:tr>
        <w:trPr/>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both"/>
              <w:rPr>
                <w:rFonts w:ascii="Cambria;sans-serif" w:hAnsi="Cambria;sans-serif"/>
                <w:b w:val="false"/>
                <w:color w:val="000000"/>
                <w:sz w:val="22"/>
              </w:rPr>
            </w:pPr>
            <w:r>
              <w:rPr>
                <w:rFonts w:ascii="Cambria;sans-serif" w:hAnsi="Cambria;sans-serif"/>
                <w:b w:val="false"/>
                <w:color w:val="000000"/>
                <w:sz w:val="22"/>
              </w:rPr>
              <w:t>A</w:t>
            </w:r>
          </w:p>
        </w:tc>
        <w:tc>
          <w:tcPr>
            <w:tcW w:w="60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both"/>
              <w:rPr>
                <w:rFonts w:ascii="Cambria;sans-serif" w:hAnsi="Cambria;sans-serif"/>
                <w:b w:val="false"/>
                <w:color w:val="000000"/>
                <w:sz w:val="22"/>
              </w:rPr>
            </w:pPr>
            <w:r>
              <w:rPr>
                <w:rFonts w:ascii="Cambria;sans-serif" w:hAnsi="Cambria;sans-serif"/>
                <w:b w:val="false"/>
                <w:color w:val="000000"/>
                <w:sz w:val="22"/>
              </w:rPr>
              <w:t>Initial Release</w:t>
            </w:r>
          </w:p>
        </w:tc>
        <w:tc>
          <w:tcPr>
            <w:tcW w:w="11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both"/>
              <w:rPr>
                <w:rFonts w:ascii="Cambria;sans-serif" w:hAnsi="Cambria;sans-serif"/>
                <w:b w:val="false"/>
                <w:color w:val="000000"/>
                <w:sz w:val="22"/>
              </w:rPr>
            </w:pPr>
            <w:r>
              <w:rPr>
                <w:rFonts w:ascii="Cambria;sans-serif" w:hAnsi="Cambria;sans-serif"/>
                <w:b w:val="false"/>
                <w:color w:val="000000"/>
                <w:sz w:val="22"/>
              </w:rPr>
              <w:t>10/16/2018</w:t>
            </w:r>
          </w:p>
        </w:tc>
        <w:tc>
          <w:tcPr>
            <w:tcW w:w="1923" w:type="dxa"/>
            <w:gridSpan w:val="3"/>
            <w:tcBorders>
              <w:top w:val="single" w:sz="8" w:space="0" w:color="000000"/>
              <w:left w:val="single" w:sz="8" w:space="0" w:color="000000"/>
              <w:right w:val="single" w:sz="8" w:space="0" w:color="000000"/>
            </w:tcBorders>
            <w:tcMar>
              <w:top w:w="30" w:type="dxa"/>
              <w:bottom w:w="0" w:type="dxa"/>
              <w:right w:w="75" w:type="dxa"/>
            </w:tcMar>
            <w:vAlign w:val="center"/>
          </w:tcPr>
          <w:p>
            <w:pPr>
              <w:pStyle w:val="TableContents"/>
              <w:bidi w:val="0"/>
              <w:spacing w:lineRule="auto" w:line="240" w:before="0" w:after="283"/>
              <w:jc w:val="both"/>
              <w:rPr>
                <w:rFonts w:ascii="Cambria;sans-serif" w:hAnsi="Cambria;sans-serif"/>
                <w:b w:val="false"/>
                <w:color w:val="000000"/>
                <w:sz w:val="22"/>
              </w:rPr>
            </w:pPr>
            <w:r>
              <w:rPr>
                <w:rFonts w:ascii="Cambria;sans-serif" w:hAnsi="Cambria;sans-serif"/>
                <w:b w:val="false"/>
                <w:color w:val="000000"/>
                <w:sz w:val="22"/>
              </w:rPr>
              <w:t>Claudia Cibrian/ Michael Pisetsky</w:t>
            </w:r>
          </w:p>
        </w:tc>
      </w:tr>
      <w:tr>
        <w:trPr/>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both"/>
              <w:rPr>
                <w:rFonts w:ascii="Cambria;sans-serif" w:hAnsi="Cambria;sans-serif"/>
                <w:b w:val="false"/>
                <w:color w:val="000000"/>
                <w:sz w:val="22"/>
              </w:rPr>
            </w:pPr>
            <w:r>
              <w:rPr>
                <w:rFonts w:ascii="Cambria;sans-serif" w:hAnsi="Cambria;sans-serif"/>
                <w:b w:val="false"/>
                <w:color w:val="000000"/>
                <w:sz w:val="22"/>
              </w:rPr>
              <w:t>B</w:t>
            </w:r>
          </w:p>
        </w:tc>
        <w:tc>
          <w:tcPr>
            <w:tcW w:w="60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both"/>
              <w:rPr>
                <w:rFonts w:ascii="Cambria;sans-serif" w:hAnsi="Cambria;sans-serif"/>
                <w:b w:val="false"/>
                <w:color w:val="000000"/>
                <w:sz w:val="22"/>
              </w:rPr>
            </w:pPr>
            <w:r>
              <w:rPr>
                <w:rFonts w:ascii="Cambria;sans-serif" w:hAnsi="Cambria;sans-serif"/>
                <w:b w:val="false"/>
                <w:color w:val="000000"/>
                <w:sz w:val="22"/>
              </w:rPr>
              <w:t xml:space="preserve">Modifications to Section III.D </w:t>
            </w:r>
          </w:p>
        </w:tc>
        <w:tc>
          <w:tcPr>
            <w:tcW w:w="11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both"/>
              <w:rPr>
                <w:rFonts w:ascii="Cambria;sans-serif" w:hAnsi="Cambria;sans-serif"/>
                <w:b w:val="false"/>
                <w:color w:val="000000"/>
                <w:sz w:val="22"/>
              </w:rPr>
            </w:pPr>
            <w:r>
              <w:rPr>
                <w:rFonts w:ascii="Cambria;sans-serif" w:hAnsi="Cambria;sans-serif"/>
                <w:b w:val="false"/>
                <w:color w:val="000000"/>
                <w:sz w:val="22"/>
              </w:rPr>
              <w:t>05/01/2019</w:t>
            </w:r>
          </w:p>
        </w:tc>
        <w:tc>
          <w:tcPr>
            <w:tcW w:w="1923" w:type="dxa"/>
            <w:gridSpan w:val="3"/>
            <w:tcBorders>
              <w:top w:val="single" w:sz="8" w:space="0" w:color="000000"/>
              <w:left w:val="single" w:sz="8" w:space="0" w:color="000000"/>
              <w:right w:val="single" w:sz="8" w:space="0" w:color="000000"/>
            </w:tcBorders>
            <w:tcMar>
              <w:top w:w="30" w:type="dxa"/>
              <w:bottom w:w="0" w:type="dxa"/>
              <w:right w:w="75" w:type="dxa"/>
            </w:tcMar>
            <w:vAlign w:val="center"/>
          </w:tcPr>
          <w:p>
            <w:pPr>
              <w:pStyle w:val="TableContents"/>
              <w:bidi w:val="0"/>
              <w:spacing w:lineRule="auto" w:line="240" w:before="0" w:after="283"/>
              <w:jc w:val="both"/>
              <w:rPr>
                <w:rFonts w:ascii="Cambria;sans-serif" w:hAnsi="Cambria;sans-serif"/>
                <w:b w:val="false"/>
                <w:color w:val="000000"/>
                <w:sz w:val="22"/>
              </w:rPr>
            </w:pPr>
            <w:r>
              <w:rPr>
                <w:rFonts w:ascii="Cambria;sans-serif" w:hAnsi="Cambria;sans-serif"/>
                <w:b w:val="false"/>
                <w:color w:val="000000"/>
                <w:sz w:val="22"/>
              </w:rPr>
              <w:t>Claudia Cibrian/ Michael Pisetsky</w:t>
            </w:r>
          </w:p>
        </w:tc>
      </w:tr>
      <w:tr>
        <w:trPr/>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both"/>
              <w:rPr>
                <w:rFonts w:ascii="Cambria;sans-serif" w:hAnsi="Cambria;sans-serif"/>
                <w:b w:val="false"/>
                <w:color w:val="000000"/>
                <w:sz w:val="22"/>
              </w:rPr>
            </w:pPr>
            <w:r>
              <w:rPr>
                <w:rFonts w:ascii="Cambria;sans-serif" w:hAnsi="Cambria;sans-serif"/>
                <w:b w:val="false"/>
                <w:color w:val="000000"/>
                <w:sz w:val="22"/>
              </w:rPr>
              <w:t>C</w:t>
            </w:r>
          </w:p>
        </w:tc>
        <w:tc>
          <w:tcPr>
            <w:tcW w:w="60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both"/>
              <w:rPr>
                <w:rFonts w:ascii="Cambria;sans-serif" w:hAnsi="Cambria;sans-serif"/>
                <w:b w:val="false"/>
                <w:color w:val="000000"/>
                <w:sz w:val="22"/>
              </w:rPr>
            </w:pPr>
            <w:r>
              <w:rPr>
                <w:rFonts w:ascii="Cambria;sans-serif" w:hAnsi="Cambria;sans-serif"/>
                <w:b w:val="false"/>
                <w:color w:val="000000"/>
                <w:sz w:val="22"/>
              </w:rPr>
              <w:t xml:space="preserve">Modifications to Sections II.B (Inside Information), III.C (10b5-1 Trading Plans), III.D (Pre-Clearance Requirements), and Exhibit A (FAQ) </w:t>
            </w:r>
          </w:p>
        </w:tc>
        <w:tc>
          <w:tcPr>
            <w:tcW w:w="11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both"/>
              <w:rPr>
                <w:rFonts w:ascii="Cambria;sans-serif" w:hAnsi="Cambria;sans-serif"/>
                <w:b w:val="false"/>
                <w:color w:val="000000"/>
                <w:sz w:val="22"/>
              </w:rPr>
            </w:pPr>
            <w:r>
              <w:rPr>
                <w:rFonts w:ascii="Cambria;sans-serif" w:hAnsi="Cambria;sans-serif"/>
                <w:b w:val="false"/>
                <w:color w:val="000000"/>
                <w:sz w:val="22"/>
              </w:rPr>
              <w:t>11/10/2020</w:t>
            </w:r>
          </w:p>
        </w:tc>
        <w:tc>
          <w:tcPr>
            <w:tcW w:w="1923" w:type="dxa"/>
            <w:gridSpan w:val="3"/>
            <w:tcBorders>
              <w:top w:val="single" w:sz="8" w:space="0" w:color="000000"/>
              <w:left w:val="single" w:sz="8" w:space="0" w:color="000000"/>
              <w:right w:val="single" w:sz="8" w:space="0" w:color="000000"/>
            </w:tcBorders>
            <w:tcMar>
              <w:top w:w="30" w:type="dxa"/>
              <w:bottom w:w="0" w:type="dxa"/>
              <w:right w:w="75" w:type="dxa"/>
            </w:tcMar>
            <w:vAlign w:val="center"/>
          </w:tcPr>
          <w:p>
            <w:pPr>
              <w:pStyle w:val="TableContents"/>
              <w:bidi w:val="0"/>
              <w:spacing w:lineRule="auto" w:line="240" w:before="0" w:after="283"/>
              <w:jc w:val="both"/>
              <w:rPr>
                <w:rFonts w:ascii="Cambria;sans-serif" w:hAnsi="Cambria;sans-serif"/>
                <w:b w:val="false"/>
                <w:color w:val="000000"/>
                <w:sz w:val="22"/>
              </w:rPr>
            </w:pPr>
            <w:r>
              <w:rPr>
                <w:rFonts w:ascii="Cambria;sans-serif" w:hAnsi="Cambria;sans-serif"/>
                <w:b w:val="false"/>
                <w:color w:val="000000"/>
                <w:sz w:val="22"/>
              </w:rPr>
              <w:t>Claudia Cibrian/ Michael Pisetsky</w:t>
            </w:r>
          </w:p>
        </w:tc>
      </w:tr>
      <w:tr>
        <w:trPr/>
        <w:tc>
          <w:tcPr>
            <w:tcW w:w="103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both"/>
              <w:rPr>
                <w:rFonts w:ascii="Cambria;sans-serif" w:hAnsi="Cambria;sans-serif"/>
                <w:b w:val="false"/>
                <w:color w:val="000000"/>
                <w:sz w:val="22"/>
              </w:rPr>
            </w:pPr>
            <w:r>
              <w:rPr>
                <w:rFonts w:ascii="Cambria;sans-serif" w:hAnsi="Cambria;sans-serif"/>
                <w:b w:val="false"/>
                <w:color w:val="000000"/>
                <w:sz w:val="22"/>
              </w:rPr>
              <w:t>D</w:t>
            </w:r>
          </w:p>
        </w:tc>
        <w:tc>
          <w:tcPr>
            <w:tcW w:w="60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both"/>
              <w:rPr>
                <w:rFonts w:ascii="Cambria;sans-serif" w:hAnsi="Cambria;sans-serif"/>
                <w:b w:val="false"/>
                <w:color w:val="000000"/>
                <w:sz w:val="22"/>
              </w:rPr>
            </w:pPr>
            <w:r>
              <w:rPr>
                <w:rFonts w:ascii="Cambria;sans-serif" w:hAnsi="Cambria;sans-serif"/>
                <w:b w:val="false"/>
                <w:color w:val="000000"/>
                <w:sz w:val="22"/>
              </w:rPr>
              <w:t>Modifications to Inside Information, addition of covered consultants, reduce number of days for public dissemination, revise section related to pre-clearance requirements.</w:t>
            </w:r>
          </w:p>
        </w:tc>
        <w:tc>
          <w:tcPr>
            <w:tcW w:w="117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both"/>
              <w:rPr>
                <w:rFonts w:ascii="Cambria;sans-serif" w:hAnsi="Cambria;sans-serif"/>
                <w:b w:val="false"/>
                <w:color w:val="000000"/>
                <w:sz w:val="22"/>
              </w:rPr>
            </w:pPr>
            <w:r>
              <w:rPr>
                <w:rFonts w:ascii="Cambria;sans-serif" w:hAnsi="Cambria;sans-serif"/>
                <w:b w:val="false"/>
                <w:color w:val="000000"/>
                <w:sz w:val="22"/>
              </w:rPr>
              <w:t>03/16/2023</w:t>
            </w:r>
          </w:p>
        </w:tc>
        <w:tc>
          <w:tcPr>
            <w:tcW w:w="1923" w:type="dxa"/>
            <w:gridSpan w:val="3"/>
            <w:tcBorders>
              <w:top w:val="single" w:sz="8" w:space="0" w:color="000000"/>
              <w:left w:val="single" w:sz="8" w:space="0" w:color="000000"/>
              <w:right w:val="single" w:sz="8" w:space="0" w:color="000000"/>
            </w:tcBorders>
            <w:tcMar>
              <w:top w:w="30" w:type="dxa"/>
              <w:bottom w:w="0" w:type="dxa"/>
              <w:right w:w="75" w:type="dxa"/>
            </w:tcMar>
            <w:vAlign w:val="center"/>
          </w:tcPr>
          <w:p>
            <w:pPr>
              <w:pStyle w:val="TableContents"/>
              <w:bidi w:val="0"/>
              <w:spacing w:lineRule="auto" w:line="240" w:before="0" w:after="283"/>
              <w:jc w:val="both"/>
              <w:rPr>
                <w:rFonts w:ascii="Cambria;sans-serif" w:hAnsi="Cambria;sans-serif"/>
                <w:b w:val="false"/>
                <w:color w:val="000000"/>
                <w:sz w:val="22"/>
              </w:rPr>
            </w:pPr>
            <w:r>
              <w:rPr>
                <w:rFonts w:ascii="Cambria;sans-serif" w:hAnsi="Cambria;sans-serif"/>
                <w:b w:val="false"/>
                <w:color w:val="000000"/>
                <w:sz w:val="22"/>
              </w:rPr>
              <w:t>Sarah Duranske/ Michael Pisetsky</w:t>
            </w:r>
          </w:p>
        </w:tc>
      </w:tr>
      <w:tr>
        <w:trPr/>
        <w:tc>
          <w:tcPr>
            <w:tcW w:w="103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both"/>
              <w:rPr>
                <w:rFonts w:ascii="Cambria;sans-serif" w:hAnsi="Cambria;sans-serif"/>
                <w:b w:val="false"/>
                <w:color w:val="000000"/>
                <w:sz w:val="22"/>
              </w:rPr>
            </w:pPr>
            <w:r>
              <w:rPr>
                <w:rFonts w:ascii="Cambria;sans-serif" w:hAnsi="Cambria;sans-serif"/>
                <w:b w:val="false"/>
                <w:color w:val="000000"/>
                <w:sz w:val="22"/>
              </w:rPr>
              <w:t>E</w:t>
            </w:r>
          </w:p>
        </w:tc>
        <w:tc>
          <w:tcPr>
            <w:tcW w:w="607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both"/>
              <w:rPr>
                <w:rFonts w:ascii="Cambria;sans-serif" w:hAnsi="Cambria;sans-serif"/>
                <w:b w:val="false"/>
                <w:color w:val="000000"/>
                <w:sz w:val="22"/>
              </w:rPr>
            </w:pPr>
            <w:r>
              <w:rPr>
                <w:rFonts w:ascii="Cambria;sans-serif" w:hAnsi="Cambria;sans-serif"/>
                <w:b w:val="false"/>
                <w:color w:val="000000"/>
                <w:sz w:val="22"/>
              </w:rPr>
              <w:t xml:space="preserve">Updates related to stock trading by employees, directors, and covered consultants, the definition of Covered Insiders, and Exhibit A (FAQ). </w:t>
            </w:r>
          </w:p>
        </w:tc>
        <w:tc>
          <w:tcPr>
            <w:tcW w:w="117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both"/>
              <w:rPr>
                <w:rFonts w:ascii="Cambria;sans-serif" w:hAnsi="Cambria;sans-serif"/>
                <w:b w:val="false"/>
                <w:color w:val="000000"/>
                <w:sz w:val="22"/>
              </w:rPr>
            </w:pPr>
            <w:r>
              <w:rPr>
                <w:rFonts w:ascii="Cambria;sans-serif" w:hAnsi="Cambria;sans-serif"/>
                <w:b w:val="false"/>
                <w:color w:val="000000"/>
                <w:sz w:val="22"/>
              </w:rPr>
              <w:t>12/05/2025</w:t>
            </w:r>
          </w:p>
        </w:tc>
        <w:tc>
          <w:tcPr>
            <w:tcW w:w="1923" w:type="dxa"/>
            <w:gridSpan w:val="3"/>
            <w:tcBorders>
              <w:top w:val="single" w:sz="8" w:space="0" w:color="000000"/>
              <w:left w:val="single" w:sz="8" w:space="0" w:color="000000"/>
              <w:bottom w:val="single" w:sz="8" w:space="0" w:color="000000"/>
              <w:right w:val="single" w:sz="8" w:space="0" w:color="000000"/>
            </w:tcBorders>
            <w:tcMar>
              <w:top w:w="30" w:type="dxa"/>
              <w:bottom w:w="30" w:type="dxa"/>
              <w:right w:w="75" w:type="dxa"/>
            </w:tcMar>
            <w:vAlign w:val="center"/>
          </w:tcPr>
          <w:p>
            <w:pPr>
              <w:pStyle w:val="TableContents"/>
              <w:bidi w:val="0"/>
              <w:spacing w:lineRule="auto" w:line="240" w:before="0" w:after="283"/>
              <w:jc w:val="both"/>
              <w:rPr>
                <w:rFonts w:ascii="Cambria;sans-serif" w:hAnsi="Cambria;sans-serif"/>
                <w:b w:val="false"/>
                <w:color w:val="000000"/>
                <w:sz w:val="22"/>
              </w:rPr>
            </w:pPr>
            <w:r>
              <w:rPr>
                <w:rFonts w:ascii="Cambria;sans-serif" w:hAnsi="Cambria;sans-serif"/>
                <w:b w:val="false"/>
                <w:color w:val="000000"/>
                <w:sz w:val="22"/>
              </w:rPr>
              <w:t>BinQuang Zhuang / Michael Pisetsky</w:t>
            </w:r>
          </w:p>
        </w:tc>
      </w:tr>
    </w:tbl>
    <w:p>
      <w:pPr>
        <w:pStyle w:val="TextBody"/>
        <w:bidi w:val="0"/>
        <w:spacing w:before="0" w:after="12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271780"/>
                <wp:effectExtent l="0" t="0" r="0" b="0"/>
                <wp:wrapNone/>
                <wp:docPr id="189" name="Frame179"/>
                <a:graphic xmlns:a="http://schemas.openxmlformats.org/drawingml/2006/main">
                  <a:graphicData uri="http://schemas.microsoft.com/office/word/2010/wordprocessingShape">
                    <wps:wsp>
                      <wps:cNvSpPr txBox="1"/>
                      <wps:spPr>
                        <a:xfrm>
                          <a:off x="0" y="0"/>
                          <a:ext cx="6480175" cy="271780"/>
                        </a:xfrm>
                        <a:prstGeom prst="rect"/>
                        <a:solidFill>
                          <a:srgbClr val="FFFFFF"/>
                        </a:solidFill>
                      </wps:spPr>
                      <wps:txbx>
                        <w:txbxContent>
                          <w:p>
                            <w:pPr>
                              <w:pStyle w:val="TextBody"/>
                              <w:bidi w:val="0"/>
                              <w:spacing w:lineRule="atLeast" w:line="240" w:before="0" w:after="0"/>
                              <w:jc w:val="center"/>
                              <w:rPr>
                                <w:rFonts w:ascii="Cambria;sans-serif" w:hAnsi="Cambria;sans-serif"/>
                                <w:b w:val="false"/>
                                <w:i/>
                                <w:color w:val="000000"/>
                                <w:sz w:val="16"/>
                              </w:rPr>
                            </w:pPr>
                            <w:r>
                              <w:rPr>
                                <w:rFonts w:ascii="Cambria;sans-serif" w:hAnsi="Cambria;sans-serif"/>
                                <w:b w:val="false"/>
                                <w:i/>
                                <w:color w:val="000000"/>
                                <w:sz w:val="16"/>
                              </w:rPr>
                              <w:t>This document contains confidential and proprietary information of SI-BONE.</w:t>
                            </w:r>
                            <w:r>
                              <w:br w:type="page"/>
                            </w:r>
                          </w:p>
                          <w:p>
                            <w:pPr>
                              <w:pStyle w:val="TextBody"/>
                              <w:bidi w:val="0"/>
                              <w:spacing w:lineRule="auto" w:line="288" w:before="0" w:after="0"/>
                              <w:jc w:val="center"/>
                              <w:rPr>
                                <w:rFonts w:ascii="Cambria;sans-serif" w:hAnsi="Cambria;sans-serif"/>
                                <w:b w:val="false"/>
                                <w:i/>
                                <w:color w:val="000000"/>
                                <w:sz w:val="16"/>
                              </w:rPr>
                            </w:pPr>
                            <w:r>
                              <w:rPr>
                                <w:rFonts w:ascii="Cambria;sans-serif" w:hAnsi="Cambria;sans-serif"/>
                                <w:b w:val="false"/>
                                <w:i/>
                                <w:color w:val="000000"/>
                                <w:sz w:val="16"/>
                              </w:rPr>
                              <w:t>It may not be copied or reproduced without prior written permission from SI-BONE.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0"/>
                        <w:jc w:val="center"/>
                        <w:rPr>
                          <w:rFonts w:ascii="Cambria;sans-serif" w:hAnsi="Cambria;sans-serif"/>
                          <w:b w:val="false"/>
                          <w:i/>
                          <w:color w:val="000000"/>
                          <w:sz w:val="16"/>
                        </w:rPr>
                      </w:pPr>
                      <w:r>
                        <w:rPr>
                          <w:rFonts w:ascii="Cambria;sans-serif" w:hAnsi="Cambria;sans-serif"/>
                          <w:b w:val="false"/>
                          <w:i/>
                          <w:color w:val="000000"/>
                          <w:sz w:val="16"/>
                        </w:rPr>
                        <w:t>This document contains confidential and proprietary information of SI-BONE.</w:t>
                      </w:r>
                    </w:p>
                    <w:p>
                      <w:pPr>
                        <w:pStyle w:val="TextBody"/>
                        <w:bidi w:val="0"/>
                        <w:spacing w:lineRule="auto" w:line="288" w:before="0" w:after="0"/>
                        <w:jc w:val="center"/>
                        <w:rPr>
                          <w:rFonts w:ascii="Cambria;sans-serif" w:hAnsi="Cambria;sans-serif"/>
                          <w:b w:val="false"/>
                          <w:i/>
                          <w:color w:val="000000"/>
                          <w:sz w:val="16"/>
                        </w:rPr>
                      </w:pPr>
                      <w:r>
                        <w:rPr>
                          <w:rFonts w:ascii="Cambria;sans-serif" w:hAnsi="Cambria;sans-serif"/>
                          <w:b w:val="false"/>
                          <w:i/>
                          <w:color w:val="000000"/>
                          <w:sz w:val="16"/>
                        </w:rPr>
                        <w:t>It may not be copied or reproduced without prior written permission from SI-BONE.</w:t>
                      </w:r>
                    </w:p>
                  </w:txbxContent>
                </v:textbox>
                <w10:wrap type="none"/>
              </v:rect>
            </w:pict>
          </mc:Fallback>
        </mc:AlternateContent>
      </w:r>
    </w:p>
    <w:tbl>
      <w:tblPr>
        <w:tblW w:w="7164" w:type="dxa"/>
        <w:jc w:val="left"/>
        <w:tblInd w:w="0" w:type="dxa"/>
        <w:tblLayout w:type="fixed"/>
        <w:tblCellMar>
          <w:top w:w="28" w:type="dxa"/>
          <w:left w:w="28" w:type="dxa"/>
          <w:bottom w:w="28" w:type="dxa"/>
          <w:right w:w="28" w:type="dxa"/>
        </w:tblCellMar>
      </w:tblPr>
      <w:tblGrid>
        <w:gridCol w:w="678"/>
        <w:gridCol w:w="596"/>
        <w:gridCol w:w="597"/>
        <w:gridCol w:w="859"/>
        <w:gridCol w:w="859"/>
        <w:gridCol w:w="861"/>
        <w:gridCol w:w="794"/>
        <w:gridCol w:w="794"/>
        <w:gridCol w:w="1126"/>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187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left"/>
              <w:rPr/>
            </w:pPr>
            <w:r>
              <w:rPr/>
              <w:drawing>
                <wp:inline distT="0" distB="0" distL="0" distR="0">
                  <wp:extent cx="1123950" cy="495300"/>
                  <wp:effectExtent l="0" t="0" r="0" b="0"/>
                  <wp:docPr id="19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1" descr=""/>
                          <pic:cNvPicPr>
                            <a:picLocks noChangeAspect="1" noChangeArrowheads="1"/>
                          </pic:cNvPicPr>
                        </pic:nvPicPr>
                        <pic:blipFill>
                          <a:blip r:embed="rId64"/>
                          <a:stretch>
                            <a:fillRect/>
                          </a:stretch>
                        </pic:blipFill>
                        <pic:spPr bwMode="auto">
                          <a:xfrm>
                            <a:off x="0" y="0"/>
                            <a:ext cx="1123950" cy="495300"/>
                          </a:xfrm>
                          <a:prstGeom prst="rect">
                            <a:avLst/>
                          </a:prstGeom>
                        </pic:spPr>
                      </pic:pic>
                    </a:graphicData>
                  </a:graphic>
                </wp:inline>
              </w:drawing>
            </w:r>
          </w:p>
        </w:tc>
        <w:tc>
          <w:tcPr>
            <w:tcW w:w="25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Cambria;sans-serif" w:hAnsi="Cambria;sans-serif"/>
                <w:b/>
                <w:color w:val="000000"/>
                <w:sz w:val="24"/>
              </w:rPr>
            </w:pPr>
            <w:r>
              <w:rPr>
                <w:rFonts w:ascii="Cambria;sans-serif" w:hAnsi="Cambria;sans-serif"/>
                <w:b/>
                <w:color w:val="000000"/>
                <w:sz w:val="24"/>
              </w:rPr>
              <w:t>Corporate Policy</w:t>
            </w:r>
          </w:p>
          <w:p>
            <w:pPr>
              <w:pStyle w:val="TableContents"/>
              <w:bidi w:val="0"/>
              <w:spacing w:lineRule="auto" w:line="288" w:before="0" w:after="0"/>
              <w:jc w:val="center"/>
              <w:rPr>
                <w:rFonts w:ascii="Cambria;sans-serif" w:hAnsi="Cambria;sans-serif"/>
                <w:b/>
                <w:color w:val="000000"/>
                <w:sz w:val="24"/>
              </w:rPr>
            </w:pPr>
            <w:r>
              <w:rPr>
                <w:rFonts w:ascii="Cambria;sans-serif" w:hAnsi="Cambria;sans-serif"/>
                <w:b/>
                <w:color w:val="000000"/>
                <w:sz w:val="24"/>
              </w:rPr>
              <w:t>Insider Trading Policy</w:t>
            </w:r>
          </w:p>
        </w:tc>
        <w:tc>
          <w:tcPr>
            <w:tcW w:w="271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Document No: CORP-0006</w:t>
            </w:r>
          </w:p>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Revision: E</w:t>
            </w:r>
          </w:p>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Effective Date: 12/05/2025</w:t>
            </w:r>
          </w:p>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Page 7 of #NUM_PAGES#</w:t>
            </w:r>
          </w:p>
        </w:tc>
      </w:tr>
    </w:tbl>
    <w:p>
      <w:pPr>
        <w:pStyle w:val="TextBody"/>
        <w:bidi w:val="0"/>
        <w:spacing w:before="0" w:after="0"/>
        <w:jc w:val="both"/>
        <w:rPr/>
      </w:pPr>
      <w:r>
        <w:rPr/>
      </w:r>
    </w:p>
    <w:p>
      <w:pPr>
        <w:pStyle w:val="TextBody"/>
        <w:bidi w:val="0"/>
        <w:spacing w:lineRule="auto" w:line="288" w:before="0" w:after="120"/>
        <w:jc w:val="center"/>
        <w:rPr>
          <w:rFonts w:ascii="Cambria;sans-serif" w:hAnsi="Cambria;sans-serif"/>
          <w:b/>
          <w:color w:val="000000"/>
          <w:sz w:val="22"/>
        </w:rPr>
      </w:pPr>
      <w:r>
        <w:rPr>
          <w:rFonts w:ascii="Cambria;sans-serif" w:hAnsi="Cambria;sans-serif"/>
          <w:b/>
          <w:color w:val="000000"/>
          <w:sz w:val="22"/>
        </w:rPr>
        <w:t>EXHIBIT A</w:t>
        <w:br/>
        <w:t>FREQUENTLY ASKED QUESTIONS</w:t>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1.What is insider trading?</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Insider trading is the buying or selling of stocks, bonds, futures, or other securities by someone in possession of material, nonpublic information. Insider trading also includes trading in options (puts and calls) the price of which is linked to the underlying price of a company’s stock. It does not matter how many shares you buy or sell, or whether it has an effect on the stock price – if you have material, nonpublic information and you trade, you have broken the law.</w:t>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2.Why is insider trading illegal?</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If Company insiders are able to use their confidential knowledge to their financial advantage, other investors would not have confidence in the fairness and integrity of the marketplace. Requiring those who have such information to disclose (the information to the public) or abstain (from trading) ensures an even playing field.</w:t>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3.What information is nonpublic?</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Information is considered nonpublic if it has not been disclosed to the general public or broadly disseminated—such as through a press release, SEC filing, or earnings call—or if the public has not had sufficient time to absorb and react to it. Even internal communications among employees may be deemed nonpublic if they have not been made publicly available.</w:t>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4.What information is material?</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Information is material if it would influence a reasonable investor to buy or sell a stock, bond or other security. This could mean many things – financial results, potential mergers, major contracts, etc. Information is nonpublic if it has not yet been released and disseminated to the public.</w:t>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5.Who can be guilty of insider trading?</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Anyone who buys or sells a security while in possession of material, nonpublic information. It does not matter if you are not an executive officer or director, or even if you do not work at SI-BONE– if you know something material about the value of a security that not everyone else does, regardless of who you are, you can be found guilty of insider trading.</w:t>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6.Does SI-BONE have an insider trading policy?</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 xml:space="preserve">Yes. </w:t>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7.Am I still subject to the insider trading policy even if I am not a “Covered Insider” as defined I this policy?</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Yes, this policy generally applies to all employees, directors and certain covered consultants, although Covered Insiders are subject to certain specific requirements set forth in this policy.</w:t>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8.What if I work in a foreign office?</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 xml:space="preserve">There is no difference. The policy and law applies to you. Because our common stock trades on a United States securities exchange, the insider trading laws of the U.S. apply. The U.S. Securities and Exchange Commission (the SEC) (a U.S. government agency in charge of investor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271780"/>
                <wp:effectExtent l="0" t="0" r="0" b="0"/>
                <wp:wrapNone/>
                <wp:docPr id="191" name="Frame180"/>
                <a:graphic xmlns:a="http://schemas.openxmlformats.org/drawingml/2006/main">
                  <a:graphicData uri="http://schemas.microsoft.com/office/word/2010/wordprocessingShape">
                    <wps:wsp>
                      <wps:cNvSpPr txBox="1"/>
                      <wps:spPr>
                        <a:xfrm>
                          <a:off x="0" y="0"/>
                          <a:ext cx="6480175" cy="271780"/>
                        </a:xfrm>
                        <a:prstGeom prst="rect"/>
                        <a:solidFill>
                          <a:srgbClr val="FFFFFF"/>
                        </a:solidFill>
                      </wps:spPr>
                      <wps:txbx>
                        <w:txbxContent>
                          <w:p>
                            <w:pPr>
                              <w:pStyle w:val="TextBody"/>
                              <w:bidi w:val="0"/>
                              <w:spacing w:lineRule="atLeast" w:line="240" w:before="0" w:after="0"/>
                              <w:jc w:val="center"/>
                              <w:rPr>
                                <w:rFonts w:ascii="Cambria;sans-serif" w:hAnsi="Cambria;sans-serif"/>
                                <w:b w:val="false"/>
                                <w:i/>
                                <w:color w:val="000000"/>
                                <w:sz w:val="16"/>
                              </w:rPr>
                            </w:pPr>
                            <w:r>
                              <w:rPr>
                                <w:rFonts w:ascii="Cambria;sans-serif" w:hAnsi="Cambria;sans-serif"/>
                                <w:b w:val="false"/>
                                <w:i/>
                                <w:color w:val="000000"/>
                                <w:sz w:val="16"/>
                              </w:rPr>
                              <w:t>This document contains confidential and proprietary information of SI-BONE.</w:t>
                            </w:r>
                            <w:r>
                              <w:br w:type="page"/>
                            </w:r>
                          </w:p>
                          <w:p>
                            <w:pPr>
                              <w:pStyle w:val="TextBody"/>
                              <w:bidi w:val="0"/>
                              <w:spacing w:lineRule="auto" w:line="288" w:before="0" w:after="0"/>
                              <w:jc w:val="center"/>
                              <w:rPr>
                                <w:rFonts w:ascii="Cambria;sans-serif" w:hAnsi="Cambria;sans-serif"/>
                                <w:b w:val="false"/>
                                <w:i/>
                                <w:color w:val="000000"/>
                                <w:sz w:val="16"/>
                              </w:rPr>
                            </w:pPr>
                            <w:r>
                              <w:rPr>
                                <w:rFonts w:ascii="Cambria;sans-serif" w:hAnsi="Cambria;sans-serif"/>
                                <w:b w:val="false"/>
                                <w:i/>
                                <w:color w:val="000000"/>
                                <w:sz w:val="16"/>
                              </w:rPr>
                              <w:t>It may not be copied or reproduced without prior written permission from SI-BONE.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0"/>
                        <w:jc w:val="center"/>
                        <w:rPr>
                          <w:rFonts w:ascii="Cambria;sans-serif" w:hAnsi="Cambria;sans-serif"/>
                          <w:b w:val="false"/>
                          <w:i/>
                          <w:color w:val="000000"/>
                          <w:sz w:val="16"/>
                        </w:rPr>
                      </w:pPr>
                      <w:r>
                        <w:rPr>
                          <w:rFonts w:ascii="Cambria;sans-serif" w:hAnsi="Cambria;sans-serif"/>
                          <w:b w:val="false"/>
                          <w:i/>
                          <w:color w:val="000000"/>
                          <w:sz w:val="16"/>
                        </w:rPr>
                        <w:t>This document contains confidential and proprietary information of SI-BONE.</w:t>
                      </w:r>
                    </w:p>
                    <w:p>
                      <w:pPr>
                        <w:pStyle w:val="TextBody"/>
                        <w:bidi w:val="0"/>
                        <w:spacing w:lineRule="auto" w:line="288" w:before="0" w:after="0"/>
                        <w:jc w:val="center"/>
                        <w:rPr>
                          <w:rFonts w:ascii="Cambria;sans-serif" w:hAnsi="Cambria;sans-serif"/>
                          <w:b w:val="false"/>
                          <w:i/>
                          <w:color w:val="000000"/>
                          <w:sz w:val="16"/>
                        </w:rPr>
                      </w:pPr>
                      <w:r>
                        <w:rPr>
                          <w:rFonts w:ascii="Cambria;sans-serif" w:hAnsi="Cambria;sans-serif"/>
                          <w:b w:val="false"/>
                          <w:i/>
                          <w:color w:val="000000"/>
                          <w:sz w:val="16"/>
                        </w:rPr>
                        <w:t>It may not be copied or reproduced without prior written permission from SI-BONE.</w:t>
                      </w:r>
                    </w:p>
                  </w:txbxContent>
                </v:textbox>
                <w10:wrap type="none"/>
              </v:rect>
            </w:pict>
          </mc:Fallback>
        </mc:AlternateContent>
      </w:r>
    </w:p>
    <w:tbl>
      <w:tblPr>
        <w:tblW w:w="7164" w:type="dxa"/>
        <w:jc w:val="left"/>
        <w:tblInd w:w="0" w:type="dxa"/>
        <w:tblLayout w:type="fixed"/>
        <w:tblCellMar>
          <w:top w:w="28" w:type="dxa"/>
          <w:left w:w="28" w:type="dxa"/>
          <w:bottom w:w="28" w:type="dxa"/>
          <w:right w:w="28" w:type="dxa"/>
        </w:tblCellMar>
      </w:tblPr>
      <w:tblGrid>
        <w:gridCol w:w="678"/>
        <w:gridCol w:w="596"/>
        <w:gridCol w:w="597"/>
        <w:gridCol w:w="859"/>
        <w:gridCol w:w="859"/>
        <w:gridCol w:w="861"/>
        <w:gridCol w:w="794"/>
        <w:gridCol w:w="794"/>
        <w:gridCol w:w="1126"/>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187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left"/>
              <w:rPr/>
            </w:pPr>
            <w:r>
              <w:rPr/>
              <w:drawing>
                <wp:inline distT="0" distB="0" distL="0" distR="0">
                  <wp:extent cx="1123950" cy="495300"/>
                  <wp:effectExtent l="0" t="0" r="0" b="0"/>
                  <wp:docPr id="19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2" descr=""/>
                          <pic:cNvPicPr>
                            <a:picLocks noChangeAspect="1" noChangeArrowheads="1"/>
                          </pic:cNvPicPr>
                        </pic:nvPicPr>
                        <pic:blipFill>
                          <a:blip r:embed="rId65"/>
                          <a:stretch>
                            <a:fillRect/>
                          </a:stretch>
                        </pic:blipFill>
                        <pic:spPr bwMode="auto">
                          <a:xfrm>
                            <a:off x="0" y="0"/>
                            <a:ext cx="1123950" cy="495300"/>
                          </a:xfrm>
                          <a:prstGeom prst="rect">
                            <a:avLst/>
                          </a:prstGeom>
                        </pic:spPr>
                      </pic:pic>
                    </a:graphicData>
                  </a:graphic>
                </wp:inline>
              </w:drawing>
            </w:r>
          </w:p>
        </w:tc>
        <w:tc>
          <w:tcPr>
            <w:tcW w:w="25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Cambria;sans-serif" w:hAnsi="Cambria;sans-serif"/>
                <w:b/>
                <w:color w:val="000000"/>
                <w:sz w:val="24"/>
              </w:rPr>
            </w:pPr>
            <w:r>
              <w:rPr>
                <w:rFonts w:ascii="Cambria;sans-serif" w:hAnsi="Cambria;sans-serif"/>
                <w:b/>
                <w:color w:val="000000"/>
                <w:sz w:val="24"/>
              </w:rPr>
              <w:t>Corporate Policy</w:t>
            </w:r>
          </w:p>
          <w:p>
            <w:pPr>
              <w:pStyle w:val="TableContents"/>
              <w:bidi w:val="0"/>
              <w:spacing w:lineRule="auto" w:line="288" w:before="0" w:after="0"/>
              <w:jc w:val="center"/>
              <w:rPr>
                <w:rFonts w:ascii="Cambria;sans-serif" w:hAnsi="Cambria;sans-serif"/>
                <w:b/>
                <w:color w:val="000000"/>
                <w:sz w:val="24"/>
              </w:rPr>
            </w:pPr>
            <w:r>
              <w:rPr>
                <w:rFonts w:ascii="Cambria;sans-serif" w:hAnsi="Cambria;sans-serif"/>
                <w:b/>
                <w:color w:val="000000"/>
                <w:sz w:val="24"/>
              </w:rPr>
              <w:t>Insider Trading Policy</w:t>
            </w:r>
          </w:p>
        </w:tc>
        <w:tc>
          <w:tcPr>
            <w:tcW w:w="271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Document No: CORP-0006</w:t>
            </w:r>
          </w:p>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Revision: E</w:t>
            </w:r>
          </w:p>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Effective Date: 12/05/2025</w:t>
            </w:r>
          </w:p>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Page 8 of #NUM_PAGES#</w:t>
            </w:r>
          </w:p>
        </w:tc>
      </w:tr>
    </w:tbl>
    <w:p>
      <w:pPr>
        <w:pStyle w:val="TextBody"/>
        <w:bidi w:val="0"/>
        <w:spacing w:before="0" w:after="0"/>
        <w:jc w:val="both"/>
        <w:rPr/>
      </w:pPr>
      <w:r>
        <w:rPr/>
      </w:r>
    </w:p>
    <w:p>
      <w:pPr>
        <w:pStyle w:val="TextBody"/>
        <w:bidi w:val="0"/>
        <w:spacing w:lineRule="auto" w:line="288" w:before="0" w:after="120"/>
        <w:jc w:val="both"/>
        <w:rPr>
          <w:rFonts w:ascii="Cambria;sans-serif" w:hAnsi="Cambria;sans-serif"/>
          <w:b w:val="false"/>
          <w:color w:val="000000"/>
          <w:sz w:val="22"/>
        </w:rPr>
      </w:pPr>
      <w:r>
        <w:rPr>
          <w:rFonts w:ascii="Cambria;sans-serif" w:hAnsi="Cambria;sans-serif"/>
          <w:b w:val="false"/>
          <w:color w:val="000000"/>
          <w:sz w:val="22"/>
        </w:rPr>
        <w:t>protection) and the Financial Industry Regulatory Authority (FINRA) (a private regulator that oversees U.S. exchanges) routinely investigate trading in a company’s securities conducted by internationally-based individuals and firms. In addition, as an SI-BONE employee, our policies apply to you no matter where in the world you work.</w:t>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9.What if I don’t buy or sell anything, but I tell someone else the information and they buy or sell?</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That is called “tipping.” You are the “tipper” and the other person is called the “tippee”. If the tippee buys or sells based on that material, nonpublic information, you might still be guilty of insider trading. In fact, if you tell family members who tell others and those people then trade on the information, those family members might be guilty of insider trading too. As a result, you may not discuss material, non-public information about SI-BONE with anyone outside SI-BONE, including spouses, family members, friends, or business associates. This includes anonymous discussion on the Internet about SI-BONE or companies with which SI-BONE does business.</w:t>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 xml:space="preserve">10.What if I don’t tell them the information itself, I just tell them whether they should buy or sell? </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That is still tipping, and you can still be found guilty of insider trading. According to our policies, you may never recommend to another person that they buy, hold or sell our common stock or any derivative security related to our common stock.</w:t>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11.What are the penalties if I trade on inside information, or tip off someone else?</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Anyone found liable in a civil case for trading on inside information may need to pay the U.S. government an amount equal to any profit made or any loss avoided and may also face a penalty of up to three times this amount. Persons found liable for tipping inside information, even if they did not trade themselves, may face a penalty of up to three times the amount of any profit gained or loss avoided by everyone in the chain of tippees. In addition, anyone convicted of criminal insider trading can face prison terms and additional fines.</w:t>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12.What is “loss avoided”?</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If you sell a common stock or a related derivative security before the negative news is publicly announced, and as a result of the announcement the stock price declines, you have avoided the loss caused by the negative news.</w:t>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13.Am I restricted from trading securities of any companies except SI-BONE (for example a customer or competitor of SI-BONE)?</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Yes. U.S. insider trading laws restrict everyone from trading in a company’s securities based on material nonpublic information about that company, regardless of whether the person is directly connected with that company. Therefore, if you obtain material nonpublic information about another company, you should not trade in that company’s securities. This restriction is particularly important given recent SEC enforcement actions against "shadow trading" - using information from your employer to trade securities of other companies. You should be particularly conscious of this restriction if, through your position at SI-BONE, you sometimes obtain sensitive, material information about other companies and their business dealings with SI-BONE. When in doubt, consult the Chief Business &amp; Legal Affairs Officer before trading.</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271780"/>
                <wp:effectExtent l="0" t="0" r="0" b="0"/>
                <wp:wrapNone/>
                <wp:docPr id="193" name="Frame181"/>
                <a:graphic xmlns:a="http://schemas.openxmlformats.org/drawingml/2006/main">
                  <a:graphicData uri="http://schemas.microsoft.com/office/word/2010/wordprocessingShape">
                    <wps:wsp>
                      <wps:cNvSpPr txBox="1"/>
                      <wps:spPr>
                        <a:xfrm>
                          <a:off x="0" y="0"/>
                          <a:ext cx="6480175" cy="271780"/>
                        </a:xfrm>
                        <a:prstGeom prst="rect"/>
                        <a:solidFill>
                          <a:srgbClr val="FFFFFF"/>
                        </a:solidFill>
                      </wps:spPr>
                      <wps:txbx>
                        <w:txbxContent>
                          <w:p>
                            <w:pPr>
                              <w:pStyle w:val="TextBody"/>
                              <w:bidi w:val="0"/>
                              <w:spacing w:lineRule="atLeast" w:line="240" w:before="0" w:after="0"/>
                              <w:jc w:val="center"/>
                              <w:rPr>
                                <w:rFonts w:ascii="Cambria;sans-serif" w:hAnsi="Cambria;sans-serif"/>
                                <w:b w:val="false"/>
                                <w:i/>
                                <w:color w:val="000000"/>
                                <w:sz w:val="16"/>
                              </w:rPr>
                            </w:pPr>
                            <w:r>
                              <w:rPr>
                                <w:rFonts w:ascii="Cambria;sans-serif" w:hAnsi="Cambria;sans-serif"/>
                                <w:b w:val="false"/>
                                <w:i/>
                                <w:color w:val="000000"/>
                                <w:sz w:val="16"/>
                              </w:rPr>
                              <w:t>This document contains confidential and proprietary information of SI-BONE.</w:t>
                            </w:r>
                            <w:r>
                              <w:br w:type="page"/>
                            </w:r>
                          </w:p>
                          <w:p>
                            <w:pPr>
                              <w:pStyle w:val="TextBody"/>
                              <w:bidi w:val="0"/>
                              <w:spacing w:lineRule="auto" w:line="288" w:before="0" w:after="0"/>
                              <w:jc w:val="center"/>
                              <w:rPr>
                                <w:rFonts w:ascii="Cambria;sans-serif" w:hAnsi="Cambria;sans-serif"/>
                                <w:b w:val="false"/>
                                <w:i/>
                                <w:color w:val="000000"/>
                                <w:sz w:val="16"/>
                              </w:rPr>
                            </w:pPr>
                            <w:r>
                              <w:rPr>
                                <w:rFonts w:ascii="Cambria;sans-serif" w:hAnsi="Cambria;sans-serif"/>
                                <w:b w:val="false"/>
                                <w:i/>
                                <w:color w:val="000000"/>
                                <w:sz w:val="16"/>
                              </w:rPr>
                              <w:t>It may not be copied or reproduced without prior written permission from SI-BONE.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0"/>
                        <w:jc w:val="center"/>
                        <w:rPr>
                          <w:rFonts w:ascii="Cambria;sans-serif" w:hAnsi="Cambria;sans-serif"/>
                          <w:b w:val="false"/>
                          <w:i/>
                          <w:color w:val="000000"/>
                          <w:sz w:val="16"/>
                        </w:rPr>
                      </w:pPr>
                      <w:r>
                        <w:rPr>
                          <w:rFonts w:ascii="Cambria;sans-serif" w:hAnsi="Cambria;sans-serif"/>
                          <w:b w:val="false"/>
                          <w:i/>
                          <w:color w:val="000000"/>
                          <w:sz w:val="16"/>
                        </w:rPr>
                        <w:t>This document contains confidential and proprietary information of SI-BONE.</w:t>
                      </w:r>
                    </w:p>
                    <w:p>
                      <w:pPr>
                        <w:pStyle w:val="TextBody"/>
                        <w:bidi w:val="0"/>
                        <w:spacing w:lineRule="auto" w:line="288" w:before="0" w:after="0"/>
                        <w:jc w:val="center"/>
                        <w:rPr>
                          <w:rFonts w:ascii="Cambria;sans-serif" w:hAnsi="Cambria;sans-serif"/>
                          <w:b w:val="false"/>
                          <w:i/>
                          <w:color w:val="000000"/>
                          <w:sz w:val="16"/>
                        </w:rPr>
                      </w:pPr>
                      <w:r>
                        <w:rPr>
                          <w:rFonts w:ascii="Cambria;sans-serif" w:hAnsi="Cambria;sans-serif"/>
                          <w:b w:val="false"/>
                          <w:i/>
                          <w:color w:val="000000"/>
                          <w:sz w:val="16"/>
                        </w:rPr>
                        <w:t>It may not be copied or reproduced without prior written permission from SI-BONE.</w:t>
                      </w:r>
                    </w:p>
                  </w:txbxContent>
                </v:textbox>
                <w10:wrap type="none"/>
              </v:rect>
            </w:pict>
          </mc:Fallback>
        </mc:AlternateContent>
      </w:r>
    </w:p>
    <w:tbl>
      <w:tblPr>
        <w:tblW w:w="7164" w:type="dxa"/>
        <w:jc w:val="left"/>
        <w:tblInd w:w="0" w:type="dxa"/>
        <w:tblLayout w:type="fixed"/>
        <w:tblCellMar>
          <w:top w:w="28" w:type="dxa"/>
          <w:left w:w="28" w:type="dxa"/>
          <w:bottom w:w="28" w:type="dxa"/>
          <w:right w:w="28" w:type="dxa"/>
        </w:tblCellMar>
      </w:tblPr>
      <w:tblGrid>
        <w:gridCol w:w="678"/>
        <w:gridCol w:w="596"/>
        <w:gridCol w:w="597"/>
        <w:gridCol w:w="859"/>
        <w:gridCol w:w="859"/>
        <w:gridCol w:w="861"/>
        <w:gridCol w:w="794"/>
        <w:gridCol w:w="794"/>
        <w:gridCol w:w="1126"/>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187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left"/>
              <w:rPr/>
            </w:pPr>
            <w:r>
              <w:rPr/>
              <w:drawing>
                <wp:inline distT="0" distB="0" distL="0" distR="0">
                  <wp:extent cx="1123950" cy="495300"/>
                  <wp:effectExtent l="0" t="0" r="0" b="0"/>
                  <wp:docPr id="19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3" descr=""/>
                          <pic:cNvPicPr>
                            <a:picLocks noChangeAspect="1" noChangeArrowheads="1"/>
                          </pic:cNvPicPr>
                        </pic:nvPicPr>
                        <pic:blipFill>
                          <a:blip r:embed="rId66"/>
                          <a:stretch>
                            <a:fillRect/>
                          </a:stretch>
                        </pic:blipFill>
                        <pic:spPr bwMode="auto">
                          <a:xfrm>
                            <a:off x="0" y="0"/>
                            <a:ext cx="1123950" cy="495300"/>
                          </a:xfrm>
                          <a:prstGeom prst="rect">
                            <a:avLst/>
                          </a:prstGeom>
                        </pic:spPr>
                      </pic:pic>
                    </a:graphicData>
                  </a:graphic>
                </wp:inline>
              </w:drawing>
            </w:r>
          </w:p>
        </w:tc>
        <w:tc>
          <w:tcPr>
            <w:tcW w:w="25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Cambria;sans-serif" w:hAnsi="Cambria;sans-serif"/>
                <w:b/>
                <w:color w:val="000000"/>
                <w:sz w:val="24"/>
              </w:rPr>
            </w:pPr>
            <w:r>
              <w:rPr>
                <w:rFonts w:ascii="Cambria;sans-serif" w:hAnsi="Cambria;sans-serif"/>
                <w:b/>
                <w:color w:val="000000"/>
                <w:sz w:val="24"/>
              </w:rPr>
              <w:t>Corporate Policy</w:t>
            </w:r>
          </w:p>
          <w:p>
            <w:pPr>
              <w:pStyle w:val="TableContents"/>
              <w:bidi w:val="0"/>
              <w:spacing w:lineRule="auto" w:line="288" w:before="0" w:after="0"/>
              <w:jc w:val="center"/>
              <w:rPr>
                <w:rFonts w:ascii="Cambria;sans-serif" w:hAnsi="Cambria;sans-serif"/>
                <w:b/>
                <w:color w:val="000000"/>
                <w:sz w:val="24"/>
              </w:rPr>
            </w:pPr>
            <w:r>
              <w:rPr>
                <w:rFonts w:ascii="Cambria;sans-serif" w:hAnsi="Cambria;sans-serif"/>
                <w:b/>
                <w:color w:val="000000"/>
                <w:sz w:val="24"/>
              </w:rPr>
              <w:t>Insider Trading Policy</w:t>
            </w:r>
          </w:p>
        </w:tc>
        <w:tc>
          <w:tcPr>
            <w:tcW w:w="271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Document No: CORP-0006</w:t>
            </w:r>
          </w:p>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Revision: E</w:t>
            </w:r>
          </w:p>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Effective Date: 12/05/2025</w:t>
            </w:r>
          </w:p>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Page 9 of #NUM_PAGES#</w:t>
            </w:r>
          </w:p>
        </w:tc>
      </w:tr>
    </w:tbl>
    <w:p>
      <w:pPr>
        <w:pStyle w:val="TextBody"/>
        <w:bidi w:val="0"/>
        <w:spacing w:before="0" w:after="0"/>
        <w:jc w:val="both"/>
        <w:rPr/>
      </w:pPr>
      <w:r>
        <w:rPr/>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14.So if I do not trade SI-BONE securities when I have material nonpublic information, and I don’t “tip” other people, I am in the clear, right?</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Not necessarily. Even if you do not violate U.S. law, you may still violate our policies. Our policies are stricter than the law requires, so that we and our employees can avoid even the appearance of wrongdoing. Therefore, please review the entire policy carefully.</w:t>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15.If I am aware of new product or service developments that have not been announced to the public, do I possess material non-public information?</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In most circumstances, SI-BONE does not consider new product and service developments to be material information that would require the closing of the trading window with respect to those individuals that are aware of these developments. However, there are circumstances where a new product or service in development or issues with respect to current or past products or services could be so significant that it constitutes material non-public information. For example, news of the clearance or approval of a new product which is expected to be material to SI-BONE, or news of a product recall or safety incident, could each be material non-public information.</w:t>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16.So when can I buy or sell my SI-BONE securities?</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 xml:space="preserve">According to our policies, if you have material, nonpublic information, you may not buy or sell our common stock until a full trading day after that information is released or announced to the public has elapsed. At that point, the information is considered public. </w:t>
      </w:r>
      <w:r>
        <w:rPr>
          <w:rFonts w:ascii="Cambria;sans-serif" w:hAnsi="Cambria;sans-serif"/>
          <w:b/>
          <w:color w:val="000000"/>
          <w:sz w:val="22"/>
        </w:rPr>
        <w:t>If you are designated as a Covered Insider</w:t>
      </w:r>
      <w:r>
        <w:rPr>
          <w:rFonts w:ascii="Cambria;sans-serif" w:hAnsi="Cambria;sans-serif"/>
          <w:b w:val="false"/>
          <w:color w:val="000000"/>
          <w:sz w:val="22"/>
        </w:rPr>
        <w:t xml:space="preserve">, </w:t>
      </w:r>
      <w:r>
        <w:rPr>
          <w:rFonts w:ascii="Cambria;sans-serif" w:hAnsi="Cambria;sans-serif"/>
          <w:b/>
          <w:color w:val="000000"/>
          <w:sz w:val="22"/>
          <w:u w:val="single"/>
        </w:rPr>
        <w:t>even if you do not have material, nonpublic information</w:t>
      </w:r>
      <w:r>
        <w:rPr>
          <w:rFonts w:ascii="Cambria;sans-serif" w:hAnsi="Cambria;sans-serif"/>
          <w:b/>
          <w:color w:val="000000"/>
          <w:sz w:val="22"/>
        </w:rPr>
        <w:t>, you may not trade in our common stock during any trading “blackout” period</w:t>
      </w:r>
      <w:r>
        <w:rPr>
          <w:rFonts w:ascii="Cambria;sans-serif" w:hAnsi="Cambria;sans-serif"/>
          <w:b w:val="false"/>
          <w:color w:val="000000"/>
          <w:sz w:val="22"/>
        </w:rPr>
        <w:t>. (A list of current blackout periods can be obtained from the Company’s Chief Financial Officer and additional trading blackout periods may be announced by email.)</w:t>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17.If I have an open order to buy or sell SI-BONE securities on the date the trading window closes, my broker will cancel the open order and won’t execute the trade, right?</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No. If you have any open orders at the time the trading window closes and you are designated as a Covered Insider, it is your responsibility to cancel these orders with your broker. If you have an open order and it executes after the trading window closes, it is a violation of our insider trading policy and may also be a violation of the insider trading laws.</w:t>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18.Am I allowed to trade derivative securities of SI-BONE? Or, short SI-BONE common stock?</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No. Under our policies, you may not trade in derivative securities related to our common stock, which includes, but is not limited to publicly-traded call and put options. In addition, under our policies, you may not engage in short selling of our common stock at any time.</w:t>
      </w:r>
    </w:p>
    <w:p>
      <w:pPr>
        <w:pStyle w:val="TextBody"/>
        <w:bidi w:val="0"/>
        <w:spacing w:lineRule="auto" w:line="288" w:before="0" w:after="120"/>
        <w:ind w:left="0" w:right="0" w:firstLine="720"/>
        <w:jc w:val="both"/>
        <w:rPr/>
      </w:pPr>
      <w:r>
        <w:rPr>
          <w:color w:val="000000"/>
        </w:rPr>
        <w:t>“</w:t>
      </w:r>
      <w:r>
        <w:rPr>
          <w:rFonts w:ascii="Cambria;sans-serif" w:hAnsi="Cambria;sans-serif"/>
          <w:b w:val="false"/>
          <w:color w:val="000000"/>
          <w:sz w:val="22"/>
        </w:rPr>
        <w:t>Derivative securities” are securities other than common stock that are speculative in nature because they permit a person to leverage his or her investment using a relatively small amount of money. Examples of derivative securities include (but are not limited to) “put options” and “call options”. These are different from employee stock options, which are not derivative securities</w:t>
      </w:r>
      <w:r>
        <w:rPr>
          <w:rFonts w:ascii="Cambria;sans-serif" w:hAnsi="Cambria;sans-serif"/>
          <w:b/>
          <w:color w:val="000000"/>
          <w:sz w:val="22"/>
        </w:rPr>
        <w: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271780"/>
                <wp:effectExtent l="0" t="0" r="0" b="0"/>
                <wp:wrapNone/>
                <wp:docPr id="195" name="Frame182"/>
                <a:graphic xmlns:a="http://schemas.openxmlformats.org/drawingml/2006/main">
                  <a:graphicData uri="http://schemas.microsoft.com/office/word/2010/wordprocessingShape">
                    <wps:wsp>
                      <wps:cNvSpPr txBox="1"/>
                      <wps:spPr>
                        <a:xfrm>
                          <a:off x="0" y="0"/>
                          <a:ext cx="6480175" cy="271780"/>
                        </a:xfrm>
                        <a:prstGeom prst="rect"/>
                        <a:solidFill>
                          <a:srgbClr val="FFFFFF"/>
                        </a:solidFill>
                      </wps:spPr>
                      <wps:txbx>
                        <w:txbxContent>
                          <w:p>
                            <w:pPr>
                              <w:pStyle w:val="TextBody"/>
                              <w:bidi w:val="0"/>
                              <w:spacing w:lineRule="atLeast" w:line="240" w:before="0" w:after="0"/>
                              <w:jc w:val="center"/>
                              <w:rPr>
                                <w:rFonts w:ascii="Cambria;sans-serif" w:hAnsi="Cambria;sans-serif"/>
                                <w:b w:val="false"/>
                                <w:i/>
                                <w:color w:val="000000"/>
                                <w:sz w:val="16"/>
                              </w:rPr>
                            </w:pPr>
                            <w:r>
                              <w:rPr>
                                <w:rFonts w:ascii="Cambria;sans-serif" w:hAnsi="Cambria;sans-serif"/>
                                <w:b w:val="false"/>
                                <w:i/>
                                <w:color w:val="000000"/>
                                <w:sz w:val="16"/>
                              </w:rPr>
                              <w:t>This document contains confidential and proprietary information of SI-BONE.</w:t>
                            </w:r>
                            <w:r>
                              <w:br w:type="page"/>
                            </w:r>
                          </w:p>
                          <w:p>
                            <w:pPr>
                              <w:pStyle w:val="TextBody"/>
                              <w:bidi w:val="0"/>
                              <w:spacing w:lineRule="auto" w:line="288" w:before="0" w:after="0"/>
                              <w:jc w:val="center"/>
                              <w:rPr>
                                <w:rFonts w:ascii="Cambria;sans-serif" w:hAnsi="Cambria;sans-serif"/>
                                <w:b w:val="false"/>
                                <w:i/>
                                <w:color w:val="000000"/>
                                <w:sz w:val="16"/>
                              </w:rPr>
                            </w:pPr>
                            <w:r>
                              <w:rPr>
                                <w:rFonts w:ascii="Cambria;sans-serif" w:hAnsi="Cambria;sans-serif"/>
                                <w:b w:val="false"/>
                                <w:i/>
                                <w:color w:val="000000"/>
                                <w:sz w:val="16"/>
                              </w:rPr>
                              <w:t>It may not be copied or reproduced without prior written permission from SI-BONE.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0"/>
                        <w:jc w:val="center"/>
                        <w:rPr>
                          <w:rFonts w:ascii="Cambria;sans-serif" w:hAnsi="Cambria;sans-serif"/>
                          <w:b w:val="false"/>
                          <w:i/>
                          <w:color w:val="000000"/>
                          <w:sz w:val="16"/>
                        </w:rPr>
                      </w:pPr>
                      <w:r>
                        <w:rPr>
                          <w:rFonts w:ascii="Cambria;sans-serif" w:hAnsi="Cambria;sans-serif"/>
                          <w:b w:val="false"/>
                          <w:i/>
                          <w:color w:val="000000"/>
                          <w:sz w:val="16"/>
                        </w:rPr>
                        <w:t>This document contains confidential and proprietary information of SI-BONE.</w:t>
                      </w:r>
                    </w:p>
                    <w:p>
                      <w:pPr>
                        <w:pStyle w:val="TextBody"/>
                        <w:bidi w:val="0"/>
                        <w:spacing w:lineRule="auto" w:line="288" w:before="0" w:after="0"/>
                        <w:jc w:val="center"/>
                        <w:rPr>
                          <w:rFonts w:ascii="Cambria;sans-serif" w:hAnsi="Cambria;sans-serif"/>
                          <w:b w:val="false"/>
                          <w:i/>
                          <w:color w:val="000000"/>
                          <w:sz w:val="16"/>
                        </w:rPr>
                      </w:pPr>
                      <w:r>
                        <w:rPr>
                          <w:rFonts w:ascii="Cambria;sans-serif" w:hAnsi="Cambria;sans-serif"/>
                          <w:b w:val="false"/>
                          <w:i/>
                          <w:color w:val="000000"/>
                          <w:sz w:val="16"/>
                        </w:rPr>
                        <w:t>It may not be copied or reproduced without prior written permission from SI-BONE.</w:t>
                      </w:r>
                    </w:p>
                  </w:txbxContent>
                </v:textbox>
                <w10:wrap type="none"/>
              </v:rect>
            </w:pict>
          </mc:Fallback>
        </mc:AlternateContent>
      </w:r>
    </w:p>
    <w:tbl>
      <w:tblPr>
        <w:tblW w:w="7164" w:type="dxa"/>
        <w:jc w:val="left"/>
        <w:tblInd w:w="0" w:type="dxa"/>
        <w:tblLayout w:type="fixed"/>
        <w:tblCellMar>
          <w:top w:w="28" w:type="dxa"/>
          <w:left w:w="28" w:type="dxa"/>
          <w:bottom w:w="28" w:type="dxa"/>
          <w:right w:w="28" w:type="dxa"/>
        </w:tblCellMar>
      </w:tblPr>
      <w:tblGrid>
        <w:gridCol w:w="678"/>
        <w:gridCol w:w="596"/>
        <w:gridCol w:w="597"/>
        <w:gridCol w:w="859"/>
        <w:gridCol w:w="859"/>
        <w:gridCol w:w="861"/>
        <w:gridCol w:w="794"/>
        <w:gridCol w:w="794"/>
        <w:gridCol w:w="1126"/>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187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left"/>
              <w:rPr/>
            </w:pPr>
            <w:r>
              <w:rPr/>
              <w:drawing>
                <wp:inline distT="0" distB="0" distL="0" distR="0">
                  <wp:extent cx="1123950" cy="495300"/>
                  <wp:effectExtent l="0" t="0" r="0" b="0"/>
                  <wp:docPr id="19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4" descr=""/>
                          <pic:cNvPicPr>
                            <a:picLocks noChangeAspect="1" noChangeArrowheads="1"/>
                          </pic:cNvPicPr>
                        </pic:nvPicPr>
                        <pic:blipFill>
                          <a:blip r:embed="rId67"/>
                          <a:stretch>
                            <a:fillRect/>
                          </a:stretch>
                        </pic:blipFill>
                        <pic:spPr bwMode="auto">
                          <a:xfrm>
                            <a:off x="0" y="0"/>
                            <a:ext cx="1123950" cy="495300"/>
                          </a:xfrm>
                          <a:prstGeom prst="rect">
                            <a:avLst/>
                          </a:prstGeom>
                        </pic:spPr>
                      </pic:pic>
                    </a:graphicData>
                  </a:graphic>
                </wp:inline>
              </w:drawing>
            </w:r>
          </w:p>
        </w:tc>
        <w:tc>
          <w:tcPr>
            <w:tcW w:w="25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Cambria;sans-serif" w:hAnsi="Cambria;sans-serif"/>
                <w:b/>
                <w:color w:val="000000"/>
                <w:sz w:val="24"/>
              </w:rPr>
            </w:pPr>
            <w:r>
              <w:rPr>
                <w:rFonts w:ascii="Cambria;sans-serif" w:hAnsi="Cambria;sans-serif"/>
                <w:b/>
                <w:color w:val="000000"/>
                <w:sz w:val="24"/>
              </w:rPr>
              <w:t>Corporate Policy</w:t>
            </w:r>
          </w:p>
          <w:p>
            <w:pPr>
              <w:pStyle w:val="TableContents"/>
              <w:bidi w:val="0"/>
              <w:spacing w:lineRule="auto" w:line="288" w:before="0" w:after="0"/>
              <w:jc w:val="center"/>
              <w:rPr>
                <w:rFonts w:ascii="Cambria;sans-serif" w:hAnsi="Cambria;sans-serif"/>
                <w:b/>
                <w:color w:val="000000"/>
                <w:sz w:val="24"/>
              </w:rPr>
            </w:pPr>
            <w:r>
              <w:rPr>
                <w:rFonts w:ascii="Cambria;sans-serif" w:hAnsi="Cambria;sans-serif"/>
                <w:b/>
                <w:color w:val="000000"/>
                <w:sz w:val="24"/>
              </w:rPr>
              <w:t>Insider Trading Policy</w:t>
            </w:r>
          </w:p>
        </w:tc>
        <w:tc>
          <w:tcPr>
            <w:tcW w:w="271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Document No: CORP-0006</w:t>
            </w:r>
          </w:p>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Revision: E</w:t>
            </w:r>
          </w:p>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Effective Date: 12/05/2025</w:t>
            </w:r>
          </w:p>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Page 10 of #NUM_PAGES#</w:t>
            </w:r>
          </w:p>
        </w:tc>
      </w:tr>
    </w:tbl>
    <w:p>
      <w:pPr>
        <w:pStyle w:val="TextBody"/>
        <w:bidi w:val="0"/>
        <w:spacing w:before="0" w:after="0"/>
        <w:jc w:val="both"/>
        <w:rPr/>
      </w:pPr>
      <w:r>
        <w:rPr/>
      </w:r>
    </w:p>
    <w:p>
      <w:pPr>
        <w:pStyle w:val="TextBody"/>
        <w:bidi w:val="0"/>
        <w:spacing w:lineRule="auto" w:line="288" w:before="0" w:after="120"/>
        <w:ind w:left="0" w:right="0" w:firstLine="720"/>
        <w:jc w:val="both"/>
        <w:rPr>
          <w:color w:val="000000"/>
        </w:rPr>
      </w:pPr>
      <w:r>
        <w:rPr>
          <w:color w:val="000000"/>
        </w:rPr>
        <w:t>“</w:t>
      </w:r>
      <w:r>
        <w:rPr>
          <w:rFonts w:ascii="Cambria;sans-serif" w:hAnsi="Cambria;sans-serif"/>
          <w:b w:val="false"/>
          <w:color w:val="000000"/>
          <w:sz w:val="22"/>
        </w:rPr>
        <w:t xml:space="preserve">Short selling” is profiting when you expect the price of the stock to decline, and includes transactions in which you borrow stock from a broker, sell it, and eventually buy it back on the market to return the borrowed shares to the broker. Profit is made through the expectation that the stock price will decrease during the period of borrowing. </w:t>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19.Why does SI-BONE prohibit trading in derivative securities and short selling?</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Many companies with volatile stock prices have adopted such policies because of the temptation it represents to try to benefit from a relatively low cost method of trading on short-term swings in stock prices (without actually holding the underlying common stock) and encourages speculative trading. For this reason, we have decided to prohibit employees from such trading. As we are dedicated to building stockholder value, short selling our common stock is adverse to our stated values and would not be received well by our stockholders.</w:t>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20.Can I purchase SI-BONE securities on margin or hold them in a margin account?</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Under our policies, you may not purchase our common stock on margin or hold it in a margin account at any time.</w:t>
      </w:r>
    </w:p>
    <w:p>
      <w:pPr>
        <w:pStyle w:val="TextBody"/>
        <w:bidi w:val="0"/>
        <w:spacing w:lineRule="auto" w:line="288" w:before="0" w:after="120"/>
        <w:ind w:left="0" w:right="0" w:firstLine="720"/>
        <w:jc w:val="both"/>
        <w:rPr>
          <w:color w:val="000000"/>
        </w:rPr>
      </w:pPr>
      <w:r>
        <w:rPr>
          <w:color w:val="000000"/>
        </w:rPr>
        <w:t>“</w:t>
      </w:r>
      <w:r>
        <w:rPr>
          <w:rFonts w:ascii="Cambria;sans-serif" w:hAnsi="Cambria;sans-serif"/>
          <w:b w:val="false"/>
          <w:color w:val="000000"/>
          <w:sz w:val="22"/>
        </w:rPr>
        <w:t>Purchasing on margin” is the use of borrowed money from a brokerage firm to purchase our securities. Holding our securities in a margin account includes holding the securities in a account in which the shares can be sold to pay a loan to the brokerage firm.</w:t>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21.Why does SI-BONE prohibit me from purchasing SI-BONE securities on margin or holding them in a margin account?</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Margin loans are subject to a margin call whether or not you possess insider information at the time of the call. If your margin call were called at a time when you had insider information and you could not or did not supply other collateral, you and SI-BONE could be subject to litigation based on your insider trading activities: the sale of the stock (through the margin call) when you possessed material nonpublic information. The sale would be attributed to you even though the lender made the ultimate determination to sell. The U.S. Securities and Exchange Commission takes the view that you made the determination to not supply the additional collateral and you are therefore responsible for the sale.</w:t>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22.As a Covered Insider, can I exercise stock options during a trading blackout period or when I possess material nonpublic information?</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Yes. You may exercise the option and receive shares, but you may not sell the shares (even to pay the exercise price or any taxes due) or otherwise settle the option during a trading blackout period or any time that you have material, nonpublic information. Also note that if you choose to exercise and hold the shares during a blackout, you will be responsible at that time for any taxes due even though you are not permitted to sell the shares.</w:t>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23.Am I subject to the trading blackout period if I am no longer an employee of SI-BONE?</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 xml:space="preserve">It depends. If you are a Covered Insider and your employment with SI-BONE ends on a day that the trading window is closed, you will be subject to the trading blackout period then in effect. If your employment with SI-BONE ends on a day that the trading window is open, you will not be subject to the next trading blackout period. However, even if you are not subject to our trading blackout period after you leave SI-BONE, you should not trade in SI-BONE securities if you </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271780"/>
                <wp:effectExtent l="0" t="0" r="0" b="0"/>
                <wp:wrapNone/>
                <wp:docPr id="197" name="Frame183"/>
                <a:graphic xmlns:a="http://schemas.openxmlformats.org/drawingml/2006/main">
                  <a:graphicData uri="http://schemas.microsoft.com/office/word/2010/wordprocessingShape">
                    <wps:wsp>
                      <wps:cNvSpPr txBox="1"/>
                      <wps:spPr>
                        <a:xfrm>
                          <a:off x="0" y="0"/>
                          <a:ext cx="6480175" cy="271780"/>
                        </a:xfrm>
                        <a:prstGeom prst="rect"/>
                        <a:solidFill>
                          <a:srgbClr val="FFFFFF"/>
                        </a:solidFill>
                      </wps:spPr>
                      <wps:txbx>
                        <w:txbxContent>
                          <w:p>
                            <w:pPr>
                              <w:pStyle w:val="TextBody"/>
                              <w:bidi w:val="0"/>
                              <w:spacing w:lineRule="atLeast" w:line="240" w:before="0" w:after="0"/>
                              <w:jc w:val="center"/>
                              <w:rPr>
                                <w:rFonts w:ascii="Cambria;sans-serif" w:hAnsi="Cambria;sans-serif"/>
                                <w:b w:val="false"/>
                                <w:i/>
                                <w:color w:val="000000"/>
                                <w:sz w:val="16"/>
                              </w:rPr>
                            </w:pPr>
                            <w:r>
                              <w:rPr>
                                <w:rFonts w:ascii="Cambria;sans-serif" w:hAnsi="Cambria;sans-serif"/>
                                <w:b w:val="false"/>
                                <w:i/>
                                <w:color w:val="000000"/>
                                <w:sz w:val="16"/>
                              </w:rPr>
                              <w:t>This document contains confidential and proprietary information of SI-BONE.</w:t>
                            </w:r>
                            <w:r>
                              <w:br w:type="page"/>
                            </w:r>
                          </w:p>
                          <w:p>
                            <w:pPr>
                              <w:pStyle w:val="TextBody"/>
                              <w:bidi w:val="0"/>
                              <w:spacing w:lineRule="auto" w:line="288" w:before="0" w:after="0"/>
                              <w:jc w:val="center"/>
                              <w:rPr>
                                <w:rFonts w:ascii="Cambria;sans-serif" w:hAnsi="Cambria;sans-serif"/>
                                <w:b w:val="false"/>
                                <w:i/>
                                <w:color w:val="000000"/>
                                <w:sz w:val="16"/>
                              </w:rPr>
                            </w:pPr>
                            <w:r>
                              <w:rPr>
                                <w:rFonts w:ascii="Cambria;sans-serif" w:hAnsi="Cambria;sans-serif"/>
                                <w:b w:val="false"/>
                                <w:i/>
                                <w:color w:val="000000"/>
                                <w:sz w:val="16"/>
                              </w:rPr>
                              <w:t>It may not be copied or reproduced without prior written permission from SI-BONE.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0"/>
                        <w:jc w:val="center"/>
                        <w:rPr>
                          <w:rFonts w:ascii="Cambria;sans-serif" w:hAnsi="Cambria;sans-serif"/>
                          <w:b w:val="false"/>
                          <w:i/>
                          <w:color w:val="000000"/>
                          <w:sz w:val="16"/>
                        </w:rPr>
                      </w:pPr>
                      <w:r>
                        <w:rPr>
                          <w:rFonts w:ascii="Cambria;sans-serif" w:hAnsi="Cambria;sans-serif"/>
                          <w:b w:val="false"/>
                          <w:i/>
                          <w:color w:val="000000"/>
                          <w:sz w:val="16"/>
                        </w:rPr>
                        <w:t>This document contains confidential and proprietary information of SI-BONE.</w:t>
                      </w:r>
                    </w:p>
                    <w:p>
                      <w:pPr>
                        <w:pStyle w:val="TextBody"/>
                        <w:bidi w:val="0"/>
                        <w:spacing w:lineRule="auto" w:line="288" w:before="0" w:after="0"/>
                        <w:jc w:val="center"/>
                        <w:rPr>
                          <w:rFonts w:ascii="Cambria;sans-serif" w:hAnsi="Cambria;sans-serif"/>
                          <w:b w:val="false"/>
                          <w:i/>
                          <w:color w:val="000000"/>
                          <w:sz w:val="16"/>
                        </w:rPr>
                      </w:pPr>
                      <w:r>
                        <w:rPr>
                          <w:rFonts w:ascii="Cambria;sans-serif" w:hAnsi="Cambria;sans-serif"/>
                          <w:b w:val="false"/>
                          <w:i/>
                          <w:color w:val="000000"/>
                          <w:sz w:val="16"/>
                        </w:rPr>
                        <w:t>It may not be copied or reproduced without prior written permission from SI-BONE.</w:t>
                      </w:r>
                    </w:p>
                  </w:txbxContent>
                </v:textbox>
                <w10:wrap type="none"/>
              </v:rect>
            </w:pict>
          </mc:Fallback>
        </mc:AlternateContent>
      </w:r>
    </w:p>
    <w:tbl>
      <w:tblPr>
        <w:tblW w:w="7164" w:type="dxa"/>
        <w:jc w:val="left"/>
        <w:tblInd w:w="0" w:type="dxa"/>
        <w:tblLayout w:type="fixed"/>
        <w:tblCellMar>
          <w:top w:w="28" w:type="dxa"/>
          <w:left w:w="28" w:type="dxa"/>
          <w:bottom w:w="28" w:type="dxa"/>
          <w:right w:w="28" w:type="dxa"/>
        </w:tblCellMar>
      </w:tblPr>
      <w:tblGrid>
        <w:gridCol w:w="678"/>
        <w:gridCol w:w="596"/>
        <w:gridCol w:w="597"/>
        <w:gridCol w:w="859"/>
        <w:gridCol w:w="859"/>
        <w:gridCol w:w="861"/>
        <w:gridCol w:w="794"/>
        <w:gridCol w:w="794"/>
        <w:gridCol w:w="1126"/>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187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0"/>
              <w:jc w:val="left"/>
              <w:rPr/>
            </w:pPr>
            <w:r>
              <w:rPr/>
              <w:drawing>
                <wp:inline distT="0" distB="0" distL="0" distR="0">
                  <wp:extent cx="1123950" cy="495300"/>
                  <wp:effectExtent l="0" t="0" r="0" b="0"/>
                  <wp:docPr id="19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5" descr=""/>
                          <pic:cNvPicPr>
                            <a:picLocks noChangeAspect="1" noChangeArrowheads="1"/>
                          </pic:cNvPicPr>
                        </pic:nvPicPr>
                        <pic:blipFill>
                          <a:blip r:embed="rId68"/>
                          <a:stretch>
                            <a:fillRect/>
                          </a:stretch>
                        </pic:blipFill>
                        <pic:spPr bwMode="auto">
                          <a:xfrm>
                            <a:off x="0" y="0"/>
                            <a:ext cx="1123950" cy="495300"/>
                          </a:xfrm>
                          <a:prstGeom prst="rect">
                            <a:avLst/>
                          </a:prstGeom>
                        </pic:spPr>
                      </pic:pic>
                    </a:graphicData>
                  </a:graphic>
                </wp:inline>
              </w:drawing>
            </w:r>
          </w:p>
        </w:tc>
        <w:tc>
          <w:tcPr>
            <w:tcW w:w="257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center"/>
              <w:rPr>
                <w:rFonts w:ascii="Cambria;sans-serif" w:hAnsi="Cambria;sans-serif"/>
                <w:b/>
                <w:color w:val="000000"/>
                <w:sz w:val="24"/>
              </w:rPr>
            </w:pPr>
            <w:r>
              <w:rPr>
                <w:rFonts w:ascii="Cambria;sans-serif" w:hAnsi="Cambria;sans-serif"/>
                <w:b/>
                <w:color w:val="000000"/>
                <w:sz w:val="24"/>
              </w:rPr>
              <w:t>Corporate Policy</w:t>
            </w:r>
          </w:p>
          <w:p>
            <w:pPr>
              <w:pStyle w:val="TableContents"/>
              <w:bidi w:val="0"/>
              <w:spacing w:lineRule="auto" w:line="288" w:before="0" w:after="0"/>
              <w:jc w:val="center"/>
              <w:rPr>
                <w:rFonts w:ascii="Cambria;sans-serif" w:hAnsi="Cambria;sans-serif"/>
                <w:b/>
                <w:color w:val="000000"/>
                <w:sz w:val="24"/>
              </w:rPr>
            </w:pPr>
            <w:r>
              <w:rPr>
                <w:rFonts w:ascii="Cambria;sans-serif" w:hAnsi="Cambria;sans-serif"/>
                <w:b/>
                <w:color w:val="000000"/>
                <w:sz w:val="24"/>
              </w:rPr>
              <w:t>Insider Trading Policy</w:t>
            </w:r>
          </w:p>
        </w:tc>
        <w:tc>
          <w:tcPr>
            <w:tcW w:w="271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Document No: CORP-0006</w:t>
            </w:r>
          </w:p>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Revision: E</w:t>
            </w:r>
          </w:p>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Effective Date: 12/05/2025</w:t>
            </w:r>
          </w:p>
          <w:p>
            <w:pPr>
              <w:pStyle w:val="TableContents"/>
              <w:bidi w:val="0"/>
              <w:spacing w:lineRule="auto" w:line="288" w:before="0" w:after="0"/>
              <w:jc w:val="left"/>
              <w:rPr>
                <w:rFonts w:ascii="Cambria;sans-serif" w:hAnsi="Cambria;sans-serif"/>
                <w:b w:val="false"/>
                <w:color w:val="000000"/>
                <w:sz w:val="22"/>
              </w:rPr>
            </w:pPr>
            <w:r>
              <w:rPr>
                <w:rFonts w:ascii="Cambria;sans-serif" w:hAnsi="Cambria;sans-serif"/>
                <w:b w:val="false"/>
                <w:color w:val="000000"/>
                <w:sz w:val="22"/>
              </w:rPr>
              <w:t>Page 11 of #NUM_PAGES#</w:t>
            </w:r>
          </w:p>
        </w:tc>
      </w:tr>
    </w:tbl>
    <w:p>
      <w:pPr>
        <w:pStyle w:val="TextBody"/>
        <w:bidi w:val="0"/>
        <w:spacing w:before="0" w:after="0"/>
        <w:jc w:val="both"/>
        <w:rPr/>
      </w:pPr>
      <w:r>
        <w:rPr/>
      </w:r>
    </w:p>
    <w:p>
      <w:pPr>
        <w:pStyle w:val="TextBody"/>
        <w:bidi w:val="0"/>
        <w:spacing w:lineRule="auto" w:line="288" w:before="0" w:after="120"/>
        <w:jc w:val="both"/>
        <w:rPr>
          <w:rFonts w:ascii="Cambria;sans-serif" w:hAnsi="Cambria;sans-serif"/>
          <w:b w:val="false"/>
          <w:color w:val="000000"/>
          <w:sz w:val="22"/>
        </w:rPr>
      </w:pPr>
      <w:r>
        <w:rPr>
          <w:rFonts w:ascii="Cambria;sans-serif" w:hAnsi="Cambria;sans-serif"/>
          <w:b w:val="false"/>
          <w:color w:val="000000"/>
          <w:sz w:val="22"/>
        </w:rPr>
        <w:t>possess material non-public information. That restriction stays with you as long as the information you possess is material and not released by SI-BONE.</w:t>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24.Can I gift stock while I possess material nonpublic information or during a trading blackout period?</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Because of the potential for the appearance of impropriety, you may not make gifts, whether to charities, to a trust or otherwise, of our common stock when you possess material nonpublic information or during a trading blackout period.</w:t>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25.What if I purchased publicly-traded options or other derivative securities before I became a SI-BONE employee (or contractor or consultant)?</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The same rules apply as for employee stock options. You may exercise the publicly-traded options at any time, but you may not sell such securities during a trading blackout period or at any time that you have material, nonpublic information. When you become an SI-BONE employee, you must report to our Chief Legal Officer that you hold such publicly traded options or other derivative securities.</w:t>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 xml:space="preserve">26.May I own shares of a mutual fund that invests in SI-BONE? </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Yes.</w:t>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 xml:space="preserve">27.Are mutual fund shares holding SI-BONE subject to the trading blackout periods? </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No. You may trade in mutual funds holding our common stock at any time.</w:t>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28.May I use a “routine trading program” or “10b5-1 plan”?</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Yes, subject to the requirements discussed in our Insider Trading and Trading Window Policy as well as our 10b5-1 Trading Plan Guidelines. A routine trading program, also known as a 10b5-1 Trading Plan, allows you to set up a highly structured program with your stock broker through which you specify ahead of time the date, price, and amount of securities to be traded. If you wish to create a 10b5-1 plan, you must contact our Chief Business &amp; Legal Affairs Officer for approval.</w:t>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29.What happens if I violate our insider trading policy?</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Violation of our policies may result in severe personnel action, including a memo to your personnel file and up to and including termination of your employment or other relationship with SI-BONE. In addition, you may be subject to criminal and civil enforcement actions by the government.</w:t>
      </w:r>
    </w:p>
    <w:p>
      <w:pPr>
        <w:pStyle w:val="TextBody"/>
        <w:bidi w:val="0"/>
        <w:spacing w:lineRule="auto" w:line="288" w:before="0" w:after="120"/>
        <w:ind w:left="0" w:right="0" w:hanging="720"/>
        <w:jc w:val="both"/>
        <w:rPr>
          <w:rFonts w:ascii="Cambria;sans-serif" w:hAnsi="Cambria;sans-serif"/>
          <w:b/>
          <w:color w:val="000000"/>
          <w:sz w:val="22"/>
        </w:rPr>
      </w:pPr>
      <w:r>
        <w:rPr>
          <w:rFonts w:ascii="Cambria;sans-serif" w:hAnsi="Cambria;sans-serif"/>
          <w:b/>
          <w:color w:val="000000"/>
          <w:sz w:val="22"/>
        </w:rPr>
        <w:t>30.Who should I contact if I have questions about our insider trading policy?</w:t>
      </w:r>
    </w:p>
    <w:p>
      <w:pPr>
        <w:pStyle w:val="TextBody"/>
        <w:bidi w:val="0"/>
        <w:spacing w:lineRule="auto" w:line="288" w:before="0" w:after="120"/>
        <w:ind w:left="0" w:right="0" w:firstLine="720"/>
        <w:jc w:val="both"/>
        <w:rPr/>
      </w:pPr>
      <w:r>
        <w:rPr>
          <w:rFonts w:ascii="Cambria;sans-serif" w:hAnsi="Cambria;sans-serif"/>
          <w:b/>
          <w:color w:val="000000"/>
          <w:sz w:val="22"/>
        </w:rPr>
        <w:t xml:space="preserve">A: </w:t>
      </w:r>
      <w:r>
        <w:rPr>
          <w:rFonts w:ascii="Cambria;sans-serif" w:hAnsi="Cambria;sans-serif"/>
          <w:b w:val="false"/>
          <w:color w:val="000000"/>
          <w:sz w:val="22"/>
        </w:rPr>
        <w:t xml:space="preserve">You should contact our Chief Business &amp; Legal Affairs Officer, Mike Pisetsky, at </w:t>
      </w:r>
      <w:r>
        <w:rPr>
          <w:rFonts w:ascii="Cambria;sans-serif" w:hAnsi="Cambria;sans-serif"/>
          <w:b w:val="false"/>
          <w:color w:val="0000FF"/>
          <w:sz w:val="22"/>
          <w:u w:val="single"/>
        </w:rPr>
        <w:t>mpisetsky@si-bone.com</w:t>
      </w:r>
      <w:r>
        <w:rPr>
          <w:color w:val="000000"/>
        </w:rPr>
        <w:t xml:space="preserve"> </w:t>
      </w:r>
      <w:r>
        <w:rPr>
          <w:rFonts w:ascii="Cambria;sans-serif" w:hAnsi="Cambria;sans-serif"/>
          <w:b w:val="false"/>
          <w:color w:val="000000"/>
          <w:sz w:val="22"/>
        </w:rPr>
        <w:t>or (669) 206-2501.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271780"/>
                <wp:effectExtent l="0" t="0" r="0" b="0"/>
                <wp:wrapNone/>
                <wp:docPr id="199" name="Frame184"/>
                <a:graphic xmlns:a="http://schemas.openxmlformats.org/drawingml/2006/main">
                  <a:graphicData uri="http://schemas.microsoft.com/office/word/2010/wordprocessingShape">
                    <wps:wsp>
                      <wps:cNvSpPr txBox="1"/>
                      <wps:spPr>
                        <a:xfrm>
                          <a:off x="0" y="0"/>
                          <a:ext cx="6480175" cy="271780"/>
                        </a:xfrm>
                        <a:prstGeom prst="rect"/>
                        <a:solidFill>
                          <a:srgbClr val="FFFFFF"/>
                        </a:solidFill>
                      </wps:spPr>
                      <wps:txbx>
                        <w:txbxContent>
                          <w:p>
                            <w:pPr>
                              <w:pStyle w:val="TextBody"/>
                              <w:bidi w:val="0"/>
                              <w:spacing w:lineRule="atLeast" w:line="240" w:before="0" w:after="0"/>
                              <w:jc w:val="center"/>
                              <w:rPr>
                                <w:rFonts w:ascii="Cambria;sans-serif" w:hAnsi="Cambria;sans-serif"/>
                                <w:b w:val="false"/>
                                <w:i/>
                                <w:color w:val="000000"/>
                                <w:sz w:val="16"/>
                              </w:rPr>
                            </w:pPr>
                            <w:r>
                              <w:rPr>
                                <w:rFonts w:ascii="Cambria;sans-serif" w:hAnsi="Cambria;sans-serif"/>
                                <w:b w:val="false"/>
                                <w:i/>
                                <w:color w:val="000000"/>
                                <w:sz w:val="16"/>
                              </w:rPr>
                              <w:t>This document contains confidential and proprietary information of SI-BONE.</w:t>
                            </w:r>
                          </w:p>
                          <w:p>
                            <w:pPr>
                              <w:pStyle w:val="TextBody"/>
                              <w:bidi w:val="0"/>
                              <w:spacing w:lineRule="auto" w:line="288" w:before="0" w:after="0"/>
                              <w:jc w:val="center"/>
                              <w:rPr>
                                <w:rFonts w:ascii="Cambria;sans-serif" w:hAnsi="Cambria;sans-serif"/>
                                <w:b w:val="false"/>
                                <w:i/>
                                <w:color w:val="000000"/>
                                <w:sz w:val="16"/>
                              </w:rPr>
                            </w:pPr>
                            <w:r>
                              <w:rPr>
                                <w:rFonts w:ascii="Cambria;sans-serif" w:hAnsi="Cambria;sans-serif"/>
                                <w:b w:val="false"/>
                                <w:i/>
                                <w:color w:val="000000"/>
                                <w:sz w:val="16"/>
                              </w:rPr>
                              <w:t>It may not be copied or reproduced without prior written permission from SI-BONE.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0"/>
                        <w:jc w:val="center"/>
                        <w:rPr>
                          <w:rFonts w:ascii="Cambria;sans-serif" w:hAnsi="Cambria;sans-serif"/>
                          <w:b w:val="false"/>
                          <w:i/>
                          <w:color w:val="000000"/>
                          <w:sz w:val="16"/>
                        </w:rPr>
                      </w:pPr>
                      <w:r>
                        <w:rPr>
                          <w:rFonts w:ascii="Cambria;sans-serif" w:hAnsi="Cambria;sans-serif"/>
                          <w:b w:val="false"/>
                          <w:i/>
                          <w:color w:val="000000"/>
                          <w:sz w:val="16"/>
                        </w:rPr>
                        <w:t>This document contains confidential and proprietary information of SI-BONE.</w:t>
                      </w:r>
                    </w:p>
                    <w:p>
                      <w:pPr>
                        <w:pStyle w:val="TextBody"/>
                        <w:bidi w:val="0"/>
                        <w:spacing w:lineRule="auto" w:line="288" w:before="0" w:after="0"/>
                        <w:jc w:val="center"/>
                        <w:rPr>
                          <w:rFonts w:ascii="Cambria;sans-serif" w:hAnsi="Cambria;sans-serif"/>
                          <w:b w:val="false"/>
                          <w:i/>
                          <w:color w:val="000000"/>
                          <w:sz w:val="16"/>
                        </w:rPr>
                      </w:pPr>
                      <w:r>
                        <w:rPr>
                          <w:rFonts w:ascii="Cambria;sans-serif" w:hAnsi="Cambria;sans-serif"/>
                          <w:b w:val="false"/>
                          <w:i/>
                          <w:color w:val="000000"/>
                          <w:sz w:val="16"/>
                        </w:rPr>
                        <w:t>It may not be copied or reproduced without prior written permission from SI-BONE.</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List of subsidiaries of the Registrant</w:t>
      </w:r>
    </w:p>
    <w:tbl>
      <w:tblPr>
        <w:tblW w:w="4767" w:type="dxa"/>
        <w:jc w:val="center"/>
        <w:tblInd w:w="0" w:type="dxa"/>
        <w:tblLayout w:type="fixed"/>
        <w:tblCellMar>
          <w:top w:w="28" w:type="dxa"/>
          <w:left w:w="28" w:type="dxa"/>
          <w:bottom w:w="28" w:type="dxa"/>
          <w:right w:w="28" w:type="dxa"/>
        </w:tblCellMar>
      </w:tblPr>
      <w:tblGrid>
        <w:gridCol w:w="1059"/>
        <w:gridCol w:w="931"/>
        <w:gridCol w:w="935"/>
        <w:gridCol w:w="109"/>
        <w:gridCol w:w="109"/>
        <w:gridCol w:w="109"/>
        <w:gridCol w:w="444"/>
        <w:gridCol w:w="444"/>
        <w:gridCol w:w="627"/>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Jurisdiction</w:t>
            </w:r>
          </w:p>
        </w:tc>
      </w:tr>
      <w:tr>
        <w:trPr/>
        <w:tc>
          <w:tcPr>
            <w:tcW w:w="2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SI-BONE S.R.L.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Italy</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SI-BONE Deutschland GmbH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SI-BONE UK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Kingdom</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21" w:before="0" w:after="160"/>
        <w:jc w:val="right"/>
        <w:rPr>
          <w:rFonts w:ascii="Aptos;sans-serif" w:hAnsi="Aptos;sans-serif"/>
          <w:b/>
          <w:color w:val="000000"/>
          <w:sz w:val="20"/>
        </w:rPr>
      </w:pPr>
      <w:r>
        <w:rPr>
          <w:rFonts w:ascii="Aptos;sans-serif" w:hAnsi="Aptos;sans-serif"/>
          <w:b/>
          <w:color w:val="000000"/>
          <w:sz w:val="20"/>
        </w:rPr>
        <w:t>Exhibit 23.1</w:t>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200"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4.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4" w:before="480" w:after="48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lineRule="auto" w:line="324" w:before="0" w:after="120"/>
        <w:jc w:val="left"/>
        <w:rPr/>
      </w:pPr>
      <w:r>
        <w:rPr>
          <w:rFonts w:ascii="Georgia;serif" w:hAnsi="Georgia;serif"/>
          <w:b w:val="false"/>
          <w:color w:val="000000"/>
          <w:sz w:val="20"/>
        </w:rPr>
        <w:t>We hereby consent to the incorporation by reference in the Registration Statements on Form</w:t>
      </w:r>
      <w:r>
        <w:rPr>
          <w:color w:val="000000"/>
        </w:rPr>
        <w:t xml:space="preserve"> </w:t>
      </w:r>
      <w:r>
        <w:rPr>
          <w:rFonts w:ascii="Georgia;serif" w:hAnsi="Georgia;serif"/>
          <w:b w:val="false"/>
          <w:color w:val="000000"/>
          <w:sz w:val="20"/>
        </w:rPr>
        <w:t>S-3 (No.</w:t>
      </w:r>
      <w:r>
        <w:rPr>
          <w:color w:val="000000"/>
        </w:rPr>
        <w:t xml:space="preserve"> </w:t>
      </w:r>
      <w:r>
        <w:rPr>
          <w:rFonts w:ascii="Georgia;serif" w:hAnsi="Georgia;serif"/>
          <w:b w:val="false"/>
          <w:color w:val="000000"/>
          <w:sz w:val="19"/>
        </w:rPr>
        <w:t>333-271635</w:t>
      </w:r>
      <w:r>
        <w:rPr>
          <w:rFonts w:ascii="Georgia;serif" w:hAnsi="Georgia;serif"/>
          <w:b w:val="false"/>
          <w:color w:val="000000"/>
          <w:sz w:val="20"/>
        </w:rPr>
        <w:t>) and Form S-8 (Nos. 333-285206, 333-227907, 333-230473, 333-237091, 333-254086, 333-263189, 333-270230, and 333-277402) of SI-BONE, Inc. of our report dated February 24, 2026, relating to the financial statements</w:t>
      </w:r>
      <w:r>
        <w:rPr>
          <w:color w:val="FF0000"/>
        </w:rPr>
        <w:t xml:space="preserve"> </w:t>
      </w:r>
      <w:r>
        <w:rPr>
          <w:rFonts w:ascii="Georgia;serif" w:hAnsi="Georgia;serif"/>
          <w:b w:val="false"/>
          <w:color w:val="000000"/>
          <w:sz w:val="20"/>
        </w:rPr>
        <w:t>and the effectiveness of internal control over financial reporting, which appears in this Form 10-K.</w:t>
      </w:r>
    </w:p>
    <w:p>
      <w:pPr>
        <w:pStyle w:val="TextBody"/>
        <w:bidi w:val="0"/>
        <w:spacing w:lineRule="auto" w:line="324" w:before="240" w:after="160"/>
        <w:jc w:val="left"/>
        <w:rPr/>
      </w:pPr>
      <w:r>
        <w:rPr>
          <w:rFonts w:ascii="Georgia;serif" w:hAnsi="Georgia;serif"/>
          <w:b w:val="false"/>
          <w:color w:val="000000"/>
          <w:sz w:val="20"/>
        </w:rPr>
        <w:t>/s/ PricewaterhouseCoopers LLP</w:t>
      </w:r>
      <w:r>
        <w:rPr>
          <w:rFonts w:ascii="Aptos;sans-serif" w:hAnsi="Aptos;sans-serif"/>
          <w:b w:val="false"/>
          <w:color w:val="000000"/>
          <w:sz w:val="24"/>
        </w:rPr>
        <w:br/>
      </w:r>
      <w:r>
        <w:rPr>
          <w:rFonts w:ascii="Georgia;serif" w:hAnsi="Georgia;serif"/>
          <w:b w:val="false"/>
          <w:color w:val="000000"/>
          <w:sz w:val="20"/>
        </w:rPr>
        <w:t>San Jose, California</w:t>
      </w:r>
      <w:r>
        <w:rPr>
          <w:rFonts w:ascii="Aptos;sans-serif" w:hAnsi="Aptos;sans-serif"/>
          <w:b w:val="false"/>
          <w:color w:val="000000"/>
          <w:sz w:val="24"/>
        </w:rPr>
        <w:br/>
      </w:r>
      <w:r>
        <w:rPr>
          <w:rFonts w:ascii="Georgia;serif" w:hAnsi="Georgia;serif"/>
          <w:b w:val="false"/>
          <w:color w:val="000000"/>
          <w:sz w:val="20"/>
        </w:rPr>
        <w:t>February 24, 2026</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 Laura A. Francis, certify that:</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Form 10-K of SI-BONE,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3)Evaluated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4)Disclosed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2)Any fraud, whether or not material, that involves management or other employees who have a significant role in the registrant’s internal control over financial reporting.</w:t>
      </w:r>
    </w:p>
    <w:p>
      <w:pPr>
        <w:pStyle w:val="TextBody"/>
        <w:bidi w:val="0"/>
        <w:spacing w:before="0" w:after="0"/>
        <w:ind w:left="0" w:right="0" w:hanging="90"/>
        <w:jc w:val="both"/>
        <w:rPr/>
      </w:pPr>
      <w:r>
        <w:rPr/>
      </w:r>
    </w:p>
    <w:tbl>
      <w:tblPr>
        <w:tblW w:w="5267"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109"/>
        <w:gridCol w:w="109"/>
        <w:gridCol w:w="109"/>
        <w:gridCol w:w="262"/>
        <w:gridCol w:w="262"/>
        <w:gridCol w:w="262"/>
        <w:gridCol w:w="262"/>
        <w:gridCol w:w="262"/>
        <w:gridCol w:w="262"/>
        <w:gridCol w:w="262"/>
        <w:gridCol w:w="262"/>
        <w:gridCol w:w="37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Laura A. Francis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Laura A. Francis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righ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Anshul Maheshwari,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Form 10-K of SI-BONE, Inc.;</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3)Evaluated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4)Disclosed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36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90"/>
        <w:jc w:val="both"/>
        <w:rPr/>
      </w:pPr>
      <w:r>
        <w:rPr/>
      </w:r>
    </w:p>
    <w:p>
      <w:pPr>
        <w:pStyle w:val="TextBody"/>
        <w:bidi w:val="0"/>
        <w:spacing w:lineRule="auto" w:line="288" w:before="0" w:after="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6991" w:type="dxa"/>
        <w:jc w:val="center"/>
        <w:tblInd w:w="0" w:type="dxa"/>
        <w:tblLayout w:type="fixed"/>
        <w:tblCellMar>
          <w:top w:w="28" w:type="dxa"/>
          <w:left w:w="28" w:type="dxa"/>
          <w:bottom w:w="28" w:type="dxa"/>
          <w:right w:w="28" w:type="dxa"/>
        </w:tblCellMar>
      </w:tblPr>
      <w:tblGrid>
        <w:gridCol w:w="216"/>
        <w:gridCol w:w="191"/>
        <w:gridCol w:w="192"/>
        <w:gridCol w:w="529"/>
        <w:gridCol w:w="529"/>
        <w:gridCol w:w="531"/>
        <w:gridCol w:w="109"/>
        <w:gridCol w:w="109"/>
        <w:gridCol w:w="109"/>
        <w:gridCol w:w="109"/>
        <w:gridCol w:w="109"/>
        <w:gridCol w:w="109"/>
        <w:gridCol w:w="440"/>
        <w:gridCol w:w="440"/>
        <w:gridCol w:w="440"/>
        <w:gridCol w:w="440"/>
        <w:gridCol w:w="440"/>
        <w:gridCol w:w="440"/>
        <w:gridCol w:w="440"/>
        <w:gridCol w:w="440"/>
        <w:gridCol w:w="629"/>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Anshul Maheshwari</w:t>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Anshul Maheshwari</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Operating Officer &amp; 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AND PRINCIPAL FINANCIAL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 set forth in Rule 13a-14(b) of the Securities Exchange Act of 1934, as amended, (the “Exchange Act”) and Section 1350 of Chapter 63 of Title 18 of the United States Code (18 U.S.C. §1350), Laura A. Francis, Chief Executive Officer of SI-BONE, Inc. (the “Company”), and Anshul Maheshwari, Chief Financial Officer of the Company, each hereby certifies that, to the best of his or her knowledge: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Company’s Annual Report on Form 10-K for the period ended December 31, 2025, to which this Certification is attached as Exhibit 32.1 (the “Annual Report”), fully complies with the requirements of Section 13(a) or Section 15(d) of the Exchange Act; and  </w:t>
      </w:r>
    </w:p>
    <w:p>
      <w:pPr>
        <w:pStyle w:val="TextBody"/>
        <w:bidi w:val="0"/>
        <w:spacing w:lineRule="auto" w:line="288" w:before="24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Annual Report fairly presents, in all material respects, the financial condition and results of operations of the Company. </w:t>
      </w:r>
    </w:p>
    <w:tbl>
      <w:tblPr>
        <w:tblW w:w="6953"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109"/>
        <w:gridCol w:w="109"/>
        <w:gridCol w:w="109"/>
        <w:gridCol w:w="441"/>
        <w:gridCol w:w="441"/>
        <w:gridCol w:w="441"/>
        <w:gridCol w:w="441"/>
        <w:gridCol w:w="441"/>
        <w:gridCol w:w="441"/>
        <w:gridCol w:w="441"/>
        <w:gridCol w:w="441"/>
        <w:gridCol w:w="62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Laura A. Francis</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Laura A. Francis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2"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Anshul Maheshwari</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Anshul Maheshwari</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Operating Officer &amp; 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certification is being furnished to the Securities and Exchange Commission as an exhibit to the Annual Report and shall not be deemed filed by the Company for purposes of §18 of the Exchange Act, as amended, and is not to be incorporated by reference into any filing of the Company under the Securities Act of 1933, as amended, or the Exchange Act, whether made before or after the date hereof, regardless of any general incorporation language in such filing.</w:t>
      </w:r>
    </w:p>
    <w:p>
      <w:pPr>
        <w:pStyle w:val="TextBody"/>
        <w:bidi w:val="0"/>
        <w:spacing w:before="240" w:after="283"/>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 w:name="Arial">
    <w:altName w:val="sans-serif"/>
    <w:charset w:val="01"/>
    <w:family w:val="auto"/>
    <w:pitch w:val="default"/>
  </w:font>
  <w:font w:name="Cambria">
    <w:altName w:val="sans-serif"/>
    <w:charset w:val="01"/>
    <w:family w:val="auto"/>
    <w:pitch w:val="default"/>
  </w:font>
  <w:font w:name="Aptos">
    <w:altName w:val="sans-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59839/000119312518303020/d641574dex31.htm" TargetMode="External"/><Relationship Id="rId4" Type="http://schemas.openxmlformats.org/officeDocument/2006/relationships/hyperlink" Target="https://www.sec.gov/Archives/edgar/data/1459839/000145983923000095/secondamendedandrestatedby.htm" TargetMode="External"/><Relationship Id="rId5" Type="http://schemas.openxmlformats.org/officeDocument/2006/relationships/hyperlink" Target="https://www.sec.gov/ix?doc=/Archives/edgar/data/0001459839/000145983924000048/sibn-20240625.htm" TargetMode="External"/><Relationship Id="rId6" Type="http://schemas.openxmlformats.org/officeDocument/2006/relationships/hyperlink" Target="https://www.sec.gov/Archives/edgar/data/1459839/000119312518293978/d452987dex41.htm" TargetMode="External"/><Relationship Id="rId7" Type="http://schemas.openxmlformats.org/officeDocument/2006/relationships/hyperlink" Target="https://www.sec.gov/Archives/edgar/data/1459839/000119312518303020/d641574dex31.htm" TargetMode="External"/><Relationship Id="rId8" Type="http://schemas.openxmlformats.org/officeDocument/2006/relationships/hyperlink" Target="https://www.sec.gov/Archives/edgar/data/1459839/000119312518293978/d452987dex34.htm" TargetMode="External"/><Relationship Id="rId9" Type="http://schemas.openxmlformats.org/officeDocument/2006/relationships/hyperlink" Target="https://www.sec.gov/Archives/edgar/data/1459839/000145983920000047/exhibit43descriptionof.htm" TargetMode="External"/><Relationship Id="rId10" Type="http://schemas.openxmlformats.org/officeDocument/2006/relationships/hyperlink" Target="https://www.sec.gov/Archives/edgar/data/1459839/000119312518278797/d452987dex101.htm" TargetMode="External"/><Relationship Id="rId11" Type="http://schemas.openxmlformats.org/officeDocument/2006/relationships/hyperlink" Target="https://www.sec.gov/Archives/edgar/data/1459839/000119312518293978/d452987dex102.htm" TargetMode="External"/><Relationship Id="rId12" Type="http://schemas.openxmlformats.org/officeDocument/2006/relationships/hyperlink" Target="https://www.sec.gov/Archives/edgar/data/1459839/000119312518293978/d452987dex103.htm" TargetMode="External"/><Relationship Id="rId13" Type="http://schemas.openxmlformats.org/officeDocument/2006/relationships/hyperlink" Target="https://www.sec.gov/Archives/edgar/data/1459839/000119312518293978/d452987dex104.htm" TargetMode="External"/><Relationship Id="rId14" Type="http://schemas.openxmlformats.org/officeDocument/2006/relationships/hyperlink" Target="https://www.sec.gov/Archives/edgar/data/1459839/000119312518293978/d452987dex105.htm" TargetMode="External"/><Relationship Id="rId15" Type="http://schemas.openxmlformats.org/officeDocument/2006/relationships/hyperlink" Target="https://www.sec.gov/Archives/edgar/data/1459839/000119312518293978/d452987dex106.htm" TargetMode="External"/><Relationship Id="rId16" Type="http://schemas.openxmlformats.org/officeDocument/2006/relationships/hyperlink" Target="https://www.sec.gov/Archives/edgar/data/1459839/000119312518278797/d452987dex107.htm" TargetMode="External"/><Relationship Id="rId17" Type="http://schemas.openxmlformats.org/officeDocument/2006/relationships/hyperlink" Target="https://www.sec.gov/Archives/edgar/data/1459839/000119312518278797/d452987dex1018.htm" TargetMode="External"/><Relationship Id="rId18" Type="http://schemas.openxmlformats.org/officeDocument/2006/relationships/hyperlink" Target="https://www.sec.gov/Archives/edgar/data/1459839/000145983925000076/sibn-ex103.htm" TargetMode="External"/><Relationship Id="rId19" Type="http://schemas.openxmlformats.org/officeDocument/2006/relationships/hyperlink" Target="https://www.sec.gov/Archives/edgar/data/1459839/000145983925000076/sibn-ex104.htm" TargetMode="External"/><Relationship Id="rId20" Type="http://schemas.openxmlformats.org/officeDocument/2006/relationships/hyperlink" Target="https://www.sec.gov/Archives/edgar/data/1459839/000145983925000076/sibn-ex104.htm" TargetMode="External"/><Relationship Id="rId21" Type="http://schemas.openxmlformats.org/officeDocument/2006/relationships/hyperlink" Target="https://www.sec.gov/Archives/edgar/data/1459839/000145983925000076/sibn-ex104.htm" TargetMode="External"/><Relationship Id="rId22" Type="http://schemas.openxmlformats.org/officeDocument/2006/relationships/hyperlink" Target="https://www.sec.gov/Archives/edgar/data/1459839/000119312518293978/d452987dex1021.htm" TargetMode="External"/><Relationship Id="rId23" Type="http://schemas.openxmlformats.org/officeDocument/2006/relationships/hyperlink" Target="https://www.sec.gov/Archives/edgar/data/1459839/000145983919000044/exhibit102amendmenttores.htm" TargetMode="External"/><Relationship Id="rId24" Type="http://schemas.openxmlformats.org/officeDocument/2006/relationships/hyperlink" Target="https://www.sec.gov/Archives/edgar/data/1459839/000145983921000003/exh101_amendmenttoceooffer.htm" TargetMode="External"/><Relationship Id="rId25" Type="http://schemas.openxmlformats.org/officeDocument/2006/relationships/hyperlink" Target="https://www.sec.gov/Archives/edgar/data/1459839/000145983925000076/sibn-ex102_nonxemployeedir.htm" TargetMode="External"/><Relationship Id="rId26" Type="http://schemas.openxmlformats.org/officeDocument/2006/relationships/hyperlink" Target="https://www.sec.gov/Archives/edgar/data/1459839/000145983925000076/sibn-ex102_nonxemployeedir.htm" TargetMode="External"/><Relationship Id="rId27" Type="http://schemas.openxmlformats.org/officeDocument/2006/relationships/hyperlink" Target="https://www.sec.gov/Archives/edgar/data/1459839/000145983925000076/sibn-ex102_nonxemployeedir.htm" TargetMode="External"/><Relationship Id="rId28" Type="http://schemas.openxmlformats.org/officeDocument/2006/relationships/hyperlink" Target="https://www.sec.gov/Archives/edgar/data/0001459839/000145983921000012/exhibit1024severancebenefi.htm" TargetMode="External"/><Relationship Id="rId29" Type="http://schemas.openxmlformats.org/officeDocument/2006/relationships/hyperlink" Target="https://www.sec.gov/Archives/edgar/data/0001459839/000145983921000045/nishimuram-sibnboardofferl.htm" TargetMode="External"/><Relationship Id="rId30" Type="http://schemas.openxmlformats.org/officeDocument/2006/relationships/hyperlink" Target="https://www.sec.gov/Archives/edgar/data/1459839/000145983925000095/sibn-ex105_danielwolfconsu.htm" TargetMode="External"/><Relationship Id="rId31" Type="http://schemas.openxmlformats.org/officeDocument/2006/relationships/hyperlink" Target="https://www.sec.gov/Archives/edgar/data/1459839/000119312518278797/d452987dex1021.htm" TargetMode="External"/><Relationship Id="rId32" Type="http://schemas.openxmlformats.org/officeDocument/2006/relationships/hyperlink" Target="https://www.sec.gov/Archives/edgar/data/0001459839/000145983921000061/sibn-ex101loanandsecuritya.htm" TargetMode="External"/><Relationship Id="rId33" Type="http://schemas.openxmlformats.org/officeDocument/2006/relationships/hyperlink" Target="https://www.sec.gov/Archives/edgar/data/0001459839/000145983921000061/sibn-ex102secondamendmentt.htm" TargetMode="External"/><Relationship Id="rId34" Type="http://schemas.openxmlformats.org/officeDocument/2006/relationships/hyperlink" Target="https://www.sec.gov/Archives/edgar/data/1459839/000145983921000035/maheshwarianshulcfo4122021.htm" TargetMode="External"/><Relationship Id="rId35" Type="http://schemas.openxmlformats.org/officeDocument/2006/relationships/hyperlink" Target="https://www.sec.gov/Archives/edgar/data/1459839/000145983925000061/a2ndarparticipationagreeme.htm" TargetMode="External"/><Relationship Id="rId36" Type="http://schemas.openxmlformats.org/officeDocument/2006/relationships/hyperlink" Target="https://www.sec.gov/Archives/edgar/data/1459839/000145983922000006/si-bonexformofprsugrantp.htm" TargetMode="External"/><Relationship Id="rId37" Type="http://schemas.openxmlformats.org/officeDocument/2006/relationships/hyperlink" Target="https://www.sec.gov/Archives/edgar/data/1459839/000145983923000020/confidentialmarkupsvb_-x.htm" TargetMode="External"/><Relationship Id="rId38" Type="http://schemas.openxmlformats.org/officeDocument/2006/relationships/hyperlink" Target="https://www.sec.gov/Archives/edgar/data/1459839/000145983923000063/letteragreement.htm" TargetMode="External"/><Relationship Id="rId39" Type="http://schemas.openxmlformats.org/officeDocument/2006/relationships/hyperlink" Target="https://www.sec.gov/ix?doc=/Archives/edgar/data/1459839/000145983922000006/sibn-20220106.htm" TargetMode="External"/><Relationship Id="rId40" Type="http://schemas.openxmlformats.org/officeDocument/2006/relationships/hyperlink" Target="https://www.sec.gov/Archives/edgar/data/1459839/000145983924000014/secondamendmenttocreditfac.htm" TargetMode="External"/><Relationship Id="rId41" Type="http://schemas.openxmlformats.org/officeDocument/2006/relationships/hyperlink" Target="https://www.sec.gov/Archives/edgar/data/1459839/000145983924000055/elcamino2ndamendment072024.htm" TargetMode="External"/><Relationship Id="rId42" Type="http://schemas.openxmlformats.org/officeDocument/2006/relationships/hyperlink" Target="https://www.sec.gov/Archives/edgar/data/1459839/000145983924000014/secondamendmenttocreditfac.htm" TargetMode="External"/><Relationship Id="rId43" Type="http://schemas.openxmlformats.org/officeDocument/2006/relationships/hyperlink" Target="https://www.sec.gov/Archives/edgar/data/1459839/000145983924000014/si-bonermsmsa022324final.htm" TargetMode="External"/><Relationship Id="rId44" Type="http://schemas.openxmlformats.org/officeDocument/2006/relationships/hyperlink" Target="https://www.sec.gov/Archives/edgar/data/1459839/000145983924000055/elcamino2ndamendment072024.htm" TargetMode="External"/><Relationship Id="rId45" Type="http://schemas.openxmlformats.org/officeDocument/2006/relationships/hyperlink" Target="https://www.sec.gov/Archives/edgar/data/1459839/000145983924000014/si-bonermsmsa022324final.htm" TargetMode="External"/><Relationship Id="rId46" Type="http://schemas.openxmlformats.org/officeDocument/2006/relationships/hyperlink" Target="https://www.sec.gov/Archives/edgar/data/1459839/000145983924000055/elcamino2ndamendment072024.htm" TargetMode="External"/><Relationship Id="rId47" Type="http://schemas.openxmlformats.org/officeDocument/2006/relationships/hyperlink" Target="https://www.sec.gov/Archives/edgar/data/1459839/000145983924000077/exh102_svbthirdamendmentto.htm" TargetMode="External"/><Relationship Id="rId48" Type="http://schemas.openxmlformats.org/officeDocument/2006/relationships/hyperlink" Target="https://www.sec.gov/Archives/edgar/data/1459839/000145983924000055/elcamino2ndamendment072024.htm" TargetMode="External"/><Relationship Id="rId49" Type="http://schemas.openxmlformats.org/officeDocument/2006/relationships/hyperlink" Target="https://www.sec.gov/Archives/edgar/data/1459839/000145983924000077/exh102_svbthirdamendmentto.htm" TargetMode="External"/><Relationship Id="rId50" Type="http://schemas.openxmlformats.org/officeDocument/2006/relationships/hyperlink" Target="https://www.sec.gov/Archives/edgar/data/1459839/000145983925000036/sibn-ex1028_offerletterxwe.htm" TargetMode="External"/><Relationship Id="rId51" Type="http://schemas.openxmlformats.org/officeDocument/2006/relationships/hyperlink" Target="https://www.sec.gov/Archives/edgar/data/1459839/000145983925000036/sibn-ex1029_formoffinancia.htm" TargetMode="External"/><Relationship Id="rId52" Type="http://schemas.openxmlformats.org/officeDocument/2006/relationships/hyperlink" Target="https://www.sec.gov/Archives/edgar/data/1459839/000145983925000076/sibn-ex105_rmsmsaamendment.htm" TargetMode="External"/><Relationship Id="rId53" Type="http://schemas.openxmlformats.org/officeDocument/2006/relationships/hyperlink" Target="https://www.sec.gov/Archives/edgar/data/1459839/000145983925000095/sibn-ex104_fourthamendment.htm" TargetMode="External"/><Relationship Id="rId54" Type="http://schemas.openxmlformats.org/officeDocument/2006/relationships/hyperlink" Target="https://www.sec.gov/Archives/edgar/data/1459839/000145983924000014/a2023-10x02recoupmentclawb.htm" TargetMode="External"/><Relationship Id="rId55" Type="http://schemas.openxmlformats.org/officeDocument/2006/relationships/image" Target="media/image2.png"/><Relationship Id="rId56" Type="http://schemas.openxmlformats.org/officeDocument/2006/relationships/image" Target="media/image3.png"/><Relationship Id="rId57" Type="http://schemas.openxmlformats.org/officeDocument/2006/relationships/image" Target="media/image4.png"/><Relationship Id="rId58" Type="http://schemas.openxmlformats.org/officeDocument/2006/relationships/image" Target="media/image5.png"/><Relationship Id="rId59" Type="http://schemas.openxmlformats.org/officeDocument/2006/relationships/image" Target="media/image5.png"/><Relationship Id="rId60" Type="http://schemas.openxmlformats.org/officeDocument/2006/relationships/image" Target="media/image5.png"/><Relationship Id="rId61" Type="http://schemas.openxmlformats.org/officeDocument/2006/relationships/image" Target="media/image5.png"/><Relationship Id="rId62" Type="http://schemas.openxmlformats.org/officeDocument/2006/relationships/image" Target="media/image5.png"/><Relationship Id="rId63" Type="http://schemas.openxmlformats.org/officeDocument/2006/relationships/image" Target="media/image5.png"/><Relationship Id="rId64" Type="http://schemas.openxmlformats.org/officeDocument/2006/relationships/image" Target="media/image5.png"/><Relationship Id="rId65" Type="http://schemas.openxmlformats.org/officeDocument/2006/relationships/image" Target="media/image5.png"/><Relationship Id="rId66" Type="http://schemas.openxmlformats.org/officeDocument/2006/relationships/image" Target="media/image5.png"/><Relationship Id="rId67" Type="http://schemas.openxmlformats.org/officeDocument/2006/relationships/image" Target="media/image5.png"/><Relationship Id="rId68" Type="http://schemas.openxmlformats.org/officeDocument/2006/relationships/image" Target="media/image5.png"/><Relationship Id="rId69" Type="http://schemas.openxmlformats.org/officeDocument/2006/relationships/fontTable" Target="fontTable.xml"/><Relationship Id="rId7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83</Pages>
  <Words>121012</Words>
  <Characters>664961</Characters>
  <CharactersWithSpaces>785362</CharactersWithSpaces>
  <Paragraphs>4957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