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t>As filed with the U.S. Securities and Exchange Commission on March 2, 2023</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Registration No. 333-</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S-8</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0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SI-BONE,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80"/>
          </w:cols>
          <w:pgMar w:left="500" w:top="873" w:right="519" w:bottom="1440" w:gutter="0" w:footer="0" w:header="0"/>
        </w:sectPr>
      </w:pPr>
    </w:p>
    <w:p>
      <w:pPr>
        <w:spacing w:after="0" w:line="264"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26-2216351</w:t>
      </w:r>
    </w:p>
    <w:p>
      <w:pPr>
        <w:spacing w:after="0" w:line="50" w:lineRule="exact"/>
        <w:rPr>
          <w:sz w:val="24"/>
          <w:szCs w:val="24"/>
          <w:color w:val="auto"/>
        </w:rPr>
      </w:pPr>
    </w:p>
    <w:p>
      <w:pPr>
        <w:sectPr>
          <w:pgSz w:w="11900" w:h="16838" w:orient="portrait"/>
          <w:cols w:equalWidth="0" w:num="2">
            <w:col w:w="7140" w:space="720"/>
            <w:col w:w="3020"/>
          </w:cols>
          <w:pgMar w:left="500" w:top="873" w:right="519" w:bottom="1440" w:gutter="0" w:footer="0" w:header="0"/>
          <w:type w:val="continuous"/>
        </w:sectPr>
      </w:pPr>
    </w:p>
    <w:p>
      <w:pPr>
        <w:ind w:left="128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500" w:space="720"/>
            <w:col w:w="3660"/>
          </w:cols>
          <w:pgMar w:left="500" w:top="873" w:right="519" w:bottom="1440" w:gutter="0" w:footer="0" w:header="0"/>
          <w:type w:val="continuous"/>
        </w:sectPr>
      </w:pP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 2018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titles of the plans)</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Anshul Maheshwari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471 El Camino Real, Suite 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207-0700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B. Hemington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233" w:lineRule="exact"/>
        <w:rPr>
          <w:sz w:val="24"/>
          <w:szCs w:val="24"/>
          <w:color w:val="auto"/>
        </w:rPr>
      </w:pPr>
    </w:p>
    <w:p>
      <w:pPr>
        <w:jc w:val="center"/>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1120" w:type="dxa"/>
        <w:tblCellMar>
          <w:top w:w="0" w:type="dxa"/>
          <w:left w:w="0" w:type="dxa"/>
          <w:bottom w:w="0" w:type="dxa"/>
          <w:right w:w="0" w:type="dxa"/>
        </w:tblCellMar>
      </w:tblPr>
      <w:tr>
        <w:trPr>
          <w:trHeight w:val="196"/>
        </w:trPr>
        <w:tc>
          <w:tcPr>
            <w:tcW w:w="2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o</w:t>
            </w:r>
          </w:p>
        </w:tc>
        <w:tc>
          <w:tcPr>
            <w:tcW w:w="2800" w:type="dxa"/>
            <w:vAlign w:val="bottom"/>
          </w:tcPr>
          <w:p>
            <w:pPr>
              <w:ind w:left="2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r>
        <w:trPr>
          <w:trHeight w:val="203"/>
        </w:trPr>
        <w:tc>
          <w:tcPr>
            <w:tcW w:w="2640" w:type="dxa"/>
            <w:vAlign w:val="bottom"/>
          </w:tcPr>
          <w:p>
            <w:pPr>
              <w:spacing w:after="0"/>
              <w:rPr>
                <w:sz w:val="20"/>
                <w:szCs w:val="20"/>
                <w:color w:val="auto"/>
              </w:rPr>
            </w:pPr>
            <w:r>
              <w:rPr>
                <w:rFonts w:ascii="Arial" w:cs="Arial" w:eastAsia="Arial" w:hAnsi="Arial"/>
                <w:sz w:val="14"/>
                <w:szCs w:val="14"/>
                <w:color w:val="auto"/>
              </w:rPr>
              <w:t>Non-accelerated filer</w:t>
            </w:r>
          </w:p>
        </w:tc>
        <w:tc>
          <w:tcPr>
            <w:tcW w:w="1700" w:type="dxa"/>
            <w:vAlign w:val="bottom"/>
          </w:tcPr>
          <w:p>
            <w:pPr>
              <w:ind w:left="1340"/>
              <w:spacing w:after="0"/>
              <w:rPr>
                <w:sz w:val="20"/>
                <w:szCs w:val="20"/>
                <w:color w:val="auto"/>
              </w:rPr>
            </w:pPr>
            <w:r>
              <w:rPr>
                <w:rFonts w:ascii="Arial" w:cs="Arial" w:eastAsia="Arial" w:hAnsi="Arial"/>
                <w:sz w:val="14"/>
                <w:szCs w:val="14"/>
                <w:color w:val="auto"/>
              </w:rPr>
              <w:t>x</w:t>
            </w:r>
          </w:p>
        </w:tc>
        <w:tc>
          <w:tcPr>
            <w:tcW w:w="2800" w:type="dxa"/>
            <w:vAlign w:val="bottom"/>
          </w:tcPr>
          <w:p>
            <w:pPr>
              <w:ind w:left="28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85"/>
              </w:rPr>
              <w:t>x</w:t>
            </w:r>
          </w:p>
        </w:tc>
      </w:tr>
      <w:tr>
        <w:trPr>
          <w:trHeight w:val="445"/>
        </w:trPr>
        <w:tc>
          <w:tcPr>
            <w:tcW w:w="2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ind w:left="2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60"/>
              <w:spacing w:after="0"/>
              <w:rPr>
                <w:sz w:val="20"/>
                <w:szCs w:val="20"/>
                <w:color w:val="auto"/>
              </w:rPr>
            </w:pPr>
            <w:r>
              <w:rPr>
                <w:rFonts w:ascii="Arial" w:cs="Arial" w:eastAsia="Arial" w:hAnsi="Arial"/>
                <w:sz w:val="14"/>
                <w:szCs w:val="14"/>
                <w:color w:val="auto"/>
                <w:w w:val="76"/>
              </w:rPr>
              <w:t>o</w:t>
            </w:r>
          </w:p>
        </w:tc>
      </w:tr>
    </w:tbl>
    <w:p>
      <w:pPr>
        <w:spacing w:after="0" w:line="331" w:lineRule="exact"/>
        <w:rPr>
          <w:sz w:val="24"/>
          <w:szCs w:val="24"/>
          <w:color w:val="auto"/>
        </w:rPr>
      </w:pPr>
    </w:p>
    <w:p>
      <w:pPr>
        <w:jc w:val="center"/>
        <w:ind w:left="520" w:right="1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0880"/>
          </w:cols>
          <w:pgMar w:left="500" w:top="873" w:right="5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Pursuant to General Instruction E of Form S-8, SI-BONE,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for the purpose of registering</w:t>
      </w:r>
    </w:p>
    <w:p>
      <w:pPr>
        <w:spacing w:after="0" w:line="19" w:lineRule="exact"/>
        <w:rPr>
          <w:sz w:val="20"/>
          <w:szCs w:val="20"/>
          <w:color w:val="auto"/>
        </w:rPr>
      </w:pPr>
    </w:p>
    <w:p>
      <w:pPr>
        <w:jc w:val="both"/>
        <w:ind w:firstLine="8"/>
        <w:spacing w:after="0" w:line="253" w:lineRule="auto"/>
        <w:tabs>
          <w:tab w:leader="none" w:pos="246"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additional 1,736,578 shares of its common stock, issuable to eligible persons under its 2018 Equity Incentive Plan (the “2018 Plan”), which common stock is in addition to the shares of common stock previously registered on the Registrant’s Form S-8 registration statements filed on October 19, 2018 (File No. 333-227907), March 22, 2019 (File No. 333-230473), March 11, 2020 (File No. 333-237091), March 10, 2021 (File No. 333-254086) and March 1, 2022 (File No. 333-263189) (the “</w:t>
      </w:r>
      <w:r>
        <w:rPr>
          <w:rFonts w:ascii="Arial" w:cs="Arial" w:eastAsia="Arial" w:hAnsi="Arial"/>
          <w:sz w:val="17"/>
          <w:szCs w:val="17"/>
          <w:b w:val="1"/>
          <w:bCs w:val="1"/>
          <w:i w:val="1"/>
          <w:iCs w:val="1"/>
          <w:color w:val="auto"/>
        </w:rPr>
        <w:t>Prior Forms S-8</w:t>
      </w:r>
      <w:r>
        <w:rPr>
          <w:rFonts w:ascii="Arial" w:cs="Arial" w:eastAsia="Arial" w:hAnsi="Arial"/>
          <w:sz w:val="17"/>
          <w:szCs w:val="17"/>
          <w:color w:val="auto"/>
        </w:rPr>
        <w:t>”) and (b) an additional 347,315 shares of its common stock, issuable to eligible persons under its 2018 Employee Stock Purchase Plan (the “2018 ESPP”), which common stock is in addition to the shares of common stock previously registered on the Prior Forms S-8. The contents of the Prior Forms S-8 are incorporated by reference in this Registration Statement.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INCORPORATION OF CERTAIN DOCUMENTS BY REFERENCE</w:t>
      </w:r>
    </w:p>
    <w:p>
      <w:pPr>
        <w:spacing w:after="0" w:line="216"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The following documents filed by the Registrant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are incorporated by reference into this Registration Statement:</w:t>
      </w:r>
    </w:p>
    <w:p>
      <w:pPr>
        <w:spacing w:after="0" w:line="130" w:lineRule="exact"/>
        <w:rPr>
          <w:sz w:val="20"/>
          <w:szCs w:val="20"/>
          <w:color w:val="auto"/>
        </w:rPr>
      </w:pPr>
    </w:p>
    <w:p>
      <w:pPr>
        <w:jc w:val="both"/>
        <w:ind w:left="40" w:firstLine="656"/>
        <w:spacing w:after="0" w:line="295" w:lineRule="auto"/>
        <w:tabs>
          <w:tab w:leader="none" w:pos="1094" w:val="left"/>
        </w:tabs>
        <w:numPr>
          <w:ilvl w:val="0"/>
          <w:numId w:val="2"/>
        </w:numPr>
        <w:rPr>
          <w:rFonts w:ascii="Arial" w:cs="Arial" w:eastAsia="Arial" w:hAnsi="Arial"/>
          <w:sz w:val="18"/>
          <w:szCs w:val="18"/>
          <w:color w:val="0000FF"/>
        </w:rPr>
      </w:pPr>
      <w:hyperlink r:id="rId8">
        <w:r>
          <w:rPr>
            <w:rFonts w:ascii="Arial" w:cs="Arial" w:eastAsia="Arial" w:hAnsi="Arial"/>
            <w:sz w:val="18"/>
            <w:szCs w:val="18"/>
            <w:color w:val="auto"/>
          </w:rPr>
          <w:t xml:space="preserve">The contents of the earlier registration statements on Form S-8 relating to the 2018 Plan and 2018 ESPP, filed with the SEC on </w:t>
        </w:r>
        <w:r>
          <w:rPr>
            <w:rFonts w:ascii="Arial" w:cs="Arial" w:eastAsia="Arial" w:hAnsi="Arial"/>
            <w:sz w:val="18"/>
            <w:szCs w:val="18"/>
            <w:u w:val="single" w:color="auto"/>
            <w:color w:val="0000FF"/>
          </w:rPr>
          <w:t>October 19,</w:t>
        </w:r>
      </w:hyperlink>
      <w:r>
        <w:rPr>
          <w:rFonts w:ascii="Arial" w:cs="Arial" w:eastAsia="Arial" w:hAnsi="Arial"/>
          <w:sz w:val="18"/>
          <w:szCs w:val="18"/>
          <w:color w:val="auto"/>
        </w:rPr>
        <w:t xml:space="preserve"> </w:t>
      </w:r>
      <w:hyperlink r:id="rId8">
        <w:r>
          <w:rPr>
            <w:rFonts w:ascii="Arial" w:cs="Arial" w:eastAsia="Arial" w:hAnsi="Arial"/>
            <w:sz w:val="18"/>
            <w:szCs w:val="18"/>
            <w:u w:val="single" w:color="auto"/>
            <w:color w:val="0000FF"/>
          </w:rPr>
          <w:t>2018</w:t>
        </w:r>
        <w:r>
          <w:rPr>
            <w:rFonts w:ascii="Arial" w:cs="Arial" w:eastAsia="Arial" w:hAnsi="Arial"/>
            <w:sz w:val="18"/>
            <w:szCs w:val="18"/>
            <w:color w:val="0000FF"/>
          </w:rPr>
          <w:t xml:space="preserve"> </w:t>
        </w:r>
        <w:r>
          <w:rPr>
            <w:rFonts w:ascii="Arial" w:cs="Arial" w:eastAsia="Arial" w:hAnsi="Arial"/>
            <w:sz w:val="18"/>
            <w:szCs w:val="18"/>
            <w:color w:val="000000"/>
          </w:rPr>
          <w:t>(File No. 333-227907),</w:t>
        </w:r>
        <w:r>
          <w:rPr>
            <w:rFonts w:ascii="Arial" w:cs="Arial" w:eastAsia="Arial" w:hAnsi="Arial"/>
            <w:sz w:val="18"/>
            <w:szCs w:val="18"/>
            <w:color w:val="0000FF"/>
          </w:rPr>
          <w:t xml:space="preserve"> </w:t>
        </w:r>
      </w:hyperlink>
      <w:hyperlink r:id="rId9">
        <w:r>
          <w:rPr>
            <w:rFonts w:ascii="Arial" w:cs="Arial" w:eastAsia="Arial" w:hAnsi="Arial"/>
            <w:sz w:val="18"/>
            <w:szCs w:val="18"/>
            <w:u w:val="single" w:color="auto"/>
            <w:color w:val="0000FF"/>
          </w:rPr>
          <w:t xml:space="preserve">March 22, 2019 </w:t>
        </w:r>
      </w:hyperlink>
      <w:hyperlink r:id="rId8">
        <w:r>
          <w:rPr>
            <w:rFonts w:ascii="Arial" w:cs="Arial" w:eastAsia="Arial" w:hAnsi="Arial"/>
            <w:sz w:val="18"/>
            <w:szCs w:val="18"/>
            <w:color w:val="000000"/>
          </w:rPr>
          <w:t>(File No. 333-230473),</w:t>
        </w:r>
        <w:r>
          <w:rPr>
            <w:rFonts w:ascii="Arial" w:cs="Arial" w:eastAsia="Arial" w:hAnsi="Arial"/>
            <w:sz w:val="18"/>
            <w:szCs w:val="18"/>
            <w:color w:val="0000FF"/>
          </w:rPr>
          <w:t xml:space="preserve"> </w:t>
        </w:r>
      </w:hyperlink>
      <w:hyperlink r:id="rId10">
        <w:r>
          <w:rPr>
            <w:rFonts w:ascii="Arial" w:cs="Arial" w:eastAsia="Arial" w:hAnsi="Arial"/>
            <w:sz w:val="18"/>
            <w:szCs w:val="18"/>
            <w:u w:val="single" w:color="auto"/>
            <w:color w:val="0000FF"/>
          </w:rPr>
          <w:t xml:space="preserve">March 11, 2020 </w:t>
        </w:r>
      </w:hyperlink>
      <w:hyperlink r:id="rId8">
        <w:r>
          <w:rPr>
            <w:rFonts w:ascii="Arial" w:cs="Arial" w:eastAsia="Arial" w:hAnsi="Arial"/>
            <w:sz w:val="18"/>
            <w:szCs w:val="18"/>
            <w:color w:val="000000"/>
          </w:rPr>
          <w:t>(File No. 333-237091),</w:t>
        </w:r>
        <w:r>
          <w:rPr>
            <w:rFonts w:ascii="Arial" w:cs="Arial" w:eastAsia="Arial" w:hAnsi="Arial"/>
            <w:sz w:val="18"/>
            <w:szCs w:val="18"/>
            <w:color w:val="0000FF"/>
          </w:rPr>
          <w:t xml:space="preserve"> </w:t>
        </w:r>
      </w:hyperlink>
      <w:hyperlink r:id="rId11">
        <w:r>
          <w:rPr>
            <w:rFonts w:ascii="Arial" w:cs="Arial" w:eastAsia="Arial" w:hAnsi="Arial"/>
            <w:sz w:val="18"/>
            <w:szCs w:val="18"/>
            <w:u w:val="single" w:color="auto"/>
            <w:color w:val="0000FF"/>
          </w:rPr>
          <w:t xml:space="preserve">March 10, 2021 </w:t>
        </w:r>
      </w:hyperlink>
      <w:hyperlink r:id="rId8">
        <w:r>
          <w:rPr>
            <w:rFonts w:ascii="Arial" w:cs="Arial" w:eastAsia="Arial" w:hAnsi="Arial"/>
            <w:sz w:val="18"/>
            <w:szCs w:val="18"/>
            <w:color w:val="000000"/>
          </w:rPr>
          <w:t>(File No. 333-254086) and</w:t>
        </w:r>
      </w:hyperlink>
      <w:r>
        <w:rPr>
          <w:rFonts w:ascii="Arial" w:cs="Arial" w:eastAsia="Arial" w:hAnsi="Arial"/>
          <w:sz w:val="18"/>
          <w:szCs w:val="18"/>
          <w:color w:val="0000FF"/>
        </w:rPr>
        <w:t xml:space="preserve"> </w:t>
      </w:r>
      <w:hyperlink r:id="rId12">
        <w:r>
          <w:rPr>
            <w:rFonts w:ascii="Arial" w:cs="Arial" w:eastAsia="Arial" w:hAnsi="Arial"/>
            <w:sz w:val="18"/>
            <w:szCs w:val="18"/>
            <w:u w:val="single" w:color="auto"/>
            <w:color w:val="0000FF"/>
          </w:rPr>
          <w:t>March 1, 2022</w:t>
        </w:r>
        <w:r>
          <w:rPr>
            <w:rFonts w:ascii="Arial" w:cs="Arial" w:eastAsia="Arial" w:hAnsi="Arial"/>
            <w:sz w:val="18"/>
            <w:szCs w:val="18"/>
            <w:color w:val="0000FF"/>
          </w:rPr>
          <w:t xml:space="preserve"> </w:t>
        </w:r>
      </w:hyperlink>
      <w:r>
        <w:rPr>
          <w:rFonts w:ascii="Arial" w:cs="Arial" w:eastAsia="Arial" w:hAnsi="Arial"/>
          <w:sz w:val="18"/>
          <w:szCs w:val="18"/>
          <w:color w:val="000000"/>
        </w:rPr>
        <w:t>(File</w:t>
      </w:r>
      <w:r>
        <w:rPr>
          <w:rFonts w:ascii="Arial" w:cs="Arial" w:eastAsia="Arial" w:hAnsi="Arial"/>
          <w:sz w:val="18"/>
          <w:szCs w:val="18"/>
          <w:color w:val="0000FF"/>
        </w:rPr>
        <w:t xml:space="preserve"> </w:t>
      </w:r>
      <w:r>
        <w:rPr>
          <w:rFonts w:ascii="Arial" w:cs="Arial" w:eastAsia="Arial" w:hAnsi="Arial"/>
          <w:sz w:val="18"/>
          <w:szCs w:val="18"/>
          <w:color w:val="000000"/>
        </w:rPr>
        <w:t>No. 333-263189).</w:t>
      </w:r>
    </w:p>
    <w:p>
      <w:pPr>
        <w:spacing w:after="0" w:line="208" w:lineRule="exact"/>
        <w:rPr>
          <w:rFonts w:ascii="Arial" w:cs="Arial" w:eastAsia="Arial" w:hAnsi="Arial"/>
          <w:sz w:val="18"/>
          <w:szCs w:val="18"/>
          <w:color w:val="0000FF"/>
        </w:rPr>
      </w:pPr>
    </w:p>
    <w:p>
      <w:pPr>
        <w:ind w:left="1100" w:hanging="404"/>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2022, filed with the SEC on </w:t>
      </w:r>
      <w:hyperlink r:id="rId13">
        <w:r>
          <w:rPr>
            <w:rFonts w:ascii="Arial" w:cs="Arial" w:eastAsia="Arial" w:hAnsi="Arial"/>
            <w:sz w:val="18"/>
            <w:szCs w:val="18"/>
            <w:u w:val="single" w:color="auto"/>
            <w:color w:val="0000FF"/>
          </w:rPr>
          <w:t>March 2, 2023</w:t>
        </w:r>
      </w:hyperlink>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40" w:right="280" w:firstLine="656"/>
        <w:spacing w:after="0" w:line="261" w:lineRule="auto"/>
        <w:tabs>
          <w:tab w:leader="none" w:pos="106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SEC on </w:t>
      </w:r>
      <w:hyperlink r:id="rId14">
        <w:r>
          <w:rPr>
            <w:rFonts w:ascii="Arial" w:cs="Arial" w:eastAsia="Arial" w:hAnsi="Arial"/>
            <w:sz w:val="18"/>
            <w:szCs w:val="18"/>
            <w:u w:val="single" w:color="auto"/>
            <w:color w:val="0000FF"/>
          </w:rPr>
          <w:t>January 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the information in Item 2.02, Item 7.01, and related Exhibits 99.1 and 99.2, which is furnished, not filed).</w:t>
      </w:r>
    </w:p>
    <w:p>
      <w:pPr>
        <w:spacing w:after="0" w:line="224" w:lineRule="exact"/>
        <w:rPr>
          <w:rFonts w:ascii="Arial" w:cs="Arial" w:eastAsia="Arial" w:hAnsi="Arial"/>
          <w:sz w:val="18"/>
          <w:szCs w:val="18"/>
          <w:color w:val="auto"/>
        </w:rPr>
      </w:pPr>
    </w:p>
    <w:p>
      <w:pPr>
        <w:jc w:val="both"/>
        <w:ind w:left="40" w:firstLine="656"/>
        <w:spacing w:after="0" w:line="290" w:lineRule="auto"/>
        <w:tabs>
          <w:tab w:leader="none" w:pos="113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which is contained in a registration statement on </w:t>
      </w:r>
      <w:hyperlink r:id="rId15">
        <w:r>
          <w:rPr>
            <w:rFonts w:ascii="Arial" w:cs="Arial" w:eastAsia="Arial" w:hAnsi="Arial"/>
            <w:sz w:val="18"/>
            <w:szCs w:val="18"/>
            <w:u w:val="single" w:color="auto"/>
            <w:color w:val="0000FF"/>
          </w:rPr>
          <w:t>Form 8-A filed on October 11, 2018</w:t>
        </w:r>
      </w:hyperlink>
      <w:r>
        <w:rPr>
          <w:rFonts w:ascii="Arial" w:cs="Arial" w:eastAsia="Arial" w:hAnsi="Arial"/>
          <w:sz w:val="18"/>
          <w:szCs w:val="18"/>
          <w:color w:val="auto"/>
        </w:rPr>
        <w:t xml:space="preserve"> (File No. 001-38701)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 including the Description of SI-BONE, Inc. Common stock filed as Exhibit 4.3 to the Registrant's Form 10-K filed with the SEC on May 5, 2020.</w:t>
      </w:r>
    </w:p>
    <w:p>
      <w:pPr>
        <w:spacing w:after="0" w:line="214" w:lineRule="exact"/>
        <w:rPr>
          <w:rFonts w:ascii="Arial" w:cs="Arial" w:eastAsia="Arial" w:hAnsi="Arial"/>
          <w:sz w:val="18"/>
          <w:szCs w:val="18"/>
          <w:color w:val="auto"/>
        </w:rPr>
      </w:pPr>
    </w:p>
    <w:p>
      <w:pPr>
        <w:jc w:val="both"/>
        <w:ind w:left="40" w:firstLine="656"/>
        <w:spacing w:after="0" w:line="325" w:lineRule="auto"/>
        <w:tabs>
          <w:tab w:leader="none" w:pos="1103"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769" w:right="339" w:bottom="1440" w:gutter="0" w:footer="0" w:header="0"/>
        </w:sectPr>
      </w:pPr>
    </w:p>
    <w:bookmarkStart w:id="2" w:name="page3"/>
    <w:bookmarkEnd w:id="2"/>
    <w:p>
      <w:pPr>
        <w:spacing w:after="0"/>
        <w:tabs>
          <w:tab w:leader="none" w:pos="820" w:val="left"/>
        </w:tabs>
        <w:rPr>
          <w:sz w:val="20"/>
          <w:szCs w:val="20"/>
          <w:color w:val="auto"/>
        </w:rPr>
      </w:pPr>
      <w:r>
        <w:rPr>
          <w:rFonts w:ascii="Arial" w:cs="Arial" w:eastAsia="Arial" w:hAnsi="Arial"/>
          <w:sz w:val="18"/>
          <w:szCs w:val="18"/>
          <w:b w:val="1"/>
          <w:bCs w:val="1"/>
          <w:color w:val="auto"/>
        </w:rPr>
        <w:t>ITEM 8.</w:t>
        <w:tab/>
        <w:t>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to this Registration Statement are listed below.</w:t>
      </w:r>
    </w:p>
    <w:p>
      <w:pPr>
        <w:spacing w:after="0" w:line="320"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520"/>
              <w:spacing w:after="0"/>
              <w:rPr>
                <w:sz w:val="20"/>
                <w:szCs w:val="20"/>
                <w:color w:val="auto"/>
              </w:rPr>
            </w:pPr>
            <w:r>
              <w:rPr>
                <w:rFonts w:ascii="Arial" w:cs="Arial" w:eastAsia="Arial" w:hAnsi="Arial"/>
                <w:sz w:val="16"/>
                <w:szCs w:val="16"/>
                <w:b w:val="1"/>
                <w:bCs w:val="1"/>
                <w:color w:val="auto"/>
                <w:w w:val="93"/>
              </w:rPr>
              <w:t>Incorporated by Reference</w:t>
            </w:r>
          </w:p>
        </w:tc>
        <w:tc>
          <w:tcPr>
            <w:tcW w:w="1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Schedule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Filed</w:t>
            </w:r>
          </w:p>
        </w:tc>
        <w:tc>
          <w:tcPr>
            <w:tcW w:w="0" w:type="dxa"/>
            <w:vAlign w:val="bottom"/>
          </w:tcPr>
          <w:p>
            <w:pPr>
              <w:spacing w:after="0"/>
              <w:rPr>
                <w:sz w:val="1"/>
                <w:szCs w:val="1"/>
                <w:color w:val="auto"/>
              </w:rPr>
            </w:pPr>
          </w:p>
        </w:tc>
      </w:tr>
      <w:tr>
        <w:trPr>
          <w:trHeight w:val="27"/>
        </w:trPr>
        <w:tc>
          <w:tcPr>
            <w:tcW w:w="106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20"/>
            <w:vMerge w:val="restart"/>
          </w:tcPr>
          <w:p>
            <w:pPr>
              <w:ind w:left="14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4"/>
              </w:rPr>
              <w:t>Form</w:t>
            </w:r>
          </w:p>
        </w:tc>
        <w:tc>
          <w:tcPr>
            <w:tcW w:w="13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File Number</w:t>
            </w:r>
          </w:p>
        </w:tc>
        <w:tc>
          <w:tcPr>
            <w:tcW w:w="11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Exhibit</w:t>
            </w:r>
          </w:p>
        </w:tc>
        <w:tc>
          <w:tcPr>
            <w:tcW w:w="17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6"/>
              </w:rPr>
              <w:t>Filed On</w:t>
            </w: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0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20"/>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85"/>
        </w:trPr>
        <w:tc>
          <w:tcPr>
            <w:tcW w:w="92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24"/>
          </w:tcPr>
          <w:p>
            <w:pPr>
              <w:spacing w:after="0" w:line="185" w:lineRule="exact"/>
              <w:rPr>
                <w:rFonts w:ascii="Arial" w:cs="Arial" w:eastAsia="Arial" w:hAnsi="Arial"/>
                <w:sz w:val="18"/>
                <w:szCs w:val="18"/>
                <w:color w:val="0000FF"/>
              </w:rPr>
            </w:pPr>
            <w:hyperlink r:id="rId16">
              <w:r>
                <w:rPr>
                  <w:rFonts w:ascii="Arial" w:cs="Arial" w:eastAsia="Arial" w:hAnsi="Arial"/>
                  <w:sz w:val="18"/>
                  <w:szCs w:val="18"/>
                  <w:color w:val="0000FF"/>
                </w:rPr>
                <w:t>Amended and Restated Certificate of</w:t>
              </w:r>
            </w:hyperlink>
          </w:p>
        </w:tc>
        <w:tc>
          <w:tcPr>
            <w:tcW w:w="120" w:type="dxa"/>
            <w:vAlign w:val="bottom"/>
          </w:tcPr>
          <w:p>
            <w:pPr>
              <w:spacing w:after="0"/>
              <w:rPr>
                <w:sz w:val="16"/>
                <w:szCs w:val="16"/>
                <w:color w:val="auto"/>
              </w:rPr>
            </w:pPr>
          </w:p>
        </w:tc>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center"/>
              <w:ind w:right="91"/>
              <w:spacing w:after="0" w:line="185" w:lineRule="exact"/>
              <w:rPr>
                <w:sz w:val="20"/>
                <w:szCs w:val="20"/>
                <w:color w:val="auto"/>
              </w:rPr>
            </w:pPr>
            <w:r>
              <w:rPr>
                <w:rFonts w:ascii="Arial" w:cs="Arial" w:eastAsia="Arial" w:hAnsi="Arial"/>
                <w:sz w:val="18"/>
                <w:szCs w:val="18"/>
                <w:color w:val="auto"/>
                <w:w w:val="90"/>
              </w:rPr>
              <w:t>October 19, 2018</w:t>
            </w:r>
          </w:p>
        </w:tc>
        <w:tc>
          <w:tcPr>
            <w:tcW w:w="16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80" w:type="dxa"/>
            <w:vAlign w:val="bottom"/>
            <w:tcBorders>
              <w:top w:val="single" w:sz="8" w:color="0000FF"/>
            </w:tcBorders>
            <w:gridSpan w:val="11"/>
          </w:tcPr>
          <w:p>
            <w:pPr>
              <w:spacing w:after="0" w:line="156"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Incorporation of the Registrant, as</w:t>
              </w:r>
            </w:hyperlink>
          </w:p>
        </w:tc>
        <w:tc>
          <w:tcPr>
            <w:tcW w:w="920" w:type="dxa"/>
            <w:vAlign w:val="bottom"/>
            <w:gridSpan w:val="14"/>
          </w:tcPr>
          <w:p>
            <w:pPr>
              <w:spacing w:after="0" w:line="156" w:lineRule="exact"/>
              <w:rPr>
                <w:rFonts w:ascii="Arial" w:cs="Arial" w:eastAsia="Arial" w:hAnsi="Arial"/>
                <w:sz w:val="18"/>
                <w:szCs w:val="18"/>
                <w:color w:val="0000FF"/>
              </w:rPr>
            </w:pPr>
            <w:hyperlink r:id="rId16">
              <w:r>
                <w:rPr>
                  <w:rFonts w:ascii="Arial" w:cs="Arial" w:eastAsia="Arial" w:hAnsi="Arial"/>
                  <w:sz w:val="18"/>
                  <w:szCs w:val="18"/>
                  <w:color w:val="0000FF"/>
                </w:rPr>
                <w:t>currently in</w:t>
              </w:r>
            </w:hyperlink>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effect.</w:t>
              </w:r>
            </w:hyperlink>
          </w:p>
        </w:tc>
        <w:tc>
          <w:tcPr>
            <w:tcW w:w="2880" w:type="dxa"/>
            <w:vAlign w:val="bottom"/>
            <w:tcBorders>
              <w:top w:val="single" w:sz="8" w:color="0000FF"/>
            </w:tcBorders>
            <w:gridSpan w:val="21"/>
          </w:tcPr>
          <w:p>
            <w:pPr>
              <w:spacing w:after="0"/>
              <w:rPr>
                <w:sz w:val="13"/>
                <w:szCs w:val="13"/>
                <w:color w:val="auto"/>
              </w:rPr>
            </w:pPr>
          </w:p>
        </w:tc>
        <w:tc>
          <w:tcPr>
            <w:tcW w:w="260" w:type="dxa"/>
            <w:vAlign w:val="bottom"/>
            <w:gridSpan w:val="2"/>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5"/>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Bylaws of the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Registrant, as currently in effect.</w:t>
              </w:r>
            </w:hyperlink>
          </w:p>
        </w:tc>
        <w:tc>
          <w:tcPr>
            <w:tcW w:w="3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5"/>
          </w:tcPr>
          <w:p>
            <w:pPr>
              <w:spacing w:after="0"/>
              <w:rPr>
                <w:rFonts w:ascii="Arial" w:cs="Arial" w:eastAsia="Arial" w:hAnsi="Arial"/>
                <w:sz w:val="18"/>
                <w:szCs w:val="18"/>
                <w:color w:val="0000FF"/>
              </w:rPr>
            </w:pPr>
            <w:hyperlink r:id="rId18">
              <w:r>
                <w:rPr>
                  <w:rFonts w:ascii="Arial" w:cs="Arial" w:eastAsia="Arial" w:hAnsi="Arial"/>
                  <w:sz w:val="18"/>
                  <w:szCs w:val="18"/>
                  <w:color w:val="0000FF"/>
                </w:rPr>
                <w:t>Form of Registrant’s Common Stock</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8">
              <w:r>
                <w:rPr>
                  <w:rFonts w:ascii="Arial" w:cs="Arial" w:eastAsia="Arial" w:hAnsi="Arial"/>
                  <w:sz w:val="18"/>
                  <w:szCs w:val="18"/>
                  <w:color w:val="0000FF"/>
                </w:rPr>
                <w:t>Certificate.</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Opinion of Cooley LLP.</w:t>
            </w:r>
          </w:p>
        </w:tc>
        <w:tc>
          <w:tcPr>
            <w:tcW w:w="1860" w:type="dxa"/>
            <w:vAlign w:val="bottom"/>
            <w:gridSpan w:val="18"/>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5"/>
          </w:tcPr>
          <w:p>
            <w:pPr>
              <w:spacing w:after="0"/>
              <w:rPr>
                <w:sz w:val="20"/>
                <w:szCs w:val="20"/>
                <w:color w:val="auto"/>
              </w:rPr>
            </w:pPr>
            <w:r>
              <w:rPr>
                <w:rFonts w:ascii="Arial" w:cs="Arial" w:eastAsia="Arial" w:hAnsi="Arial"/>
                <w:sz w:val="18"/>
                <w:szCs w:val="18"/>
                <w:color w:val="0000FF"/>
              </w:rPr>
              <w:t>Consent of PricewaterhouseCoopers LLP,</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87"/>
              </w:rPr>
              <w:t>Independent Registered Public Accounting</w:t>
            </w:r>
          </w:p>
        </w:tc>
        <w:tc>
          <w:tcPr>
            <w:tcW w:w="10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Firm.</w:t>
            </w:r>
          </w:p>
        </w:tc>
        <w:tc>
          <w:tcPr>
            <w:tcW w:w="2700" w:type="dxa"/>
            <w:vAlign w:val="bottom"/>
            <w:gridSpan w:val="15"/>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5"/>
          </w:tcPr>
          <w:p>
            <w:pPr>
              <w:spacing w:after="0"/>
              <w:rPr>
                <w:sz w:val="20"/>
                <w:szCs w:val="20"/>
                <w:color w:val="auto"/>
              </w:rPr>
            </w:pPr>
            <w:r>
              <w:rPr>
                <w:rFonts w:ascii="Arial" w:cs="Arial" w:eastAsia="Arial" w:hAnsi="Arial"/>
                <w:sz w:val="18"/>
                <w:szCs w:val="18"/>
                <w:color w:val="0000FF"/>
              </w:rPr>
              <w:t>Power of Attorney (included on the signature</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0"/>
              </w:rPr>
              <w:t>page of this Form S-8).</w:t>
            </w:r>
          </w:p>
        </w:tc>
        <w:tc>
          <w:tcPr>
            <w:tcW w:w="16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5"/>
          </w:tcPr>
          <w:p>
            <w:pPr>
              <w:spacing w:after="0"/>
              <w:rPr>
                <w:rFonts w:ascii="Arial" w:cs="Arial" w:eastAsia="Arial" w:hAnsi="Arial"/>
                <w:sz w:val="18"/>
                <w:szCs w:val="18"/>
                <w:color w:val="0000FF"/>
              </w:rPr>
            </w:pPr>
            <w:hyperlink r:id="rId19">
              <w:r>
                <w:rPr>
                  <w:rFonts w:ascii="Arial" w:cs="Arial" w:eastAsia="Arial" w:hAnsi="Arial"/>
                  <w:sz w:val="18"/>
                  <w:szCs w:val="18"/>
                  <w:color w:val="0000FF"/>
                </w:rPr>
                <w:t>2018 Equity Incentive Plan.</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5"/>
          </w:tcPr>
          <w:p>
            <w:pPr>
              <w:spacing w:after="0"/>
              <w:rPr>
                <w:rFonts w:ascii="Arial" w:cs="Arial" w:eastAsia="Arial" w:hAnsi="Arial"/>
                <w:sz w:val="18"/>
                <w:szCs w:val="18"/>
                <w:color w:val="0000FF"/>
              </w:rPr>
            </w:pPr>
            <w:hyperlink r:id="rId20">
              <w:r>
                <w:rPr>
                  <w:rFonts w:ascii="Arial" w:cs="Arial" w:eastAsia="Arial" w:hAnsi="Arial"/>
                  <w:sz w:val="18"/>
                  <w:szCs w:val="18"/>
                  <w:color w:val="0000FF"/>
                </w:rPr>
                <w:t>Forms of Stock Option Grant Notice, Option</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Agreement and Notice of Exercise under the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
              <w:r>
                <w:rPr>
                  <w:rFonts w:ascii="Arial" w:cs="Arial" w:eastAsia="Arial" w:hAnsi="Arial"/>
                  <w:sz w:val="18"/>
                  <w:szCs w:val="18"/>
                  <w:color w:val="0000FF"/>
                </w:rPr>
                <w:t>2018 Equity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25"/>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Forms of Restricted Stock Unit Grant Notice</w:t>
              </w:r>
            </w:hyperlink>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tcBorders>
            <w:gridSpan w:val="20"/>
          </w:tcPr>
          <w:p>
            <w:pPr>
              <w:spacing w:after="0" w:line="15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and Restricted Stock Unit Award Agreement</w:t>
              </w:r>
            </w:hyperlink>
          </w:p>
        </w:tc>
        <w:tc>
          <w:tcPr>
            <w:tcW w:w="40" w:type="dxa"/>
            <w:vAlign w:val="bottom"/>
            <w:gridSpan w:val="2"/>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under the 2018 Equity Incentive Plan.</w:t>
              </w:r>
            </w:hyperlink>
          </w:p>
        </w:tc>
        <w:tc>
          <w:tcPr>
            <w:tcW w:w="48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bottom w:val="single" w:sz="8" w:color="0000FF"/>
            </w:tcBorders>
            <w:gridSpan w:val="12"/>
          </w:tcPr>
          <w:p>
            <w:pPr>
              <w:spacing w:after="0"/>
              <w:rPr>
                <w:rFonts w:ascii="Arial" w:cs="Arial" w:eastAsia="Arial" w:hAnsi="Arial"/>
                <w:sz w:val="18"/>
                <w:szCs w:val="18"/>
                <w:color w:val="0000FF"/>
                <w:w w:val="88"/>
              </w:rPr>
            </w:pPr>
            <w:hyperlink r:id="rId22">
              <w:r>
                <w:rPr>
                  <w:rFonts w:ascii="Arial" w:cs="Arial" w:eastAsia="Arial" w:hAnsi="Arial"/>
                  <w:sz w:val="18"/>
                  <w:szCs w:val="18"/>
                  <w:color w:val="0000FF"/>
                  <w:w w:val="88"/>
                </w:rPr>
                <w:t>2018 Employee Stock Purchase Plan.</w:t>
              </w:r>
            </w:hyperlink>
          </w:p>
        </w:tc>
        <w:tc>
          <w:tcPr>
            <w:tcW w:w="900" w:type="dxa"/>
            <w:vAlign w:val="bottom"/>
            <w:gridSpan w:val="13"/>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333-227445</w:t>
            </w:r>
          </w:p>
        </w:tc>
        <w:tc>
          <w:tcPr>
            <w:tcW w:w="14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color w:val="auto"/>
              </w:rPr>
              <w:t>October 5, 2018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25"/>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Form of Performance-Based Restricted Stock</w:t>
              </w:r>
            </w:hyperlink>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001-38701</w:t>
            </w: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January 10, 2022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3">
              <w:r>
                <w:rPr>
                  <w:rFonts w:ascii="Arial" w:cs="Arial" w:eastAsia="Arial" w:hAnsi="Arial"/>
                  <w:sz w:val="18"/>
                  <w:szCs w:val="18"/>
                  <w:color w:val="0000FF"/>
                </w:rPr>
                <w:t>Unit Agreement</w:t>
              </w:r>
            </w:hyperlink>
          </w:p>
        </w:tc>
        <w:tc>
          <w:tcPr>
            <w:tcW w:w="30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2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3"/>
              </w:rPr>
              <w:t>107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Filing Fee Table</w:t>
            </w:r>
          </w:p>
        </w:tc>
        <w:tc>
          <w:tcPr>
            <w:tcW w:w="2420" w:type="dxa"/>
            <w:vAlign w:val="bottom"/>
            <w:gridSpan w:val="20"/>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x</w:t>
            </w:r>
          </w:p>
        </w:tc>
        <w:tc>
          <w:tcPr>
            <w:tcW w:w="0" w:type="dxa"/>
            <w:vAlign w:val="bottom"/>
          </w:tcPr>
          <w:p>
            <w:pPr>
              <w:spacing w:after="0"/>
              <w:rPr>
                <w:sz w:val="1"/>
                <w:szCs w:val="1"/>
                <w:color w:val="auto"/>
              </w:rPr>
            </w:pPr>
          </w:p>
        </w:tc>
      </w:tr>
    </w:tbl>
    <w:p>
      <w:pPr>
        <w:sectPr>
          <w:pgSz w:w="11900" w:h="16838" w:orient="portrait"/>
          <w:cols w:equalWidth="0" w:num="1">
            <w:col w:w="11120"/>
          </w:cols>
          <w:pgMar w:left="320" w:top="769"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Santa Clara, State of California, on this 2nd day of March 2023.</w:t>
      </w:r>
    </w:p>
    <w:p>
      <w:pPr>
        <w:spacing w:after="0" w:line="112"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SI-BONE, Inc.</w:t>
      </w:r>
    </w:p>
    <w:p>
      <w:pPr>
        <w:spacing w:after="0" w:line="81"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A. Francis</w:t>
            </w:r>
          </w:p>
        </w:tc>
      </w:tr>
      <w:tr>
        <w:trPr>
          <w:trHeight w:val="222"/>
        </w:trPr>
        <w:tc>
          <w:tcPr>
            <w:tcW w:w="82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Laura A. Francis</w:t>
            </w:r>
          </w:p>
        </w:tc>
      </w:tr>
      <w:tr>
        <w:trPr>
          <w:trHeight w:val="230"/>
        </w:trPr>
        <w:tc>
          <w:tcPr>
            <w:tcW w:w="8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Laura A. Francis, and Michael A.</w:t>
      </w:r>
      <w:r>
        <w:rPr>
          <w:rFonts w:ascii="Arial" w:cs="Arial" w:eastAsia="Arial" w:hAnsi="Arial"/>
          <w:sz w:val="17"/>
          <w:szCs w:val="17"/>
          <w:b w:val="1"/>
          <w:bCs w:val="1"/>
          <w:color w:val="auto"/>
        </w:rPr>
        <w:t xml:space="preserve"> </w:t>
      </w:r>
      <w:r>
        <w:rPr>
          <w:rFonts w:ascii="Arial" w:cs="Arial" w:eastAsia="Arial" w:hAnsi="Arial"/>
          <w:sz w:val="17"/>
          <w:szCs w:val="17"/>
          <w:color w:val="auto"/>
        </w:rPr>
        <w:t>Pisetsky,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7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240"/>
          </w:cols>
          <w:pgMar w:left="320" w:top="891" w:right="339" w:bottom="1440" w:gutter="0" w:footer="0" w:header="0"/>
        </w:sectPr>
      </w:pPr>
    </w:p>
    <w:p>
      <w:pPr>
        <w:spacing w:after="0" w:line="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Signature</w:t>
      </w:r>
    </w:p>
    <w:p>
      <w:pPr>
        <w:spacing w:after="0" w:line="297"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Laura A. Francis</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Anshul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Anshul Maheshwari</w:t>
      </w:r>
    </w:p>
    <w:p>
      <w:pPr>
        <w:spacing w:after="0" w:line="252"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Timothy E. Davis, Jr.</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Jeffrey W. Dunn</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/s/ John G. Freund,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29210</wp:posOffset>
            </wp:positionV>
            <wp:extent cx="195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3"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John G. Freund, M.D.</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Jeryl L. Hilleman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Jeryl L. Hilleman</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7"/>
          <w:szCs w:val="17"/>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22225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1"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Gregory K. Hinckley</w:t>
      </w:r>
    </w:p>
    <w:p>
      <w:pPr>
        <w:spacing w:after="0" w:line="26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Helen 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Helen Loh</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Mika Nishimura</w:t>
      </w:r>
    </w:p>
    <w:p>
      <w:pPr>
        <w:spacing w:after="0" w:line="306"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195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0"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Keith C. Valentine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jc w:val="center"/>
              <w:ind w:right="410"/>
              <w:spacing w:after="0"/>
              <w:rPr>
                <w:sz w:val="20"/>
                <w:szCs w:val="20"/>
                <w:color w:val="auto"/>
              </w:rPr>
            </w:pPr>
            <w:r>
              <w:rPr>
                <w:rFonts w:ascii="Arial" w:cs="Arial" w:eastAsia="Arial" w:hAnsi="Arial"/>
                <w:sz w:val="18"/>
                <w:szCs w:val="18"/>
                <w:b w:val="1"/>
                <w:bCs w:val="1"/>
                <w:color w:val="auto"/>
                <w:w w:val="97"/>
              </w:rPr>
              <w:t>Title</w:t>
            </w:r>
          </w:p>
        </w:tc>
        <w:tc>
          <w:tcPr>
            <w:tcW w:w="156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Date</w:t>
            </w:r>
          </w:p>
        </w:tc>
      </w:tr>
      <w:tr>
        <w:trPr>
          <w:trHeight w:val="405"/>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 and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230"/>
        </w:trPr>
        <w:tc>
          <w:tcPr>
            <w:tcW w:w="4660" w:type="dxa"/>
            <w:vAlign w:val="bottom"/>
          </w:tcPr>
          <w:p>
            <w:pPr>
              <w:jc w:val="center"/>
              <w:ind w:right="39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Duly Authorized Officer and Principal Executive Officer</w:t>
            </w:r>
            <w:r>
              <w:rPr>
                <w:rFonts w:ascii="Arial" w:cs="Arial" w:eastAsia="Arial" w:hAnsi="Arial"/>
                <w:sz w:val="14"/>
                <w:szCs w:val="14"/>
                <w:color w:val="auto"/>
                <w:w w:val="93"/>
              </w:rPr>
              <w:t>)</w:t>
            </w:r>
          </w:p>
        </w:tc>
        <w:tc>
          <w:tcPr>
            <w:tcW w:w="1560" w:type="dxa"/>
            <w:vAlign w:val="bottom"/>
          </w:tcPr>
          <w:p>
            <w:pPr>
              <w:spacing w:after="0"/>
              <w:rPr>
                <w:sz w:val="20"/>
                <w:szCs w:val="20"/>
                <w:color w:val="auto"/>
              </w:rPr>
            </w:pPr>
          </w:p>
        </w:tc>
      </w:tr>
      <w:tr>
        <w:trPr>
          <w:trHeight w:val="512"/>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4"/>
              </w:rPr>
              <w:t>Chief Financial Officer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230"/>
        </w:trPr>
        <w:tc>
          <w:tcPr>
            <w:tcW w:w="4660" w:type="dxa"/>
            <w:vAlign w:val="bottom"/>
          </w:tcPr>
          <w:p>
            <w:pPr>
              <w:jc w:val="center"/>
              <w:ind w:right="410"/>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560" w:type="dxa"/>
            <w:vAlign w:val="bottom"/>
          </w:tcPr>
          <w:p>
            <w:pPr>
              <w:spacing w:after="0"/>
              <w:rPr>
                <w:sz w:val="20"/>
                <w:szCs w:val="20"/>
                <w:color w:val="auto"/>
              </w:rPr>
            </w:pPr>
          </w:p>
        </w:tc>
      </w:tr>
      <w:tr>
        <w:trPr>
          <w:trHeight w:val="566"/>
        </w:trPr>
        <w:tc>
          <w:tcPr>
            <w:tcW w:w="4660" w:type="dxa"/>
            <w:vAlign w:val="bottom"/>
          </w:tcPr>
          <w:p>
            <w:pPr>
              <w:jc w:val="center"/>
              <w:ind w:right="390"/>
              <w:spacing w:after="0"/>
              <w:rPr>
                <w:sz w:val="20"/>
                <w:szCs w:val="20"/>
                <w:color w:val="auto"/>
              </w:rPr>
            </w:pPr>
            <w:r>
              <w:rPr>
                <w:rFonts w:ascii="Arial" w:cs="Arial" w:eastAsia="Arial" w:hAnsi="Arial"/>
                <w:sz w:val="18"/>
                <w:szCs w:val="18"/>
                <w:color w:val="auto"/>
                <w:w w:val="91"/>
              </w:rPr>
              <w:t>Lead Independent Director,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2"/>
              </w:rPr>
              <w:t>Executive Chairman, 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70"/>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688"/>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2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70"/>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r>
        <w:trPr>
          <w:trHeight w:val="769"/>
        </w:trPr>
        <w:tc>
          <w:tcPr>
            <w:tcW w:w="4660" w:type="dxa"/>
            <w:vAlign w:val="bottom"/>
          </w:tcPr>
          <w:p>
            <w:pPr>
              <w:jc w:val="center"/>
              <w:ind w:right="410"/>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10"/>
              <w:spacing w:after="0"/>
              <w:rPr>
                <w:sz w:val="20"/>
                <w:szCs w:val="20"/>
                <w:color w:val="auto"/>
              </w:rPr>
            </w:pPr>
            <w:r>
              <w:rPr>
                <w:rFonts w:ascii="Arial" w:cs="Arial" w:eastAsia="Arial" w:hAnsi="Arial"/>
                <w:sz w:val="18"/>
                <w:szCs w:val="18"/>
                <w:color w:val="auto"/>
                <w:w w:val="92"/>
              </w:rPr>
              <w:t>March 2, 2023</w:t>
            </w:r>
          </w:p>
        </w:tc>
      </w:tr>
    </w:tbl>
    <w:p>
      <w:pPr>
        <w:sectPr>
          <w:pgSz w:w="11900" w:h="16838" w:orient="portrait"/>
          <w:cols w:equalWidth="0" w:num="2">
            <w:col w:w="3860" w:space="720"/>
            <w:col w:w="6660"/>
          </w:cols>
          <w:pgMar w:left="320" w:top="891" w:right="339" w:bottom="1440" w:gutter="0" w:footer="0" w:header="0"/>
          <w:type w:val="continuous"/>
        </w:sectPr>
      </w:pPr>
    </w:p>
    <w:bookmarkStart w:id="5" w:name="page6"/>
    <w:bookmarkEnd w:id="5"/>
    <w:p>
      <w:pPr>
        <w:ind w:left="10180"/>
        <w:spacing w:after="0"/>
        <w:rPr>
          <w:sz w:val="20"/>
          <w:szCs w:val="20"/>
          <w:color w:val="auto"/>
        </w:rPr>
      </w:pPr>
      <w:r>
        <w:rPr>
          <w:rFonts w:ascii="Arial" w:cs="Arial" w:eastAsia="Arial" w:hAnsi="Arial"/>
          <w:sz w:val="19"/>
          <w:szCs w:val="19"/>
          <w:b w:val="1"/>
          <w:bCs w:val="1"/>
          <w:color w:val="auto"/>
        </w:rPr>
        <w:t>Exhibit 107</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Calculation of Filing Fee Table</w:t>
      </w:r>
    </w:p>
    <w:p>
      <w:pPr>
        <w:jc w:val="center"/>
        <w:ind w:right="20"/>
        <w:spacing w:after="0" w:line="234" w:lineRule="auto"/>
        <w:rPr>
          <w:sz w:val="20"/>
          <w:szCs w:val="20"/>
          <w:color w:val="auto"/>
        </w:rPr>
      </w:pPr>
      <w:r>
        <w:rPr>
          <w:rFonts w:ascii="Arial" w:cs="Arial" w:eastAsia="Arial" w:hAnsi="Arial"/>
          <w:sz w:val="18"/>
          <w:szCs w:val="18"/>
          <w:u w:val="single" w:color="auto"/>
          <w:color w:val="auto"/>
        </w:rPr>
        <w:t>Form S-8</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Type)</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SI-BONE,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1: Newly Registered</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400" w:type="dxa"/>
            <w:vAlign w:val="bottom"/>
            <w:tcBorders>
              <w:top w:val="single" w:sz="8" w:color="auto"/>
              <w:lef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Security Type</w:t>
            </w:r>
          </w:p>
        </w:tc>
        <w:tc>
          <w:tcPr>
            <w:tcW w:w="1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8"/>
              </w:rPr>
              <w:t>Security Class</w:t>
            </w:r>
          </w:p>
        </w:tc>
        <w:tc>
          <w:tcPr>
            <w:tcW w:w="1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Fee Calculation</w:t>
            </w:r>
          </w:p>
        </w:tc>
        <w:tc>
          <w:tcPr>
            <w:tcW w:w="1340" w:type="dxa"/>
            <w:vAlign w:val="bottom"/>
            <w:tcBorders>
              <w:top w:val="single" w:sz="8" w:color="auto"/>
            </w:tcBorders>
          </w:tcPr>
          <w:p>
            <w:pPr>
              <w:ind w:left="340"/>
              <w:spacing w:after="0" w:line="205" w:lineRule="exact"/>
              <w:rPr>
                <w:sz w:val="20"/>
                <w:szCs w:val="20"/>
                <w:color w:val="auto"/>
              </w:rPr>
            </w:pPr>
            <w:r>
              <w:rPr>
                <w:rFonts w:ascii="Arial" w:cs="Arial" w:eastAsia="Arial" w:hAnsi="Arial"/>
                <w:sz w:val="18"/>
                <w:szCs w:val="18"/>
                <w:b w:val="1"/>
                <w:bCs w:val="1"/>
                <w:color w:val="auto"/>
              </w:rPr>
              <w:t>Amount</w:t>
            </w:r>
          </w:p>
        </w:tc>
        <w:tc>
          <w:tcPr>
            <w:tcW w:w="1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6"/>
              </w:rPr>
              <w:t>Proposed</w:t>
            </w:r>
          </w:p>
        </w:tc>
        <w:tc>
          <w:tcPr>
            <w:tcW w:w="13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Maximum</w:t>
            </w:r>
          </w:p>
        </w:tc>
        <w:tc>
          <w:tcPr>
            <w:tcW w:w="14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Fee Rate</w:t>
            </w:r>
          </w:p>
        </w:tc>
        <w:tc>
          <w:tcPr>
            <w:tcW w:w="14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Amount of</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Title</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Rule</w:t>
            </w: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0"/>
              </w:rPr>
              <w:t>Registered(1)</w:t>
            </w: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Maximum</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Aggregate</w:t>
            </w: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9"/>
              </w:rPr>
              <w:t>Registration Fee</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Offering Price</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Offering Price</w:t>
            </w: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4"/>
        </w:trPr>
        <w:tc>
          <w:tcPr>
            <w:tcW w:w="1400" w:type="dxa"/>
            <w:vAlign w:val="bottom"/>
            <w:tcBorders>
              <w:lef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195"/>
        </w:trPr>
        <w:tc>
          <w:tcPr>
            <w:tcW w:w="1400" w:type="dxa"/>
            <w:vAlign w:val="bottom"/>
            <w:tcBorders>
              <w:lef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Common Stock,</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2"/>
              </w:rPr>
              <w:t>Other(2)</w:t>
            </w:r>
          </w:p>
        </w:tc>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89"/>
              </w:rPr>
              <w:t>1,736,578</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0"/>
              </w:rPr>
              <w:t>$19.86 (2)</w:t>
            </w: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89"/>
              </w:rPr>
              <w:t>$34,488,439</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$110.20 per $1.0</w:t>
            </w: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$3,800.63</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0"/>
              </w:rPr>
              <w:t>$0.0001 par value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million</w:t>
            </w: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7"/>
              </w:rPr>
              <w:t>per share, SI-</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3"/>
              </w:rPr>
              <w:t>BONE, Inc. 2018</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4"/>
              </w:rPr>
              <w:t>Equity Incentive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1400" w:type="dxa"/>
            <w:vAlign w:val="bottom"/>
            <w:tcBorders>
              <w:left w:val="single" w:sz="8" w:color="auto"/>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195"/>
        </w:trPr>
        <w:tc>
          <w:tcPr>
            <w:tcW w:w="1400" w:type="dxa"/>
            <w:vAlign w:val="bottom"/>
            <w:tcBorders>
              <w:lef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Equity</w:t>
            </w: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Common Stock,</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2"/>
              </w:rPr>
              <w:t>Other(2)</w:t>
            </w:r>
          </w:p>
        </w:tc>
        <w:tc>
          <w:tcPr>
            <w:tcW w:w="1340" w:type="dxa"/>
            <w:vAlign w:val="bottom"/>
          </w:tcPr>
          <w:p>
            <w:pPr>
              <w:jc w:val="center"/>
              <w:spacing w:after="0" w:line="195" w:lineRule="exact"/>
              <w:rPr>
                <w:sz w:val="20"/>
                <w:szCs w:val="20"/>
                <w:color w:val="auto"/>
              </w:rPr>
            </w:pPr>
            <w:r>
              <w:rPr>
                <w:rFonts w:ascii="Arial" w:cs="Arial" w:eastAsia="Arial" w:hAnsi="Arial"/>
                <w:sz w:val="18"/>
                <w:szCs w:val="18"/>
                <w:color w:val="auto"/>
                <w:w w:val="92"/>
              </w:rPr>
              <w:t>347,315</w:t>
            </w:r>
          </w:p>
        </w:tc>
        <w:tc>
          <w:tcPr>
            <w:tcW w:w="1420" w:type="dxa"/>
            <w:vAlign w:val="bottom"/>
          </w:tcPr>
          <w:p>
            <w:pPr>
              <w:jc w:val="center"/>
              <w:spacing w:after="0" w:line="195" w:lineRule="exact"/>
              <w:rPr>
                <w:sz w:val="20"/>
                <w:szCs w:val="20"/>
                <w:color w:val="auto"/>
              </w:rPr>
            </w:pPr>
            <w:r>
              <w:rPr>
                <w:rFonts w:ascii="Arial" w:cs="Arial" w:eastAsia="Arial" w:hAnsi="Arial"/>
                <w:sz w:val="18"/>
                <w:szCs w:val="18"/>
                <w:color w:val="auto"/>
                <w:w w:val="90"/>
              </w:rPr>
              <w:t>$16.88 (3)</w:t>
            </w:r>
          </w:p>
        </w:tc>
        <w:tc>
          <w:tcPr>
            <w:tcW w:w="1380" w:type="dxa"/>
            <w:vAlign w:val="bottom"/>
          </w:tcPr>
          <w:p>
            <w:pPr>
              <w:jc w:val="center"/>
              <w:spacing w:after="0" w:line="195" w:lineRule="exact"/>
              <w:rPr>
                <w:sz w:val="20"/>
                <w:szCs w:val="20"/>
                <w:color w:val="auto"/>
              </w:rPr>
            </w:pPr>
            <w:r>
              <w:rPr>
                <w:rFonts w:ascii="Arial" w:cs="Arial" w:eastAsia="Arial" w:hAnsi="Arial"/>
                <w:sz w:val="18"/>
                <w:szCs w:val="18"/>
                <w:color w:val="auto"/>
                <w:w w:val="90"/>
              </w:rPr>
              <w:t>$5,862,677</w:t>
            </w:r>
          </w:p>
        </w:tc>
        <w:tc>
          <w:tcPr>
            <w:tcW w:w="14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$110.20 per $1.0</w:t>
            </w:r>
          </w:p>
        </w:tc>
        <w:tc>
          <w:tcPr>
            <w:tcW w:w="14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$646.07</w:t>
            </w: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0"/>
              </w:rPr>
              <w:t>$0.0001 par value</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million</w:t>
            </w: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87"/>
              </w:rPr>
              <w:t>per share, SI-</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3"/>
              </w:rPr>
              <w:t>BONE, Inc. 2018</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03"/>
        </w:trPr>
        <w:tc>
          <w:tcPr>
            <w:tcW w:w="1400" w:type="dxa"/>
            <w:vAlign w:val="bottom"/>
            <w:tcBorders>
              <w:left w:val="single" w:sz="8" w:color="auto"/>
            </w:tcBorders>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0"/>
              </w:rPr>
              <w:t>Employee Stock</w:t>
            </w:r>
          </w:p>
        </w:tc>
        <w:tc>
          <w:tcPr>
            <w:tcW w:w="1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Purchase Plan</w:t>
            </w:r>
          </w:p>
        </w:tc>
        <w:tc>
          <w:tcPr>
            <w:tcW w:w="1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r>
      <w:tr>
        <w:trPr>
          <w:trHeight w:val="27"/>
        </w:trPr>
        <w:tc>
          <w:tcPr>
            <w:tcW w:w="2840" w:type="dxa"/>
            <w:vAlign w:val="bottom"/>
            <w:tcBorders>
              <w:left w:val="single" w:sz="8" w:color="auto"/>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28"/>
        </w:trPr>
        <w:tc>
          <w:tcPr>
            <w:tcW w:w="28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Offering Amounts</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$40,351,116</w:t>
            </w:r>
          </w:p>
        </w:tc>
        <w:tc>
          <w:tcPr>
            <w:tcW w:w="14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$4,446.70</w:t>
            </w:r>
          </w:p>
        </w:tc>
      </w:tr>
      <w:tr>
        <w:trPr>
          <w:trHeight w:val="22"/>
        </w:trPr>
        <w:tc>
          <w:tcPr>
            <w:tcW w:w="2840" w:type="dxa"/>
            <w:vAlign w:val="bottom"/>
            <w:tcBorders>
              <w:left w:val="single" w:sz="8" w:color="auto"/>
              <w:bottom w:val="single" w:sz="8" w:color="auto"/>
            </w:tcBorders>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 Fees Previously Paid</w:t>
            </w: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
        </w:trPr>
        <w:tc>
          <w:tcPr>
            <w:tcW w:w="1400" w:type="dxa"/>
            <w:vAlign w:val="bottom"/>
            <w:tcBorders>
              <w:left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40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Total Fee Offsets</w:t>
            </w:r>
          </w:p>
        </w:tc>
        <w:tc>
          <w:tcPr>
            <w:tcW w:w="1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2"/>
        </w:trPr>
        <w:tc>
          <w:tcPr>
            <w:tcW w:w="1400" w:type="dxa"/>
            <w:vAlign w:val="bottom"/>
            <w:tcBorders>
              <w:left w:val="single" w:sz="8" w:color="auto"/>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400" w:type="dxa"/>
            <w:vAlign w:val="bottom"/>
            <w:tcBorders>
              <w:left w:val="single" w:sz="8" w:color="auto"/>
            </w:tcBorders>
          </w:tcPr>
          <w:p>
            <w:pPr>
              <w:spacing w:after="0"/>
              <w:rPr>
                <w:sz w:val="19"/>
                <w:szCs w:val="19"/>
                <w:color w:val="auto"/>
              </w:rPr>
            </w:pPr>
          </w:p>
        </w:tc>
        <w:tc>
          <w:tcPr>
            <w:tcW w:w="2860" w:type="dxa"/>
            <w:vAlign w:val="bottom"/>
            <w:gridSpan w:val="2"/>
          </w:tcPr>
          <w:p>
            <w:pPr>
              <w:ind w:left="960"/>
              <w:spacing w:after="0"/>
              <w:rPr>
                <w:sz w:val="20"/>
                <w:szCs w:val="20"/>
                <w:color w:val="auto"/>
              </w:rPr>
            </w:pPr>
            <w:r>
              <w:rPr>
                <w:rFonts w:ascii="Arial" w:cs="Arial" w:eastAsia="Arial" w:hAnsi="Arial"/>
                <w:sz w:val="18"/>
                <w:szCs w:val="18"/>
                <w:b w:val="1"/>
                <w:bCs w:val="1"/>
                <w:color w:val="auto"/>
              </w:rPr>
              <w:t>Net Fee Due</w:t>
            </w: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$4,446.70</w:t>
            </w:r>
          </w:p>
        </w:tc>
      </w:tr>
      <w:tr>
        <w:trPr>
          <w:trHeight w:val="22"/>
        </w:trPr>
        <w:tc>
          <w:tcPr>
            <w:tcW w:w="1400" w:type="dxa"/>
            <w:vAlign w:val="bottom"/>
            <w:tcBorders>
              <w:left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20" w:firstLine="8"/>
        <w:spacing w:after="0" w:line="262"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also covers any additional securities that may be offered or become issuable under the SI-BONE, Inc. 2018 Equity Incentive Plan or SI-BONE, Inc. 2018 Employee Stock Purchase (the “2018 ESPP”) in connection with any stock split, stock dividend, recapitalization or any other similar transaction effected without receipt of consideration, which results in an increase in the number of the Registrant’s outstanding shares of Common Stock.</w:t>
      </w:r>
    </w:p>
    <w:p>
      <w:pPr>
        <w:spacing w:after="0" w:line="199" w:lineRule="exact"/>
        <w:rPr>
          <w:rFonts w:ascii="Arial" w:cs="Arial" w:eastAsia="Arial" w:hAnsi="Arial"/>
          <w:sz w:val="17"/>
          <w:szCs w:val="17"/>
          <w:color w:val="auto"/>
        </w:rPr>
      </w:pPr>
    </w:p>
    <w:p>
      <w:pPr>
        <w:jc w:val="both"/>
        <w:ind w:right="220" w:firstLine="8"/>
        <w:spacing w:after="0" w:line="248"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in accordance with Rules 457(c) and 457(h) under the Securities Act, solely for the purposes of calculating the registration fee, based upon $19.86, which is the average of the high and low selling prices of the Registrant’s Common Stock as reported on The Nasdaq Global Market on February 28, 2023.</w:t>
      </w:r>
    </w:p>
    <w:p>
      <w:pPr>
        <w:spacing w:after="0" w:line="208" w:lineRule="exact"/>
        <w:rPr>
          <w:rFonts w:ascii="Arial" w:cs="Arial" w:eastAsia="Arial" w:hAnsi="Arial"/>
          <w:sz w:val="18"/>
          <w:szCs w:val="18"/>
          <w:color w:val="auto"/>
        </w:rPr>
      </w:pPr>
    </w:p>
    <w:p>
      <w:pPr>
        <w:ind w:right="80" w:firstLine="8"/>
        <w:spacing w:after="0" w:line="261"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Estimated in accordance with Rules 457(c) and (h) promulgated under the Securities Act solely for the purpose of calculating the registration fee on the basis of $16.88 per share, the average of the high and low prices of the Registrant’s Common Stock as reported on the Nasdaq Global Market on February 28, 2023, multiplied by 85%, which is the percentage of the price per share applicable to purchases under the 2018 ESPP.</w:t>
      </w:r>
    </w:p>
    <w:p>
      <w:pPr>
        <w:sectPr>
          <w:pgSz w:w="11900" w:h="16838" w:orient="portrait"/>
          <w:cols w:equalWidth="0" w:num="1">
            <w:col w:w="11260"/>
          </w:cols>
          <w:pgMar w:left="320" w:top="1408" w:right="3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39825" cy="428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11398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Matthew B. Hemington</w:t>
      </w:r>
    </w:p>
    <w:p>
      <w:pPr>
        <w:spacing w:after="0" w:line="19" w:lineRule="exact"/>
        <w:rPr>
          <w:sz w:val="20"/>
          <w:szCs w:val="20"/>
          <w:color w:val="auto"/>
        </w:rPr>
      </w:pPr>
    </w:p>
    <w:p>
      <w:pPr>
        <w:ind w:right="9440" w:firstLine="8"/>
        <w:spacing w:after="0" w:line="328" w:lineRule="auto"/>
        <w:tabs>
          <w:tab w:leader="none" w:pos="176" w:val="left"/>
        </w:tabs>
        <w:numPr>
          <w:ilvl w:val="0"/>
          <w:numId w:val="4"/>
        </w:numPr>
        <w:rPr>
          <w:rFonts w:ascii="Arial" w:cs="Arial" w:eastAsia="Arial" w:hAnsi="Arial"/>
          <w:sz w:val="14"/>
          <w:szCs w:val="14"/>
          <w:color w:val="auto"/>
        </w:rPr>
      </w:pPr>
      <w:r>
        <w:rPr>
          <w:rFonts w:ascii="Arial" w:cs="Arial" w:eastAsia="Arial" w:hAnsi="Arial"/>
          <w:sz w:val="14"/>
          <w:szCs w:val="14"/>
          <w:color w:val="auto"/>
        </w:rPr>
        <w:t>+1 650 843 5062 hemingtonmb@cooley.com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acted as counsel to SI-BONE,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covering the offering of up to 2,083,893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par value $0.0001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consisting of (i) 1,736,578 shares of Common Stock issuable pursuant to the Company’s 2018 Equity Incentive Plan (the “</w:t>
      </w:r>
      <w:r>
        <w:rPr>
          <w:rFonts w:ascii="Arial" w:cs="Arial" w:eastAsia="Arial" w:hAnsi="Arial"/>
          <w:sz w:val="17"/>
          <w:szCs w:val="17"/>
          <w:b w:val="1"/>
          <w:bCs w:val="1"/>
          <w:i w:val="1"/>
          <w:iCs w:val="1"/>
          <w:color w:val="auto"/>
        </w:rPr>
        <w:t>2018 EIP</w:t>
      </w:r>
      <w:r>
        <w:rPr>
          <w:rFonts w:ascii="Arial" w:cs="Arial" w:eastAsia="Arial" w:hAnsi="Arial"/>
          <w:sz w:val="17"/>
          <w:szCs w:val="17"/>
          <w:color w:val="auto"/>
        </w:rPr>
        <w:t>”) and (ii) 347,315 shares of Common Stock issuable pursuant to the Company’s 2018 Employee Stock Purchase Plan (together with the Company’s 2018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this opinion, we have examined and relied upon (a) the Registration Statement and related prospectus, (b) the Company’s certificate of incorporation and bylaws, as currently in effect, (c) the Plans,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execution and delivery are prerequisites to the effectiveness thereof. As to certain factual matters, we have relied upon a certificate of an officer of the Company and have not independently verified such matters.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certain deferred payment arrangements, which will be fully paid and nonassessable when such deferred payments are made in full).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 Matthew B. Hemington</w:t>
            </w:r>
          </w:p>
        </w:tc>
      </w:tr>
      <w:tr>
        <w:trPr>
          <w:trHeight w:val="228"/>
        </w:trPr>
        <w:tc>
          <w:tcPr>
            <w:tcW w:w="6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Matthew B. Hemington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Cooley LLP 3175 Hanover Street Palo Alto, CA 94304-1130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 (650) 843-5000 f: (650) 849-7400 cooley.com</w:t>
      </w:r>
    </w:p>
    <w:p>
      <w:pPr>
        <w:sectPr>
          <w:pgSz w:w="11900" w:h="16838" w:orient="portrait"/>
          <w:cols w:equalWidth="0" w:num="1">
            <w:col w:w="11240"/>
          </w:cols>
          <w:pgMar w:left="320" w:top="769"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39"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We hereby consent to the incorporation by reference in this Registration Statement on Form S-8 of SI-BONE, Inc. of our report dated March 2, 2023 relating to the financial statements, which appears in SI-BONE, Inc.'s Annual Report on Form 10-K for the year ended December 31,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24" Type="http://schemas.openxmlformats.org/officeDocument/2006/relationships/image" Target="media/image1.png"/><Relationship Id="rId25" Type="http://schemas.openxmlformats.org/officeDocument/2006/relationships/image" Target="media/image2.png"/><Relationship Id="rId26" Type="http://schemas.openxmlformats.org/officeDocument/2006/relationships/image" Target="media/image3.png"/><Relationship Id="rId27" Type="http://schemas.openxmlformats.org/officeDocument/2006/relationships/image" Target="media/image4.pn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jpeg"/><Relationship Id="rId8" Type="http://schemas.openxmlformats.org/officeDocument/2006/relationships/hyperlink" Target="http://www.sec.gov/Archives/edgar/data/1459839/000119312518303158/d635537ds8.htm" TargetMode="External"/><Relationship Id="rId9" Type="http://schemas.openxmlformats.org/officeDocument/2006/relationships/hyperlink" Target="http://www.sec.gov/Archives/edgar/data/1459839/000145983919000015/s-8evergreen2019.htm" TargetMode="External"/><Relationship Id="rId10" Type="http://schemas.openxmlformats.org/officeDocument/2006/relationships/hyperlink" Target="http://www.sec.gov/Archives/edgar/data/1459839/000145983920000032/s-8evergreen2020.htm" TargetMode="External"/><Relationship Id="rId11" Type="http://schemas.openxmlformats.org/officeDocument/2006/relationships/hyperlink" Target="https://www.sec.gov/Archives/edgar/data/1459839/000145983921000015/s-8evergreenjanuary2021.htm" TargetMode="External"/><Relationship Id="rId12" Type="http://schemas.openxmlformats.org/officeDocument/2006/relationships/hyperlink" Target="https://www.sec.gov/Archives/edgar/data/1459839/000145983922000020/s-8evergreenjanuary2022.htm" TargetMode="External"/><Relationship Id="rId13" Type="http://schemas.openxmlformats.org/officeDocument/2006/relationships/hyperlink" Target="https://www.sec.gov/ix?doc=/Archives/edgar/data/1459839/000145983923000020/sibn-20221231.htm" TargetMode="External"/><Relationship Id="rId14" Type="http://schemas.openxmlformats.org/officeDocument/2006/relationships/hyperlink" Target="https://www.sec.gov/ix?doc=/Archives/edgar/data/1459839/000145983923000003/sibn-20230106.htm" TargetMode="External"/><Relationship Id="rId15" Type="http://schemas.openxmlformats.org/officeDocument/2006/relationships/hyperlink" Target="http://www.sec.gov/Archives/edgar/data/1459839/000119312518297571/d486750d8a12b.htm" TargetMode="External"/><Relationship Id="rId16" Type="http://schemas.openxmlformats.org/officeDocument/2006/relationships/hyperlink" Target="http://www.sec.gov/Archives/edgar/data/1459839/000119312518303020/d641574dex31.htm" TargetMode="External"/><Relationship Id="rId17" Type="http://schemas.openxmlformats.org/officeDocument/2006/relationships/hyperlink" Target="http://www.sec.gov/Archives/edgar/data/1459839/000119312518293978/d452987dex34.htm" TargetMode="External"/><Relationship Id="rId18" Type="http://schemas.openxmlformats.org/officeDocument/2006/relationships/hyperlink" Target="http://www.sec.gov/Archives/edgar/data/1459839/000119312518293978/d452987dex41.htm" TargetMode="External"/><Relationship Id="rId19" Type="http://schemas.openxmlformats.org/officeDocument/2006/relationships/hyperlink" Target="http://www.sec.gov/Archives/edgar/data/1459839/000119312518293978/d452987dex103.htm" TargetMode="External"/><Relationship Id="rId20" Type="http://schemas.openxmlformats.org/officeDocument/2006/relationships/hyperlink" Target="http://www.sec.gov/Archives/edgar/data/1459839/000119312518293978/d452987dex104.htm" TargetMode="External"/><Relationship Id="rId21" Type="http://schemas.openxmlformats.org/officeDocument/2006/relationships/hyperlink" Target="http://www.sec.gov/Archives/edgar/data/1459839/000119312518293978/d452987dex105.htm" TargetMode="External"/><Relationship Id="rId22" Type="http://schemas.openxmlformats.org/officeDocument/2006/relationships/hyperlink" Target="http://www.sec.gov/Archives/edgar/data/1459839/000119312518293978/d452987dex106.htm" TargetMode="External"/><Relationship Id="rId23" Type="http://schemas.openxmlformats.org/officeDocument/2006/relationships/hyperlink" Target="https://www.sec.gov/Archives/edgar/data/1459839/000145983922000006/si-bonexformofprsugran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2023-03-02T16:19:22Z</dcterms:created>
  <dcterms:modified xsi:type="dcterms:W3CDTF">2023-03-02T16:19:22Z</dcterms:modified>
</cp:coreProperties>
</file>