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3"/>
          <w:szCs w:val="13"/>
          <w:b w:val="1"/>
          <w:bCs w:val="1"/>
          <w:color w:val="auto"/>
        </w:rPr>
        <w:t>As filed with the U.S. Securities and Exchange Commission on March 11, 2020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No. 333-</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09" w:lineRule="exact"/>
        <w:rPr>
          <w:sz w:val="24"/>
          <w:szCs w:val="24"/>
          <w:color w:val="auto"/>
        </w:rPr>
      </w:pPr>
    </w:p>
    <w:p>
      <w:pPr>
        <w:jc w:val="center"/>
        <w:ind w:left="90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left="900"/>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S-8</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0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12"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80"/>
          </w:cols>
          <w:pgMar w:left="500" w:top="657" w:right="519" w:bottom="1440" w:gutter="0" w:footer="0" w:header="0"/>
        </w:sectPr>
      </w:pPr>
    </w:p>
    <w:p>
      <w:pPr>
        <w:spacing w:after="0" w:line="385" w:lineRule="exact"/>
        <w:rPr>
          <w:sz w:val="24"/>
          <w:szCs w:val="24"/>
          <w:color w:val="auto"/>
        </w:rPr>
      </w:pPr>
    </w:p>
    <w:p>
      <w:pPr>
        <w:ind w:left="2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26-2216351</w:t>
      </w:r>
    </w:p>
    <w:p>
      <w:pPr>
        <w:spacing w:after="0" w:line="158" w:lineRule="exact"/>
        <w:rPr>
          <w:sz w:val="24"/>
          <w:szCs w:val="24"/>
          <w:color w:val="auto"/>
        </w:rPr>
      </w:pPr>
    </w:p>
    <w:p>
      <w:pPr>
        <w:sectPr>
          <w:pgSz w:w="11900" w:h="16838" w:orient="portrait"/>
          <w:cols w:equalWidth="0" w:num="2">
            <w:col w:w="7160" w:space="720"/>
            <w:col w:w="3000"/>
          </w:cols>
          <w:pgMar w:left="500" w:top="657" w:right="519" w:bottom="1440" w:gutter="0" w:footer="0" w:header="0"/>
          <w:type w:val="continuous"/>
        </w:sectPr>
      </w:pPr>
    </w:p>
    <w:p>
      <w:pPr>
        <w:ind w:left="13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520" w:space="720"/>
            <w:col w:w="3640"/>
          </w:cols>
          <w:pgMar w:left="500" w:top="657" w:right="51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Laura A. Francis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 Hemington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206" w:lineRule="exact"/>
        <w:rPr>
          <w:sz w:val="24"/>
          <w:szCs w:val="24"/>
          <w:color w:val="auto"/>
        </w:rPr>
      </w:pPr>
    </w:p>
    <w:p>
      <w:pPr>
        <w:jc w:val="cente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1120" w:type="dxa"/>
        <w:tblCellMar>
          <w:top w:w="0" w:type="dxa"/>
          <w:left w:w="0" w:type="dxa"/>
          <w:bottom w:w="0" w:type="dxa"/>
          <w:right w:w="0" w:type="dxa"/>
        </w:tblCellMar>
      </w:tblPr>
      <w:tr>
        <w:trPr>
          <w:trHeight w:val="182"/>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tcPr>
          <w:p>
            <w:pPr>
              <w:ind w:left="136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60"/>
              <w:spacing w:after="0"/>
              <w:rPr>
                <w:sz w:val="20"/>
                <w:szCs w:val="20"/>
                <w:color w:val="auto"/>
              </w:rPr>
            </w:pPr>
            <w:r>
              <w:rPr>
                <w:rFonts w:ascii="Arial" w:cs="Arial" w:eastAsia="Arial" w:hAnsi="Arial"/>
                <w:sz w:val="11"/>
                <w:szCs w:val="11"/>
                <w:color w:val="auto"/>
                <w:w w:val="71"/>
              </w:rPr>
              <w:t>x</w:t>
            </w:r>
          </w:p>
        </w:tc>
      </w:tr>
      <w:tr>
        <w:trPr>
          <w:trHeight w:val="351"/>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ind w:left="136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1020" w:type="dxa"/>
            <w:vAlign w:val="bottom"/>
          </w:tcPr>
          <w:p>
            <w:pPr>
              <w:ind w:left="960"/>
              <w:spacing w:after="0"/>
              <w:rPr>
                <w:sz w:val="20"/>
                <w:szCs w:val="20"/>
                <w:color w:val="auto"/>
              </w:rPr>
            </w:pPr>
            <w:r>
              <w:rPr>
                <w:rFonts w:ascii="Arial" w:cs="Arial" w:eastAsia="Arial" w:hAnsi="Arial"/>
                <w:sz w:val="11"/>
                <w:szCs w:val="11"/>
                <w:color w:val="auto"/>
                <w:w w:val="71"/>
              </w:rPr>
              <w:t>x</w:t>
            </w:r>
          </w:p>
        </w:tc>
      </w:tr>
      <w:tr>
        <w:trPr>
          <w:trHeight w:val="351"/>
        </w:trPr>
        <w:tc>
          <w:tcPr>
            <w:tcW w:w="2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60"/>
              <w:spacing w:after="0"/>
              <w:rPr>
                <w:sz w:val="20"/>
                <w:szCs w:val="20"/>
                <w:color w:val="auto"/>
              </w:rPr>
            </w:pPr>
            <w:r>
              <w:rPr>
                <w:rFonts w:ascii="Arial" w:cs="Arial" w:eastAsia="Arial" w:hAnsi="Arial"/>
                <w:sz w:val="11"/>
                <w:szCs w:val="11"/>
                <w:color w:val="auto"/>
                <w:w w:val="71"/>
              </w:rPr>
              <w:t>x</w:t>
            </w:r>
          </w:p>
        </w:tc>
      </w:tr>
    </w:tbl>
    <w:p>
      <w:pPr>
        <w:spacing w:after="0" w:line="358" w:lineRule="exact"/>
        <w:rPr>
          <w:sz w:val="24"/>
          <w:szCs w:val="24"/>
          <w:color w:val="auto"/>
        </w:rPr>
      </w:pPr>
    </w:p>
    <w:p>
      <w:pPr>
        <w:jc w:val="center"/>
        <w:ind w:left="520" w:right="10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880"/>
          </w:cols>
          <w:pgMar w:left="500" w:top="657" w:right="519" w:bottom="1440" w:gutter="0" w:footer="0" w:header="0"/>
          <w:type w:val="continuous"/>
        </w:sectPr>
      </w:pPr>
    </w:p>
    <w:bookmarkStart w:id="1" w:name="page2"/>
    <w:bookmarkEnd w:id="1"/>
    <w:p>
      <w:pPr>
        <w:jc w:val="center"/>
        <w:ind w:right="231"/>
        <w:spacing w:after="0"/>
        <w:rPr>
          <w:sz w:val="20"/>
          <w:szCs w:val="20"/>
          <w:color w:val="auto"/>
        </w:rPr>
      </w:pPr>
      <w:r>
        <w:rPr>
          <w:rFonts w:ascii="Arial" w:cs="Arial" w:eastAsia="Arial" w:hAnsi="Arial"/>
          <w:sz w:val="18"/>
          <w:szCs w:val="18"/>
          <w:b w:val="1"/>
          <w:bCs w:val="1"/>
          <w:color w:val="auto"/>
        </w:rPr>
        <w:t>CALCULATION OF REGISTRATION FEE</w:t>
      </w:r>
    </w:p>
    <w:p>
      <w:pPr>
        <w:spacing w:after="0" w:line="338" w:lineRule="exact"/>
        <w:rPr>
          <w:sz w:val="20"/>
          <w:szCs w:val="20"/>
          <w:color w:val="auto"/>
        </w:rPr>
      </w:pPr>
    </w:p>
    <w:tbl>
      <w:tblPr>
        <w:tblLayout w:type="fixed"/>
        <w:tblInd w:w="329"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left="75"/>
              <w:spacing w:after="0"/>
              <w:rPr>
                <w:sz w:val="20"/>
                <w:szCs w:val="20"/>
                <w:color w:val="auto"/>
              </w:rPr>
            </w:pPr>
            <w:r>
              <w:rPr>
                <w:rFonts w:ascii="Arial" w:cs="Arial" w:eastAsia="Arial" w:hAnsi="Arial"/>
                <w:sz w:val="16"/>
                <w:szCs w:val="16"/>
                <w:b w:val="1"/>
                <w:bCs w:val="1"/>
                <w:color w:val="auto"/>
                <w:w w:val="86"/>
              </w:rPr>
              <w:t>Proposed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580" w:type="dxa"/>
            <w:vAlign w:val="bottom"/>
            <w:gridSpan w:val="2"/>
            <w:vMerge w:val="restart"/>
          </w:tcPr>
          <w:p>
            <w:pPr>
              <w:jc w:val="center"/>
              <w:ind w:right="780"/>
              <w:spacing w:after="0"/>
              <w:rPr>
                <w:sz w:val="20"/>
                <w:szCs w:val="20"/>
                <w:color w:val="auto"/>
              </w:rPr>
            </w:pPr>
            <w:r>
              <w:rPr>
                <w:rFonts w:ascii="Arial" w:cs="Arial" w:eastAsia="Arial" w:hAnsi="Arial"/>
                <w:sz w:val="16"/>
                <w:szCs w:val="16"/>
                <w:b w:val="1"/>
                <w:bCs w:val="1"/>
                <w:color w:val="auto"/>
                <w:w w:val="89"/>
              </w:rPr>
              <w:t>Title of Securities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580" w:type="dxa"/>
            <w:vAlign w:val="bottom"/>
            <w:gridSpan w:val="2"/>
            <w:vMerge w:val="continue"/>
          </w:tcPr>
          <w:p>
            <w:pPr>
              <w:spacing w:after="0"/>
              <w:rPr>
                <w:sz w:val="17"/>
                <w:szCs w:val="17"/>
                <w:color w:val="auto"/>
              </w:rPr>
            </w:pPr>
          </w:p>
        </w:tc>
        <w:tc>
          <w:tcPr>
            <w:tcW w:w="1780" w:type="dxa"/>
            <w:vAlign w:val="bottom"/>
            <w:gridSpan w:val="4"/>
          </w:tcPr>
          <w:p>
            <w:pPr>
              <w:ind w:left="380"/>
              <w:spacing w:after="0"/>
              <w:rPr>
                <w:sz w:val="20"/>
                <w:szCs w:val="20"/>
                <w:color w:val="auto"/>
              </w:rPr>
            </w:pPr>
            <w:r>
              <w:rPr>
                <w:rFonts w:ascii="Arial" w:cs="Arial" w:eastAsia="Arial" w:hAnsi="Arial"/>
                <w:sz w:val="16"/>
                <w:szCs w:val="16"/>
                <w:b w:val="1"/>
                <w:bCs w:val="1"/>
                <w:color w:val="auto"/>
              </w:rPr>
              <w:t>Amount to be</w:t>
            </w:r>
          </w:p>
        </w:tc>
        <w:tc>
          <w:tcPr>
            <w:tcW w:w="1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4"/>
              </w:rPr>
              <w:t>Offering Price per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Aggregate</w:t>
            </w: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1"/>
        </w:trPr>
        <w:tc>
          <w:tcPr>
            <w:tcW w:w="660" w:type="dxa"/>
            <w:vAlign w:val="bottom"/>
          </w:tcPr>
          <w:p>
            <w:pPr>
              <w:spacing w:after="0"/>
              <w:rPr>
                <w:sz w:val="21"/>
                <w:szCs w:val="21"/>
                <w:color w:val="auto"/>
              </w:rPr>
            </w:pPr>
          </w:p>
        </w:tc>
        <w:tc>
          <w:tcPr>
            <w:tcW w:w="358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89"/>
              </w:rPr>
              <w:t>to be Registered</w:t>
            </w: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w w:val="88"/>
              </w:rPr>
              <w:t xml:space="preserve">Registered </w:t>
            </w:r>
            <w:r>
              <w:rPr>
                <w:rFonts w:ascii="Arial" w:cs="Arial" w:eastAsia="Arial" w:hAnsi="Arial"/>
                <w:sz w:val="12"/>
                <w:szCs w:val="12"/>
                <w:b w:val="1"/>
                <w:bCs w:val="1"/>
                <w:color w:val="auto"/>
                <w:w w:val="88"/>
              </w:rPr>
              <w:t>(1)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ind w:left="75"/>
              <w:spacing w:after="0"/>
              <w:rPr>
                <w:sz w:val="20"/>
                <w:szCs w:val="20"/>
                <w:color w:val="auto"/>
              </w:rPr>
            </w:pPr>
            <w:r>
              <w:rPr>
                <w:rFonts w:ascii="Arial" w:cs="Arial" w:eastAsia="Arial" w:hAnsi="Arial"/>
                <w:sz w:val="16"/>
                <w:szCs w:val="16"/>
                <w:b w:val="1"/>
                <w:bCs w:val="1"/>
                <w:color w:val="auto"/>
                <w:w w:val="89"/>
              </w:rPr>
              <w:t>Share</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Offering Price</w:t>
            </w:r>
          </w:p>
        </w:tc>
        <w:tc>
          <w:tcPr>
            <w:tcW w:w="120" w:type="dxa"/>
            <w:vAlign w:val="bottom"/>
          </w:tcPr>
          <w:p>
            <w:pPr>
              <w:spacing w:after="0"/>
              <w:rPr>
                <w:sz w:val="21"/>
                <w:szCs w:val="21"/>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60" w:type="dxa"/>
            <w:vAlign w:val="bottom"/>
          </w:tcPr>
          <w:p>
            <w:pPr>
              <w:jc w:val="right"/>
              <w:spacing w:after="0"/>
              <w:rPr>
                <w:sz w:val="20"/>
                <w:szCs w:val="20"/>
                <w:color w:val="auto"/>
              </w:rPr>
            </w:pPr>
            <w:r>
              <w:rPr>
                <w:rFonts w:ascii="Arial" w:cs="Arial" w:eastAsia="Arial" w:hAnsi="Arial"/>
                <w:sz w:val="18"/>
                <w:szCs w:val="18"/>
                <w:color w:val="auto"/>
              </w:rPr>
              <w:t>- 2018</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1,258,190</w:t>
            </w:r>
          </w:p>
        </w:tc>
        <w:tc>
          <w:tcPr>
            <w:tcW w:w="20" w:type="dxa"/>
            <w:vAlign w:val="bottom"/>
          </w:tcPr>
          <w:p>
            <w:pPr>
              <w:spacing w:after="0"/>
              <w:rPr>
                <w:sz w:val="22"/>
                <w:szCs w:val="22"/>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22"/>
                <w:szCs w:val="22"/>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88"/>
              </w:rPr>
              <w:t>16.27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w w:val="93"/>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20,470,751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2,657.10</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- 2018</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251,638</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3"/>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8"/>
              </w:rPr>
              <w:t>13.83</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3"/>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3,480,154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451.72</w:t>
            </w:r>
          </w:p>
        </w:tc>
        <w:tc>
          <w:tcPr>
            <w:tcW w:w="0" w:type="dxa"/>
            <w:vAlign w:val="bottom"/>
          </w:tcPr>
          <w:p>
            <w:pPr>
              <w:spacing w:after="0"/>
              <w:rPr>
                <w:sz w:val="1"/>
                <w:szCs w:val="1"/>
                <w:color w:val="auto"/>
              </w:rPr>
            </w:pPr>
          </w:p>
        </w:tc>
      </w:tr>
      <w:tr>
        <w:trPr>
          <w:trHeight w:val="243"/>
        </w:trPr>
        <w:tc>
          <w:tcPr>
            <w:tcW w:w="660" w:type="dxa"/>
            <w:vAlign w:val="bottom"/>
          </w:tcPr>
          <w:p>
            <w:pPr>
              <w:ind w:left="20"/>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1,509,828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23,950,905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3,108.82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9" w:hanging="409"/>
        <w:spacing w:after="0" w:line="259" w:lineRule="auto"/>
        <w:tabs>
          <w:tab w:leader="none" w:pos="409"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common stock that become issuable under the plans set forth herein by reason of any stock dividend, stock split, recapitalization, or other similar transaction effected without receipt of consideration that increases the number of the Registrant’s outstanding shares of Common Stock.</w:t>
      </w:r>
    </w:p>
    <w:p>
      <w:pPr>
        <w:spacing w:after="0" w:line="146" w:lineRule="exact"/>
        <w:rPr>
          <w:rFonts w:ascii="Arial" w:cs="Arial" w:eastAsia="Arial" w:hAnsi="Arial"/>
          <w:sz w:val="18"/>
          <w:szCs w:val="18"/>
          <w:color w:val="auto"/>
        </w:rPr>
      </w:pPr>
    </w:p>
    <w:p>
      <w:pPr>
        <w:jc w:val="both"/>
        <w:ind w:left="409" w:hanging="409"/>
        <w:spacing w:after="0" w:line="255" w:lineRule="auto"/>
        <w:tabs>
          <w:tab w:leader="none" w:pos="409"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shares authorized for issuance under the Registrant’s 2018 Equity Incentive Plan, as amended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on January 1, 2020 pursuant to an “evergreen” provision contained in the 2018 Plan. Pursuant to such provision, the number of shares reserved for issuance under the 2018 Plan automatically increases on January 1 of each year, starting on January 1, 2019, and continuing through January 1, 2028, by 5% of the total number of shares of the Registrant’s common stock outstanding on December 31st of the preceding calendar year, or a lesser number of shares determined by the Registrant’s board of directors or compensation committee.</w:t>
      </w:r>
    </w:p>
    <w:p>
      <w:pPr>
        <w:spacing w:after="0" w:line="151" w:lineRule="exact"/>
        <w:rPr>
          <w:rFonts w:ascii="Arial" w:cs="Arial" w:eastAsia="Arial" w:hAnsi="Arial"/>
          <w:sz w:val="18"/>
          <w:szCs w:val="18"/>
          <w:color w:val="auto"/>
        </w:rPr>
      </w:pPr>
    </w:p>
    <w:p>
      <w:pPr>
        <w:jc w:val="both"/>
        <w:ind w:left="409" w:hanging="409"/>
        <w:spacing w:after="0" w:line="296" w:lineRule="auto"/>
        <w:tabs>
          <w:tab w:leader="none" w:pos="4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that were automatically added to the shares authorized for issuance under the Registrant’s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 on January 1, 2019, pursuant to an “evergreen” provision contained in the 2018 ESPP. Pursuant to such provision, the number of shares reserved for issuance under the 2018 ESPP automatically increases on January 1st of each year, starting on January 1, 2019, and continuing through January 1, 2028, by an amount equal to (i) the lesser of 1% of the total number of shares of the Registrant’s common stock outstanding on December 31st of the preceding calendar year, and (ii) 555,555 shares of common stock.</w:t>
      </w:r>
    </w:p>
    <w:p>
      <w:pPr>
        <w:spacing w:after="0" w:line="120" w:lineRule="exact"/>
        <w:rPr>
          <w:rFonts w:ascii="Arial" w:cs="Arial" w:eastAsia="Arial" w:hAnsi="Arial"/>
          <w:sz w:val="16"/>
          <w:szCs w:val="16"/>
          <w:color w:val="auto"/>
        </w:rPr>
      </w:pPr>
    </w:p>
    <w:p>
      <w:pPr>
        <w:jc w:val="both"/>
        <w:ind w:left="409" w:hanging="409"/>
        <w:spacing w:after="0" w:line="263" w:lineRule="auto"/>
        <w:tabs>
          <w:tab w:leader="none" w:pos="409"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(h) promulgated under the Securities Act solely for the purpose of calculating the registration fee on the basis of $16.265 per share, the average of the high and low prices of the Registrant’s Common Stock as reported on the Nasdaq Global Market on March 9, 2020.</w:t>
      </w:r>
    </w:p>
    <w:p>
      <w:pPr>
        <w:spacing w:after="0" w:line="143" w:lineRule="exact"/>
        <w:rPr>
          <w:rFonts w:ascii="Arial" w:cs="Arial" w:eastAsia="Arial" w:hAnsi="Arial"/>
          <w:sz w:val="18"/>
          <w:szCs w:val="18"/>
          <w:color w:val="auto"/>
        </w:rPr>
      </w:pPr>
    </w:p>
    <w:p>
      <w:pPr>
        <w:jc w:val="both"/>
        <w:ind w:left="409" w:hanging="409"/>
        <w:spacing w:after="0" w:line="311" w:lineRule="auto"/>
        <w:tabs>
          <w:tab w:leader="none" w:pos="409"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promulgated under the Securities Act solely for the purpose of calculating the registration fee on the basis of $13.83 per share, the average of the high and low prices of the Registrant’s Common Stock as reported on the Nasdaq Global Market on March 9, 2020, multiplied by 85%, which is the percentage of the price per share applicable to purchases under the 2018 ESPP.</w:t>
      </w:r>
    </w:p>
    <w:p>
      <w:pPr>
        <w:sectPr>
          <w:pgSz w:w="11900" w:h="16838" w:orient="portrait"/>
          <w:cols w:equalWidth="0" w:num="1">
            <w:col w:w="10989"/>
          </w:cols>
          <w:pgMar w:left="571"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Pursuant to General Instruction E of Form S-8, 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for the purpose of registering</w:t>
      </w:r>
    </w:p>
    <w:p>
      <w:pPr>
        <w:spacing w:after="0" w:line="59" w:lineRule="exact"/>
        <w:rPr>
          <w:sz w:val="20"/>
          <w:szCs w:val="20"/>
          <w:color w:val="auto"/>
        </w:rPr>
      </w:pPr>
    </w:p>
    <w:p>
      <w:pPr>
        <w:jc w:val="both"/>
        <w:ind w:firstLine="8"/>
        <w:spacing w:after="0" w:line="288"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additional 1,258,190 shares of its common stock, issuable to eligible persons under the 2018 Plan, which common stock is in addition to the shares of common stock previously registered on the Registrant’s Form S-8 registration statements filed on October 19, 2018 (File No. 333-227907), and March 22, 2019 (File No. 333-230473) (the “</w:t>
      </w:r>
      <w:r>
        <w:rPr>
          <w:rFonts w:ascii="Arial" w:cs="Arial" w:eastAsia="Arial" w:hAnsi="Arial"/>
          <w:sz w:val="18"/>
          <w:szCs w:val="18"/>
          <w:b w:val="1"/>
          <w:bCs w:val="1"/>
          <w:i w:val="1"/>
          <w:iCs w:val="1"/>
          <w:color w:val="auto"/>
        </w:rPr>
        <w:t>Prior Forms S-8</w:t>
      </w:r>
      <w:r>
        <w:rPr>
          <w:rFonts w:ascii="Arial" w:cs="Arial" w:eastAsia="Arial" w:hAnsi="Arial"/>
          <w:sz w:val="18"/>
          <w:szCs w:val="18"/>
          <w:color w:val="auto"/>
        </w:rPr>
        <w:t>”) and (b) an additional 251,638 shares of its common stock, issuable to eligible persons under the 2018 ESPP, which common stock is in addition to the shares of common stock previously registered on the Prior Forms S-8. The contents of the Prior Forms S-8 are incorporated by reference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The following documents filed by the Registrant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incorporated by reference into this Registration Statement:</w:t>
      </w:r>
    </w:p>
    <w:p>
      <w:pPr>
        <w:spacing w:after="0" w:line="130" w:lineRule="exact"/>
        <w:rPr>
          <w:sz w:val="20"/>
          <w:szCs w:val="20"/>
          <w:color w:val="auto"/>
        </w:rPr>
      </w:pPr>
    </w:p>
    <w:p>
      <w:pPr>
        <w:ind w:left="40" w:firstLine="643"/>
        <w:spacing w:after="0" w:line="308" w:lineRule="auto"/>
        <w:tabs>
          <w:tab w:leader="none" w:pos="1096"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contents of the earlier registration statements on Form S-8 relating to the 2018 Plan and 2018 ESPP, filed with the SEC on October 19, 2018 (File No. 333-227907), and March 22, 2019 (File No. 333-230473).</w:t>
      </w:r>
    </w:p>
    <w:p>
      <w:pPr>
        <w:spacing w:after="0" w:line="197" w:lineRule="exact"/>
        <w:rPr>
          <w:rFonts w:ascii="Arial" w:cs="Arial" w:eastAsia="Arial" w:hAnsi="Arial"/>
          <w:sz w:val="18"/>
          <w:szCs w:val="18"/>
          <w:b w:val="1"/>
          <w:bCs w:val="1"/>
          <w:color w:val="auto"/>
        </w:rPr>
      </w:pPr>
    </w:p>
    <w:p>
      <w:pPr>
        <w:ind w:left="1080" w:hanging="397"/>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Registrant’s Annual Report on Form 10-K for the year ended December 31, 2019, filed with the SEC on March 11, 2020.</w:t>
      </w:r>
    </w:p>
    <w:p>
      <w:pPr>
        <w:spacing w:after="0" w:line="279" w:lineRule="exact"/>
        <w:rPr>
          <w:rFonts w:ascii="Arial" w:cs="Arial" w:eastAsia="Arial" w:hAnsi="Arial"/>
          <w:sz w:val="18"/>
          <w:szCs w:val="18"/>
          <w:b w:val="1"/>
          <w:bCs w:val="1"/>
          <w:color w:val="auto"/>
        </w:rPr>
      </w:pPr>
    </w:p>
    <w:p>
      <w:pPr>
        <w:ind w:left="1060" w:hanging="377"/>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Registrant’s Current Reports on Form 8-K filed with the SEC on January 3, 2020, and January 24, 2020.</w:t>
      </w:r>
    </w:p>
    <w:p>
      <w:pPr>
        <w:spacing w:after="0" w:line="279" w:lineRule="exact"/>
        <w:rPr>
          <w:rFonts w:ascii="Arial" w:cs="Arial" w:eastAsia="Arial" w:hAnsi="Arial"/>
          <w:sz w:val="18"/>
          <w:szCs w:val="18"/>
          <w:b w:val="1"/>
          <w:bCs w:val="1"/>
          <w:color w:val="auto"/>
        </w:rPr>
      </w:pPr>
    </w:p>
    <w:p>
      <w:pPr>
        <w:jc w:val="both"/>
        <w:ind w:left="40" w:firstLine="643"/>
        <w:spacing w:after="0" w:line="295" w:lineRule="auto"/>
        <w:tabs>
          <w:tab w:leader="none" w:pos="113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Common Stock which is contained in a registration statement on Form 8-A filed on October 11, 2018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208" w:lineRule="exact"/>
        <w:rPr>
          <w:rFonts w:ascii="Arial" w:cs="Arial" w:eastAsia="Arial" w:hAnsi="Arial"/>
          <w:sz w:val="18"/>
          <w:szCs w:val="18"/>
          <w:b w:val="1"/>
          <w:bCs w:val="1"/>
          <w:color w:val="auto"/>
        </w:rPr>
      </w:pPr>
    </w:p>
    <w:p>
      <w:pPr>
        <w:jc w:val="both"/>
        <w:ind w:left="40" w:firstLine="643"/>
        <w:spacing w:after="0" w:line="325" w:lineRule="auto"/>
        <w:tabs>
          <w:tab w:leader="none" w:pos="1105"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553" w:right="3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listed below.</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ind w:left="500"/>
              <w:spacing w:after="0"/>
              <w:rPr>
                <w:sz w:val="20"/>
                <w:szCs w:val="20"/>
                <w:color w:val="auto"/>
              </w:rPr>
            </w:pPr>
            <w:r>
              <w:rPr>
                <w:rFonts w:ascii="Arial" w:cs="Arial" w:eastAsia="Arial" w:hAnsi="Arial"/>
                <w:sz w:val="16"/>
                <w:szCs w:val="16"/>
                <w:b w:val="1"/>
                <w:bCs w:val="1"/>
                <w:color w:val="auto"/>
                <w:w w:val="92"/>
              </w:rPr>
              <w:t>Incorporated by Reference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Schedule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18"/>
          </w:tcPr>
          <w:p>
            <w:pPr>
              <w:ind w:left="94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File Number</w:t>
            </w:r>
          </w:p>
        </w:tc>
        <w:tc>
          <w:tcPr>
            <w:tcW w:w="1080" w:type="dxa"/>
            <w:vAlign w:val="bottom"/>
            <w:gridSpan w:val="3"/>
          </w:tcPr>
          <w:p>
            <w:pPr>
              <w:ind w:left="120"/>
              <w:spacing w:after="0"/>
              <w:rPr>
                <w:sz w:val="20"/>
                <w:szCs w:val="20"/>
                <w:color w:val="auto"/>
              </w:rPr>
            </w:pPr>
            <w:r>
              <w:rPr>
                <w:rFonts w:ascii="Arial" w:cs="Arial" w:eastAsia="Arial" w:hAnsi="Arial"/>
                <w:sz w:val="16"/>
                <w:szCs w:val="16"/>
                <w:b w:val="1"/>
                <w:bCs w:val="1"/>
                <w:color w:val="auto"/>
              </w:rPr>
              <w:t>Exhibit</w:t>
            </w:r>
          </w:p>
        </w:tc>
        <w:tc>
          <w:tcPr>
            <w:tcW w:w="1660" w:type="dxa"/>
            <w:vAlign w:val="bottom"/>
            <w:gridSpan w:val="2"/>
          </w:tcPr>
          <w:p>
            <w:pPr>
              <w:ind w:left="360"/>
              <w:spacing w:after="0"/>
              <w:rPr>
                <w:sz w:val="20"/>
                <w:szCs w:val="20"/>
                <w:color w:val="auto"/>
              </w:rPr>
            </w:pPr>
            <w:r>
              <w:rPr>
                <w:rFonts w:ascii="Arial" w:cs="Arial" w:eastAsia="Arial" w:hAnsi="Arial"/>
                <w:sz w:val="16"/>
                <w:szCs w:val="16"/>
                <w:b w:val="1"/>
                <w:bCs w:val="1"/>
                <w:color w:val="auto"/>
              </w:rPr>
              <w:t>Filed 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Filed Herewith</w:t>
            </w:r>
          </w:p>
        </w:tc>
      </w:tr>
      <w:tr>
        <w:trPr>
          <w:trHeight w:val="33"/>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
              <w:r>
                <w:rPr>
                  <w:rFonts w:ascii="Arial" w:cs="Arial" w:eastAsia="Arial" w:hAnsi="Arial"/>
                  <w:sz w:val="18"/>
                  <w:szCs w:val="18"/>
                  <w:color w:val="0000EE"/>
                  <w:w w:val="90"/>
                </w:rPr>
                <w:t>Amended and Restated Certificate of</w:t>
              </w:r>
            </w:hyperlink>
          </w:p>
        </w:tc>
        <w:tc>
          <w:tcPr>
            <w:tcW w:w="1060" w:type="dxa"/>
            <w:vAlign w:val="bottom"/>
            <w:gridSpan w:val="13"/>
          </w:tcPr>
          <w:p>
            <w:pPr>
              <w:spacing w:after="0"/>
              <w:rPr>
                <w:sz w:val="17"/>
                <w:szCs w:val="17"/>
                <w:color w:val="auto"/>
              </w:rPr>
            </w:pPr>
          </w:p>
        </w:tc>
        <w:tc>
          <w:tcPr>
            <w:tcW w:w="10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001-38701</w:t>
            </w:r>
          </w:p>
        </w:tc>
        <w:tc>
          <w:tcPr>
            <w:tcW w:w="12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October 19, 2018</w:t>
            </w:r>
          </w:p>
        </w:tc>
        <w:tc>
          <w:tcPr>
            <w:tcW w:w="11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19"/>
          </w:tcPr>
          <w:p>
            <w:pPr>
              <w:spacing w:after="0" w:line="196" w:lineRule="exact"/>
              <w:rPr>
                <w:rFonts w:ascii="Arial" w:cs="Arial" w:eastAsia="Arial" w:hAnsi="Arial"/>
                <w:sz w:val="18"/>
                <w:szCs w:val="18"/>
                <w:color w:val="0000EE"/>
              </w:rPr>
            </w:pPr>
            <w:hyperlink r:id="rId8">
              <w:r>
                <w:rPr>
                  <w:rFonts w:ascii="Arial" w:cs="Arial" w:eastAsia="Arial" w:hAnsi="Arial"/>
                  <w:sz w:val="18"/>
                  <w:szCs w:val="18"/>
                  <w:color w:val="0000EE"/>
                </w:rPr>
                <w:t>Incorporation of the Registrant, as currently in</w:t>
              </w:r>
            </w:hyperlink>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
              <w:r>
                <w:rPr>
                  <w:rFonts w:ascii="Arial" w:cs="Arial" w:eastAsia="Arial" w:hAnsi="Arial"/>
                  <w:sz w:val="18"/>
                  <w:szCs w:val="18"/>
                  <w:color w:val="0000EE"/>
                  <w:w w:val="89"/>
                </w:rPr>
                <w:t>effect.</w:t>
              </w:r>
            </w:hyperlink>
          </w:p>
        </w:tc>
        <w:tc>
          <w:tcPr>
            <w:tcW w:w="2880" w:type="dxa"/>
            <w:vAlign w:val="bottom"/>
            <w:tcBorders>
              <w:top w:val="single" w:sz="8" w:color="0000EE"/>
            </w:tcBorders>
            <w:gridSpan w:val="11"/>
          </w:tcPr>
          <w:p>
            <w:pPr>
              <w:spacing w:after="0"/>
              <w:rPr>
                <w:sz w:val="17"/>
                <w:szCs w:val="17"/>
                <w:color w:val="auto"/>
              </w:rPr>
            </w:pPr>
          </w:p>
        </w:tc>
        <w:tc>
          <w:tcPr>
            <w:tcW w:w="40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EE"/>
            </w:tcBorders>
            <w:gridSpan w:val="16"/>
          </w:tcPr>
          <w:p>
            <w:pPr>
              <w:spacing w:after="0"/>
              <w:rPr>
                <w:rFonts w:ascii="Arial" w:cs="Arial" w:eastAsia="Arial" w:hAnsi="Arial"/>
                <w:sz w:val="18"/>
                <w:szCs w:val="18"/>
                <w:color w:val="0000EE"/>
                <w:w w:val="90"/>
              </w:rPr>
            </w:pPr>
            <w:hyperlink r:id="rId9">
              <w:r>
                <w:rPr>
                  <w:rFonts w:ascii="Arial" w:cs="Arial" w:eastAsia="Arial" w:hAnsi="Arial"/>
                  <w:sz w:val="18"/>
                  <w:szCs w:val="18"/>
                  <w:color w:val="0000EE"/>
                  <w:w w:val="90"/>
                </w:rPr>
                <w:t>Amended and Restated Bylaws of the Registrant,</w:t>
              </w:r>
            </w:hyperlink>
          </w:p>
        </w:tc>
        <w:tc>
          <w:tcPr>
            <w:tcW w:w="180" w:type="dxa"/>
            <w:vAlign w:val="bottom"/>
            <w:gridSpan w:val="3"/>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19"/>
          </w:tcPr>
          <w:p>
            <w:pPr>
              <w:spacing w:after="0" w:line="196" w:lineRule="exact"/>
              <w:rPr>
                <w:rFonts w:ascii="Arial" w:cs="Arial" w:eastAsia="Arial" w:hAnsi="Arial"/>
                <w:sz w:val="18"/>
                <w:szCs w:val="18"/>
                <w:color w:val="0000EE"/>
              </w:rPr>
            </w:pPr>
            <w:hyperlink r:id="rId9">
              <w:r>
                <w:rPr>
                  <w:rFonts w:ascii="Arial" w:cs="Arial" w:eastAsia="Arial" w:hAnsi="Arial"/>
                  <w:sz w:val="18"/>
                  <w:szCs w:val="18"/>
                  <w:color w:val="0000EE"/>
                </w:rPr>
                <w:t>as currently in effect.</w:t>
              </w:r>
            </w:hyperlink>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tcBorders>
              <w:bottom w:val="single" w:sz="8" w:color="0000EE"/>
            </w:tcBorders>
            <w:gridSpan w:val="14"/>
          </w:tcPr>
          <w:p>
            <w:pPr>
              <w:spacing w:after="0"/>
              <w:rPr>
                <w:rFonts w:ascii="Arial" w:cs="Arial" w:eastAsia="Arial" w:hAnsi="Arial"/>
                <w:sz w:val="18"/>
                <w:szCs w:val="18"/>
                <w:color w:val="0000EE"/>
                <w:w w:val="91"/>
              </w:rPr>
            </w:pPr>
            <w:hyperlink r:id="rId10">
              <w:r>
                <w:rPr>
                  <w:rFonts w:ascii="Arial" w:cs="Arial" w:eastAsia="Arial" w:hAnsi="Arial"/>
                  <w:sz w:val="18"/>
                  <w:szCs w:val="18"/>
                  <w:color w:val="0000EE"/>
                  <w:w w:val="91"/>
                </w:rPr>
                <w:t>Form of Registrant’s Common Stock Certificate.</w:t>
              </w:r>
            </w:hyperlink>
          </w:p>
        </w:tc>
        <w:tc>
          <w:tcPr>
            <w:tcW w:w="220" w:type="dxa"/>
            <w:vAlign w:val="bottom"/>
            <w:gridSpan w:val="5"/>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Opinion of Cooley LLP.</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x</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Consent of Cooley LLP (included in Exhibit 5.1).</w:t>
              </w:r>
            </w:hyperlink>
          </w:p>
        </w:tc>
        <w:tc>
          <w:tcPr>
            <w:tcW w:w="16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x</w:t>
            </w: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Consent of PricewaterhouseCoopers LLP,</w:t>
              </w:r>
            </w:hyperlink>
          </w:p>
        </w:tc>
        <w:tc>
          <w:tcPr>
            <w:tcW w:w="720" w:type="dxa"/>
            <w:vAlign w:val="bottom"/>
            <w:gridSpan w:val="11"/>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x</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Independent Registered Public Accounting Firm.</w:t>
              </w:r>
            </w:hyperlink>
          </w:p>
        </w:tc>
        <w:tc>
          <w:tcPr>
            <w:tcW w:w="20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(included on the signature</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x</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page of this Form S-8).</w:t>
              </w:r>
            </w:hyperlink>
          </w:p>
        </w:tc>
        <w:tc>
          <w:tcPr>
            <w:tcW w:w="1520" w:type="dxa"/>
            <w:vAlign w:val="bottom"/>
            <w:tcBorders>
              <w:top w:val="single" w:sz="8" w:color="0000EE"/>
            </w:tcBorders>
            <w:gridSpan w:val="8"/>
          </w:tcPr>
          <w:p>
            <w:pPr>
              <w:spacing w:after="0"/>
              <w:rPr>
                <w:sz w:val="17"/>
                <w:szCs w:val="17"/>
                <w:color w:val="auto"/>
              </w:rPr>
            </w:pPr>
          </w:p>
        </w:tc>
        <w:tc>
          <w:tcPr>
            <w:tcW w:w="48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bottom w:val="single" w:sz="8" w:color="0000EE"/>
            </w:tcBorders>
            <w:gridSpan w:val="4"/>
          </w:tcPr>
          <w:p>
            <w:pPr>
              <w:spacing w:after="0"/>
              <w:rPr>
                <w:rFonts w:ascii="Arial" w:cs="Arial" w:eastAsia="Arial" w:hAnsi="Arial"/>
                <w:sz w:val="18"/>
                <w:szCs w:val="18"/>
                <w:color w:val="0000EE"/>
                <w:w w:val="91"/>
              </w:rPr>
            </w:pPr>
            <w:hyperlink r:id="rId11">
              <w:r>
                <w:rPr>
                  <w:rFonts w:ascii="Arial" w:cs="Arial" w:eastAsia="Arial" w:hAnsi="Arial"/>
                  <w:sz w:val="18"/>
                  <w:szCs w:val="18"/>
                  <w:color w:val="0000EE"/>
                  <w:w w:val="91"/>
                </w:rPr>
                <w:t>2018 Equity Incentive Plan.</w:t>
              </w:r>
            </w:hyperlink>
          </w:p>
        </w:tc>
        <w:tc>
          <w:tcPr>
            <w:tcW w:w="1720" w:type="dxa"/>
            <w:vAlign w:val="bottom"/>
            <w:gridSpan w:val="15"/>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19"/>
          </w:tcPr>
          <w:p>
            <w:pPr>
              <w:spacing w:after="0"/>
              <w:rPr>
                <w:rFonts w:ascii="Arial" w:cs="Arial" w:eastAsia="Arial" w:hAnsi="Arial"/>
                <w:sz w:val="18"/>
                <w:szCs w:val="18"/>
                <w:color w:val="0000EE"/>
              </w:rPr>
            </w:pPr>
            <w:hyperlink r:id="rId12">
              <w:r>
                <w:rPr>
                  <w:rFonts w:ascii="Arial" w:cs="Arial" w:eastAsia="Arial" w:hAnsi="Arial"/>
                  <w:sz w:val="18"/>
                  <w:szCs w:val="18"/>
                  <w:color w:val="0000EE"/>
                </w:rPr>
                <w:t>Forms of Stock Option Grant Notice, Option</w:t>
              </w:r>
            </w:hyperlink>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12">
              <w:r>
                <w:rPr>
                  <w:rFonts w:ascii="Arial" w:cs="Arial" w:eastAsia="Arial" w:hAnsi="Arial"/>
                  <w:sz w:val="18"/>
                  <w:szCs w:val="18"/>
                  <w:color w:val="0000EE"/>
                  <w:w w:val="90"/>
                </w:rPr>
                <w:t>Agreement and Notice of Exercise under the</w:t>
              </w:r>
            </w:hyperlink>
          </w:p>
        </w:tc>
        <w:tc>
          <w:tcPr>
            <w:tcW w:w="52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2018 Equity Incentive Plan.</w:t>
              </w:r>
            </w:hyperlink>
          </w:p>
        </w:tc>
        <w:tc>
          <w:tcPr>
            <w:tcW w:w="1180" w:type="dxa"/>
            <w:vAlign w:val="bottom"/>
            <w:tcBorders>
              <w:top w:val="single" w:sz="8" w:color="0000EE"/>
            </w:tcBorders>
            <w:gridSpan w:val="5"/>
          </w:tcPr>
          <w:p>
            <w:pPr>
              <w:spacing w:after="0"/>
              <w:rPr>
                <w:sz w:val="17"/>
                <w:szCs w:val="17"/>
                <w:color w:val="auto"/>
              </w:rPr>
            </w:pPr>
          </w:p>
        </w:tc>
        <w:tc>
          <w:tcPr>
            <w:tcW w:w="54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0000EE"/>
            </w:tcBorders>
            <w:gridSpan w:val="15"/>
          </w:tcPr>
          <w:p>
            <w:pPr>
              <w:spacing w:after="0"/>
              <w:rPr>
                <w:rFonts w:ascii="Arial" w:cs="Arial" w:eastAsia="Arial" w:hAnsi="Arial"/>
                <w:sz w:val="18"/>
                <w:szCs w:val="18"/>
                <w:color w:val="0000EE"/>
                <w:w w:val="91"/>
              </w:rPr>
            </w:pPr>
            <w:hyperlink r:id="rId13">
              <w:r>
                <w:rPr>
                  <w:rFonts w:ascii="Arial" w:cs="Arial" w:eastAsia="Arial" w:hAnsi="Arial"/>
                  <w:sz w:val="18"/>
                  <w:szCs w:val="18"/>
                  <w:color w:val="0000EE"/>
                  <w:w w:val="91"/>
                </w:rPr>
                <w:t>Forms of Restricted Stock Unit Grant Notice and</w:t>
              </w:r>
            </w:hyperlink>
          </w:p>
        </w:tc>
        <w:tc>
          <w:tcPr>
            <w:tcW w:w="200" w:type="dxa"/>
            <w:vAlign w:val="bottom"/>
            <w:gridSpan w:val="4"/>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19"/>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Restricted Stock Unit Award Agreement under</w:t>
              </w:r>
            </w:hyperlink>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3">
              <w:r>
                <w:rPr>
                  <w:rFonts w:ascii="Arial" w:cs="Arial" w:eastAsia="Arial" w:hAnsi="Arial"/>
                  <w:sz w:val="18"/>
                  <w:szCs w:val="18"/>
                  <w:color w:val="0000EE"/>
                  <w:w w:val="91"/>
                </w:rPr>
                <w:t>the 2018 Equity Incentive Plan.</w:t>
              </w:r>
            </w:hyperlink>
          </w:p>
        </w:tc>
        <w:tc>
          <w:tcPr>
            <w:tcW w:w="1080" w:type="dxa"/>
            <w:vAlign w:val="bottom"/>
            <w:tcBorders>
              <w:top w:val="single" w:sz="8" w:color="0000EE"/>
            </w:tcBorders>
            <w:gridSpan w:val="8"/>
          </w:tcPr>
          <w:p>
            <w:pPr>
              <w:spacing w:after="0"/>
              <w:rPr>
                <w:sz w:val="17"/>
                <w:szCs w:val="17"/>
                <w:color w:val="auto"/>
              </w:rPr>
            </w:pPr>
          </w:p>
        </w:tc>
        <w:tc>
          <w:tcPr>
            <w:tcW w:w="38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8"/>
                <w:szCs w:val="18"/>
                <w:color w:val="auto"/>
                <w:w w:val="85"/>
              </w:rPr>
              <w:t>99.4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EE"/>
            </w:tcBorders>
            <w:gridSpan w:val="7"/>
          </w:tcPr>
          <w:p>
            <w:pPr>
              <w:spacing w:after="0"/>
              <w:rPr>
                <w:rFonts w:ascii="Arial" w:cs="Arial" w:eastAsia="Arial" w:hAnsi="Arial"/>
                <w:sz w:val="18"/>
                <w:szCs w:val="18"/>
                <w:color w:val="0000EE"/>
                <w:w w:val="88"/>
              </w:rPr>
            </w:pPr>
            <w:hyperlink r:id="rId14">
              <w:r>
                <w:rPr>
                  <w:rFonts w:ascii="Arial" w:cs="Arial" w:eastAsia="Arial" w:hAnsi="Arial"/>
                  <w:sz w:val="18"/>
                  <w:szCs w:val="18"/>
                  <w:color w:val="0000EE"/>
                  <w:w w:val="88"/>
                </w:rPr>
                <w:t>2018 Employee Stock Purchase Plan.</w:t>
              </w:r>
            </w:hyperlink>
          </w:p>
        </w:tc>
        <w:tc>
          <w:tcPr>
            <w:tcW w:w="1040" w:type="dxa"/>
            <w:vAlign w:val="bottom"/>
            <w:gridSpan w:val="12"/>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October 5, 2018</w:t>
            </w:r>
          </w:p>
        </w:tc>
        <w:tc>
          <w:tcPr>
            <w:tcW w:w="1100" w:type="dxa"/>
            <w:vAlign w:val="bottom"/>
          </w:tcPr>
          <w:p>
            <w:pPr>
              <w:spacing w:after="0"/>
              <w:rPr>
                <w:sz w:val="21"/>
                <w:szCs w:val="21"/>
                <w:color w:val="auto"/>
              </w:rPr>
            </w:pPr>
          </w:p>
        </w:tc>
      </w:tr>
    </w:tbl>
    <w:p>
      <w:pPr>
        <w:sectPr>
          <w:pgSz w:w="11900" w:h="16838" w:orient="portrait"/>
          <w:cols w:equalWidth="0" w:num="1">
            <w:col w:w="11140"/>
          </w:cols>
          <w:pgMar w:left="320" w:top="553"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11th day of March 2020.</w:t>
      </w:r>
    </w:p>
    <w:p>
      <w:pPr>
        <w:spacing w:after="0" w:line="234"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SI-BONE, Inc.</w:t>
      </w:r>
    </w:p>
    <w:p>
      <w:pPr>
        <w:spacing w:after="0" w:line="189" w:lineRule="exact"/>
        <w:rPr>
          <w:sz w:val="20"/>
          <w:szCs w:val="20"/>
          <w:color w:val="auto"/>
        </w:rPr>
      </w:pPr>
    </w:p>
    <w:p>
      <w:pPr>
        <w:ind w:left="670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 A.</w:t>
      </w:r>
      <w:r>
        <w:rPr>
          <w:rFonts w:ascii="Arial" w:cs="Arial" w:eastAsia="Arial" w:hAnsi="Arial"/>
          <w:sz w:val="17"/>
          <w:szCs w:val="17"/>
          <w:b w:val="1"/>
          <w:bCs w:val="1"/>
          <w:color w:val="auto"/>
        </w:rPr>
        <w:t xml:space="preserve"> </w:t>
      </w:r>
      <w:r>
        <w:rPr>
          <w:rFonts w:ascii="Arial" w:cs="Arial" w:eastAsia="Arial" w:hAnsi="Arial"/>
          <w:sz w:val="17"/>
          <w:szCs w:val="17"/>
          <w:color w:val="auto"/>
        </w:rPr>
        <w:t>Francis, 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980" w:type="dxa"/>
            <w:vAlign w:val="bottom"/>
          </w:tcPr>
          <w:p>
            <w:pPr>
              <w:jc w:val="center"/>
              <w:ind w:left="1010"/>
              <w:spacing w:after="0"/>
              <w:rPr>
                <w:sz w:val="20"/>
                <w:szCs w:val="20"/>
                <w:color w:val="auto"/>
              </w:rPr>
            </w:pPr>
            <w:r>
              <w:rPr>
                <w:rFonts w:ascii="Arial" w:cs="Arial" w:eastAsia="Arial" w:hAnsi="Arial"/>
                <w:sz w:val="18"/>
                <w:szCs w:val="18"/>
                <w:b w:val="1"/>
                <w:bCs w:val="1"/>
                <w:color w:val="auto"/>
                <w:w w:val="97"/>
              </w:rPr>
              <w:t>Title</w:t>
            </w:r>
          </w:p>
        </w:tc>
        <w:tc>
          <w:tcPr>
            <w:tcW w:w="170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526"/>
        </w:trPr>
        <w:tc>
          <w:tcPr>
            <w:tcW w:w="3140" w:type="dxa"/>
            <w:vAlign w:val="bottom"/>
          </w:tcPr>
          <w:p>
            <w:pPr>
              <w:jc w:val="center"/>
              <w:spacing w:after="0"/>
              <w:rPr>
                <w:sz w:val="20"/>
                <w:szCs w:val="20"/>
                <w:color w:val="auto"/>
              </w:rPr>
            </w:pPr>
            <w:r>
              <w:rPr>
                <w:rFonts w:ascii="Arial" w:cs="Arial" w:eastAsia="Arial" w:hAnsi="Arial"/>
                <w:sz w:val="18"/>
                <w:szCs w:val="18"/>
                <w:color w:val="auto"/>
                <w:w w:val="91"/>
              </w:rPr>
              <w:t>/s/ Jeffrey W. Dunn</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2"/>
              </w:rPr>
              <w:t>President, Chief Executive Officer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5980" w:type="dxa"/>
            <w:vAlign w:val="bottom"/>
            <w:vMerge w:val="restart"/>
          </w:tcPr>
          <w:p>
            <w:pPr>
              <w:jc w:val="center"/>
              <w:ind w:left="1030"/>
              <w:spacing w:after="0"/>
              <w:rPr>
                <w:sz w:val="20"/>
                <w:szCs w:val="20"/>
                <w:color w:val="auto"/>
              </w:rPr>
            </w:pPr>
            <w:r>
              <w:rPr>
                <w:rFonts w:ascii="Arial" w:cs="Arial" w:eastAsia="Arial" w:hAnsi="Arial"/>
                <w:sz w:val="18"/>
                <w:szCs w:val="18"/>
                <w:i w:val="1"/>
                <w:iCs w:val="1"/>
                <w:color w:val="auto"/>
                <w:w w:val="94"/>
              </w:rPr>
              <w:t>(Principal Executive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2"/>
              </w:rPr>
              <w:t>Jeffrey W. Dunn</w:t>
            </w:r>
          </w:p>
        </w:tc>
        <w:tc>
          <w:tcPr>
            <w:tcW w:w="59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5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3140" w:type="dxa"/>
            <w:vAlign w:val="bottom"/>
          </w:tcPr>
          <w:p>
            <w:pPr>
              <w:jc w:val="center"/>
              <w:spacing w:after="0"/>
              <w:rPr>
                <w:sz w:val="20"/>
                <w:szCs w:val="20"/>
                <w:color w:val="auto"/>
              </w:rPr>
            </w:pPr>
            <w:r>
              <w:rPr>
                <w:rFonts w:ascii="Arial" w:cs="Arial" w:eastAsia="Arial" w:hAnsi="Arial"/>
                <w:sz w:val="18"/>
                <w:szCs w:val="18"/>
                <w:color w:val="auto"/>
                <w:w w:val="92"/>
              </w:rPr>
              <w:t>/s/ Laura A. Francis</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3"/>
              </w:rPr>
              <w:t>Chief Operating Officer and Chief Financial Officer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5980" w:type="dxa"/>
            <w:vAlign w:val="bottom"/>
            <w:vMerge w:val="restart"/>
          </w:tcPr>
          <w:p>
            <w:pPr>
              <w:jc w:val="center"/>
              <w:ind w:left="1010"/>
              <w:spacing w:after="0"/>
              <w:rPr>
                <w:sz w:val="20"/>
                <w:szCs w:val="20"/>
                <w:color w:val="auto"/>
              </w:rPr>
            </w:pPr>
            <w:r>
              <w:rPr>
                <w:rFonts w:ascii="Arial" w:cs="Arial" w:eastAsia="Arial" w:hAnsi="Arial"/>
                <w:sz w:val="18"/>
                <w:szCs w:val="18"/>
                <w:color w:val="auto"/>
                <w:w w:val="93"/>
              </w:rPr>
              <w:t>(Principal Financial and Accounting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0"/>
              </w:rPr>
              <w:t>Laura A. Francis</w:t>
            </w:r>
          </w:p>
        </w:tc>
        <w:tc>
          <w:tcPr>
            <w:tcW w:w="59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5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2"/>
              </w:rPr>
              <w:t>/s/ Timothy E. Davis, Jr.</w:t>
            </w:r>
          </w:p>
        </w:tc>
        <w:tc>
          <w:tcPr>
            <w:tcW w:w="5980" w:type="dxa"/>
            <w:vAlign w:val="bottom"/>
          </w:tcPr>
          <w:p>
            <w:pPr>
              <w:jc w:val="center"/>
              <w:ind w:left="1030"/>
              <w:spacing w:after="0"/>
              <w:rPr>
                <w:sz w:val="20"/>
                <w:szCs w:val="20"/>
                <w:color w:val="auto"/>
              </w:rPr>
            </w:pPr>
            <w:r>
              <w:rPr>
                <w:rFonts w:ascii="Arial" w:cs="Arial" w:eastAsia="Arial" w:hAnsi="Arial"/>
                <w:sz w:val="18"/>
                <w:szCs w:val="18"/>
                <w:color w:val="auto"/>
                <w:w w:val="91"/>
              </w:rPr>
              <w:t>Lead Independent Director, 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1"/>
              </w:rPr>
              <w:t>Timothy E. Davis, Jr.</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2"/>
              </w:rPr>
              <w:t>/s/ Mark J. Foley</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2"/>
              </w:rPr>
              <w:t>Mark J. Foley</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140" w:type="dxa"/>
            <w:vAlign w:val="bottom"/>
          </w:tcPr>
          <w:p>
            <w:pPr>
              <w:jc w:val="center"/>
              <w:spacing w:after="0"/>
              <w:rPr>
                <w:sz w:val="20"/>
                <w:szCs w:val="20"/>
                <w:color w:val="auto"/>
              </w:rPr>
            </w:pPr>
            <w:r>
              <w:rPr>
                <w:rFonts w:ascii="Arial" w:cs="Arial" w:eastAsia="Arial" w:hAnsi="Arial"/>
                <w:sz w:val="18"/>
                <w:szCs w:val="18"/>
                <w:color w:val="auto"/>
                <w:w w:val="91"/>
              </w:rPr>
              <w:t>/s/ John G. Freund, M.D.</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2"/>
              </w:rPr>
              <w:t>John G. Freund, M.D.</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4"/>
              </w:rPr>
              <w:t>/s/ Jeryl L. Hilleman</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6"/>
              </w:rPr>
              <w:t>Jeryl L. Hilleman</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5"/>
              </w:rPr>
              <w:t>/s/ Gregory K. Kinckley</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4"/>
              </w:rPr>
              <w:t>Gregory K. Hinckley</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5"/>
              </w:rPr>
              <w:t>/s/ Karen A. Licitra</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7"/>
              </w:rPr>
              <w:t>Karen A. Licitra</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40" w:type="dxa"/>
            <w:vAlign w:val="bottom"/>
          </w:tcPr>
          <w:p>
            <w:pPr>
              <w:jc w:val="center"/>
              <w:spacing w:after="0"/>
              <w:rPr>
                <w:sz w:val="20"/>
                <w:szCs w:val="20"/>
                <w:color w:val="auto"/>
              </w:rPr>
            </w:pPr>
            <w:r>
              <w:rPr>
                <w:rFonts w:ascii="Arial" w:cs="Arial" w:eastAsia="Arial" w:hAnsi="Arial"/>
                <w:sz w:val="18"/>
                <w:szCs w:val="18"/>
                <w:color w:val="auto"/>
                <w:w w:val="92"/>
              </w:rPr>
              <w:t>/s/ Keith C. Valentine</w:t>
            </w:r>
          </w:p>
        </w:tc>
        <w:tc>
          <w:tcPr>
            <w:tcW w:w="598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1"/>
              </w:rPr>
              <w:t>March 11, 2020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jc w:val="center"/>
              <w:spacing w:after="0"/>
              <w:rPr>
                <w:sz w:val="20"/>
                <w:szCs w:val="20"/>
                <w:color w:val="auto"/>
              </w:rPr>
            </w:pPr>
            <w:r>
              <w:rPr>
                <w:rFonts w:ascii="Arial" w:cs="Arial" w:eastAsia="Arial" w:hAnsi="Arial"/>
                <w:sz w:val="18"/>
                <w:szCs w:val="18"/>
                <w:color w:val="auto"/>
                <w:w w:val="91"/>
              </w:rPr>
              <w:t>Keith C. Valentine</w:t>
            </w:r>
          </w:p>
        </w:tc>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Matthew B. Hemington</w:t>
      </w:r>
    </w:p>
    <w:p>
      <w:pPr>
        <w:spacing w:after="0" w:line="19" w:lineRule="exact"/>
        <w:rPr>
          <w:sz w:val="20"/>
          <w:szCs w:val="20"/>
          <w:color w:val="auto"/>
        </w:rPr>
      </w:pPr>
    </w:p>
    <w:p>
      <w:pPr>
        <w:ind w:right="9440" w:firstLine="8"/>
        <w:spacing w:after="0" w:line="328" w:lineRule="auto"/>
        <w:tabs>
          <w:tab w:leader="none" w:pos="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+1 650 843 5062 hemingtonmb@cooley.com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1,509,828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consisting of (a) 1,258,190 shares of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issuable pursuant to the Company’s 2018 Equity Incentive Plan (the “</w:t>
      </w:r>
      <w:r>
        <w:rPr>
          <w:rFonts w:ascii="Arial" w:cs="Arial" w:eastAsia="Arial" w:hAnsi="Arial"/>
          <w:sz w:val="18"/>
          <w:szCs w:val="18"/>
          <w:b w:val="1"/>
          <w:bCs w:val="1"/>
          <w:i w:val="1"/>
          <w:iCs w:val="1"/>
          <w:color w:val="auto"/>
        </w:rPr>
        <w:t>2018 EIP</w:t>
      </w:r>
      <w:r>
        <w:rPr>
          <w:rFonts w:ascii="Arial" w:cs="Arial" w:eastAsia="Arial" w:hAnsi="Arial"/>
          <w:sz w:val="18"/>
          <w:szCs w:val="18"/>
          <w:color w:val="auto"/>
        </w:rPr>
        <w:t>”) and (b) 251,638 shares of Common Stock issuable pursuant to the Company’s 2018 Employee Stock Purchase Plan (together with the Company’s 2018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 (b) the Company’s Amended and Restated Certificate of Incorporation and Amended and Restated Bylaws, as currently in effect, (c) the Plans, and (d) such other records, documents, certificates, memoranda and other instruments as in our judgment are necessary or appropriate to enable us to render the opinion expressed below.</w:t>
      </w: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assumed the genuineness and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execution and delivery are a prerequisite to the effectiveness thereof. As to certain factual matters, we have relied upon a certificate of an officer of the Company and have not sought independently to verify such matters. 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9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respective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 Matthew B. Hemington</w:t>
            </w:r>
          </w:p>
        </w:tc>
      </w:tr>
      <w:tr>
        <w:trPr>
          <w:trHeight w:val="27"/>
        </w:trPr>
        <w:tc>
          <w:tcPr>
            <w:tcW w:w="6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6"/>
        </w:trPr>
        <w:tc>
          <w:tcPr>
            <w:tcW w:w="6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Matthew B. Hemington</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55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of SI-BONE, Inc. of our report dated March 11, 2020 relating to the financial statements of, which appears in SI-BONE, Inc.’s Annual Report on Form 10-K, dated March 11, 2020,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5" Type="http://schemas.openxmlformats.org/officeDocument/2006/relationships/image" Target="media/image1.png"/><Relationship Id="rId16" Type="http://schemas.openxmlformats.org/officeDocument/2006/relationships/image" Target="media/image2.jpeg"/><Relationship Id="rId8" Type="http://schemas.openxmlformats.org/officeDocument/2006/relationships/hyperlink" Target="http://www.sec.gov/Archives/edgar/data/1459839/000119312518303020/d641574dex31.htm" TargetMode="External"/><Relationship Id="rId9" Type="http://schemas.openxmlformats.org/officeDocument/2006/relationships/hyperlink" Target="http://www.sec.gov/Archives/edgar/data/1459839/000119312518293978/d452987dex34.htm" TargetMode="External"/><Relationship Id="rId10" Type="http://schemas.openxmlformats.org/officeDocument/2006/relationships/hyperlink" Target="http://www.sec.gov/Archives/edgar/data/1459839/000119312518293978/d452987dex41.htm" TargetMode="External"/><Relationship Id="rId11" Type="http://schemas.openxmlformats.org/officeDocument/2006/relationships/hyperlink" Target="http://www.sec.gov/Archives/edgar/data/1459839/000119312518293978/d452987dex103.htm" TargetMode="External"/><Relationship Id="rId12" Type="http://schemas.openxmlformats.org/officeDocument/2006/relationships/hyperlink" Target="http://www.sec.gov/Archives/edgar/data/1459839/000119312518293978/d452987dex104.htm" TargetMode="External"/><Relationship Id="rId13" Type="http://schemas.openxmlformats.org/officeDocument/2006/relationships/hyperlink" Target="http://www.sec.gov/Archives/edgar/data/1459839/000119312518293978/d452987dex105.htm" TargetMode="External"/><Relationship Id="rId14" Type="http://schemas.openxmlformats.org/officeDocument/2006/relationships/hyperlink" Target="http://www.sec.gov/Archives/edgar/data/1459839/000119312518293978/d45298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2020-03-11T15:49:29Z</dcterms:created>
  <dcterms:modified xsi:type="dcterms:W3CDTF">2020-03-11T15:49:29Z</dcterms:modified>
</cp:coreProperties>
</file>