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line="229" w:lineRule="auto"/>
        <w:rPr>
          <w:sz w:val="20"/>
          <w:szCs w:val="20"/>
          <w:color w:val="auto"/>
        </w:rPr>
      </w:pPr>
      <w:r>
        <w:rPr>
          <w:rFonts w:ascii="Arial" w:cs="Arial" w:eastAsia="Arial" w:hAnsi="Arial"/>
          <w:sz w:val="11"/>
          <w:szCs w:val="11"/>
          <w:b w:val="1"/>
          <w:bCs w:val="1"/>
          <w:color w:val="auto"/>
        </w:rPr>
        <w:t>Washington, D.C. 20549</w:t>
      </w:r>
    </w:p>
    <w:p>
      <w:pPr>
        <w:ind w:left="3680"/>
        <w:spacing w:after="0" w:line="237" w:lineRule="auto"/>
        <w:rPr>
          <w:sz w:val="20"/>
          <w:szCs w:val="20"/>
          <w:color w:val="auto"/>
        </w:rPr>
      </w:pPr>
      <w:r>
        <w:rPr>
          <w:rFonts w:ascii="Arial" w:cs="Arial" w:eastAsia="Arial" w:hAnsi="Arial"/>
          <w:sz w:val="10"/>
          <w:szCs w:val="10"/>
          <w:color w:val="auto"/>
        </w:rPr>
        <w:t>____________________________________________________________________________</w:t>
      </w:r>
    </w:p>
    <w:p>
      <w:pPr>
        <w:jc w:val="center"/>
        <w:spacing w:after="0" w:line="236" w:lineRule="auto"/>
        <w:rPr>
          <w:sz w:val="20"/>
          <w:szCs w:val="20"/>
          <w:color w:val="auto"/>
        </w:rPr>
      </w:pPr>
      <w:r>
        <w:rPr>
          <w:rFonts w:ascii="Arial" w:cs="Arial" w:eastAsia="Arial" w:hAnsi="Arial"/>
          <w:sz w:val="17"/>
          <w:szCs w:val="17"/>
          <w:b w:val="1"/>
          <w:bCs w:val="1"/>
          <w:color w:val="auto"/>
        </w:rPr>
        <w:t>FORM 8-K</w:t>
      </w:r>
    </w:p>
    <w:p>
      <w:pPr>
        <w:ind w:left="3680"/>
        <w:spacing w:after="0"/>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Date of report (Date of earliest event reported): January 9, 2020</w:t>
      </w:r>
    </w:p>
    <w:p>
      <w:pPr>
        <w:spacing w:after="0" w:line="3" w:lineRule="exact"/>
        <w:rPr>
          <w:sz w:val="24"/>
          <w:szCs w:val="24"/>
          <w:color w:val="auto"/>
        </w:rPr>
      </w:pPr>
    </w:p>
    <w:p>
      <w:pPr>
        <w:ind w:left="3680"/>
        <w:spacing w:after="0"/>
        <w:rPr>
          <w:sz w:val="20"/>
          <w:szCs w:val="20"/>
          <w:color w:val="auto"/>
        </w:rPr>
      </w:pPr>
      <w:r>
        <w:rPr>
          <w:rFonts w:ascii="Arial" w:cs="Arial" w:eastAsia="Arial" w:hAnsi="Arial"/>
          <w:sz w:val="10"/>
          <w:szCs w:val="10"/>
          <w:color w:val="auto"/>
        </w:rPr>
        <w:t>____________________________________________________________________________</w:t>
      </w:r>
    </w:p>
    <w:p>
      <w:pPr>
        <w:jc w:val="center"/>
        <w:spacing w:after="0"/>
        <w:rPr>
          <w:sz w:val="20"/>
          <w:szCs w:val="20"/>
          <w:color w:val="auto"/>
        </w:rPr>
      </w:pPr>
      <w:r>
        <w:rPr>
          <w:rFonts w:ascii="Arial" w:cs="Arial" w:eastAsia="Arial" w:hAnsi="Arial"/>
          <w:sz w:val="17"/>
          <w:szCs w:val="17"/>
          <w:b w:val="1"/>
          <w:bCs w:val="1"/>
          <w:color w:val="auto"/>
        </w:rPr>
        <w:t>SI-BONE, INC.</w:t>
      </w:r>
    </w:p>
    <w:p>
      <w:pPr>
        <w:jc w:val="center"/>
        <w:spacing w:after="0" w:line="233" w:lineRule="auto"/>
        <w:rPr>
          <w:sz w:val="20"/>
          <w:szCs w:val="20"/>
          <w:color w:val="auto"/>
        </w:rPr>
      </w:pPr>
      <w:r>
        <w:rPr>
          <w:rFonts w:ascii="Arial" w:cs="Arial" w:eastAsia="Arial" w:hAnsi="Arial"/>
          <w:sz w:val="11"/>
          <w:szCs w:val="11"/>
          <w:color w:val="auto"/>
        </w:rPr>
        <w:t>(Exact name of registrant as specified in its charter)</w:t>
      </w:r>
    </w:p>
    <w:p>
      <w:pPr>
        <w:ind w:left="3680"/>
        <w:spacing w:after="0"/>
        <w:rPr>
          <w:sz w:val="20"/>
          <w:szCs w:val="20"/>
          <w:color w:val="auto"/>
        </w:rPr>
      </w:pPr>
      <w:r>
        <w:rPr>
          <w:rFonts w:ascii="Arial" w:cs="Arial" w:eastAsia="Arial" w:hAnsi="Arial"/>
          <w:sz w:val="10"/>
          <w:szCs w:val="10"/>
          <w:color w:val="auto"/>
        </w:rPr>
        <w:t>____________________________________________________________________________</w:t>
      </w:r>
    </w:p>
    <w:p>
      <w:pPr>
        <w:spacing w:after="0" w:line="106" w:lineRule="exact"/>
        <w:rPr>
          <w:sz w:val="24"/>
          <w:szCs w:val="24"/>
          <w:color w:val="auto"/>
        </w:rPr>
      </w:pPr>
    </w:p>
    <w:tbl>
      <w:tblPr>
        <w:tblLayout w:type="fixed"/>
        <w:tblInd w:w="820" w:type="dxa"/>
        <w:tblCellMar>
          <w:top w:w="0" w:type="dxa"/>
          <w:left w:w="0" w:type="dxa"/>
          <w:bottom w:w="0" w:type="dxa"/>
          <w:right w:w="0" w:type="dxa"/>
        </w:tblCellMar>
      </w:tblPr>
      <w:tr>
        <w:trPr>
          <w:trHeight w:val="140"/>
        </w:trPr>
        <w:tc>
          <w:tcPr>
            <w:tcW w:w="2280" w:type="dxa"/>
            <w:vAlign w:val="bottom"/>
          </w:tcPr>
          <w:p>
            <w:pPr>
              <w:jc w:val="center"/>
              <w:ind w:right="906"/>
              <w:spacing w:after="0"/>
              <w:rPr>
                <w:sz w:val="20"/>
                <w:szCs w:val="20"/>
                <w:color w:val="auto"/>
              </w:rPr>
            </w:pPr>
            <w:r>
              <w:rPr>
                <w:rFonts w:ascii="Arial" w:cs="Arial" w:eastAsia="Arial" w:hAnsi="Arial"/>
                <w:sz w:val="11"/>
                <w:szCs w:val="11"/>
                <w:b w:val="1"/>
                <w:bCs w:val="1"/>
                <w:color w:val="auto"/>
                <w:w w:val="90"/>
              </w:rPr>
              <w:t>Delaware</w:t>
            </w:r>
          </w:p>
        </w:tc>
        <w:tc>
          <w:tcPr>
            <w:tcW w:w="4840" w:type="dxa"/>
            <w:vAlign w:val="bottom"/>
          </w:tcPr>
          <w:p>
            <w:pPr>
              <w:jc w:val="center"/>
              <w:ind w:right="86"/>
              <w:spacing w:after="0"/>
              <w:rPr>
                <w:sz w:val="20"/>
                <w:szCs w:val="20"/>
                <w:color w:val="auto"/>
              </w:rPr>
            </w:pPr>
            <w:r>
              <w:rPr>
                <w:rFonts w:ascii="Arial" w:cs="Arial" w:eastAsia="Arial" w:hAnsi="Arial"/>
                <w:sz w:val="11"/>
                <w:szCs w:val="11"/>
                <w:b w:val="1"/>
                <w:bCs w:val="1"/>
                <w:color w:val="auto"/>
                <w:w w:val="87"/>
              </w:rPr>
              <w:t>001-38701</w:t>
            </w:r>
          </w:p>
        </w:tc>
        <w:tc>
          <w:tcPr>
            <w:tcW w:w="1800" w:type="dxa"/>
            <w:vAlign w:val="bottom"/>
          </w:tcPr>
          <w:p>
            <w:pPr>
              <w:jc w:val="right"/>
              <w:ind w:right="46"/>
              <w:spacing w:after="0"/>
              <w:rPr>
                <w:sz w:val="20"/>
                <w:szCs w:val="20"/>
                <w:color w:val="auto"/>
              </w:rPr>
            </w:pPr>
            <w:r>
              <w:rPr>
                <w:rFonts w:ascii="Arial" w:cs="Arial" w:eastAsia="Arial" w:hAnsi="Arial"/>
                <w:sz w:val="11"/>
                <w:szCs w:val="11"/>
                <w:b w:val="1"/>
                <w:bCs w:val="1"/>
                <w:color w:val="auto"/>
              </w:rPr>
              <w:t>26-2216351</w:t>
            </w:r>
          </w:p>
        </w:tc>
      </w:tr>
      <w:tr>
        <w:trPr>
          <w:trHeight w:val="170"/>
        </w:trPr>
        <w:tc>
          <w:tcPr>
            <w:tcW w:w="2280" w:type="dxa"/>
            <w:vAlign w:val="bottom"/>
          </w:tcPr>
          <w:p>
            <w:pPr>
              <w:jc w:val="center"/>
              <w:ind w:right="926"/>
              <w:spacing w:after="0"/>
              <w:rPr>
                <w:sz w:val="20"/>
                <w:szCs w:val="20"/>
                <w:color w:val="auto"/>
              </w:rPr>
            </w:pPr>
            <w:r>
              <w:rPr>
                <w:rFonts w:ascii="Arial" w:cs="Arial" w:eastAsia="Arial" w:hAnsi="Arial"/>
                <w:sz w:val="11"/>
                <w:szCs w:val="11"/>
                <w:color w:val="auto"/>
                <w:w w:val="91"/>
              </w:rPr>
              <w:t>(State or other jurisdiction of</w:t>
            </w:r>
          </w:p>
        </w:tc>
        <w:tc>
          <w:tcPr>
            <w:tcW w:w="4840" w:type="dxa"/>
            <w:vAlign w:val="bottom"/>
          </w:tcPr>
          <w:p>
            <w:pPr>
              <w:jc w:val="center"/>
              <w:ind w:right="86"/>
              <w:spacing w:after="0"/>
              <w:rPr>
                <w:sz w:val="20"/>
                <w:szCs w:val="20"/>
                <w:color w:val="auto"/>
              </w:rPr>
            </w:pPr>
            <w:r>
              <w:rPr>
                <w:rFonts w:ascii="Arial" w:cs="Arial" w:eastAsia="Arial" w:hAnsi="Arial"/>
                <w:sz w:val="11"/>
                <w:szCs w:val="11"/>
                <w:color w:val="auto"/>
                <w:w w:val="90"/>
              </w:rPr>
              <w:t>(Commission</w:t>
            </w:r>
          </w:p>
        </w:tc>
        <w:tc>
          <w:tcPr>
            <w:tcW w:w="1800" w:type="dxa"/>
            <w:vAlign w:val="bottom"/>
          </w:tcPr>
          <w:p>
            <w:pPr>
              <w:jc w:val="center"/>
              <w:ind w:left="966"/>
              <w:spacing w:after="0"/>
              <w:rPr>
                <w:sz w:val="20"/>
                <w:szCs w:val="20"/>
                <w:color w:val="auto"/>
              </w:rPr>
            </w:pPr>
            <w:r>
              <w:rPr>
                <w:rFonts w:ascii="Arial" w:cs="Arial" w:eastAsia="Arial" w:hAnsi="Arial"/>
                <w:sz w:val="11"/>
                <w:szCs w:val="11"/>
                <w:color w:val="auto"/>
                <w:w w:val="91"/>
              </w:rPr>
              <w:t>(I.R.S. Employer</w:t>
            </w:r>
          </w:p>
        </w:tc>
      </w:tr>
      <w:tr>
        <w:trPr>
          <w:trHeight w:val="136"/>
        </w:trPr>
        <w:tc>
          <w:tcPr>
            <w:tcW w:w="2280" w:type="dxa"/>
            <w:vAlign w:val="bottom"/>
          </w:tcPr>
          <w:p>
            <w:pPr>
              <w:jc w:val="center"/>
              <w:ind w:right="926"/>
              <w:spacing w:after="0"/>
              <w:rPr>
                <w:sz w:val="20"/>
                <w:szCs w:val="20"/>
                <w:color w:val="auto"/>
              </w:rPr>
            </w:pPr>
            <w:r>
              <w:rPr>
                <w:rFonts w:ascii="Arial" w:cs="Arial" w:eastAsia="Arial" w:hAnsi="Arial"/>
                <w:sz w:val="11"/>
                <w:szCs w:val="11"/>
                <w:color w:val="auto"/>
                <w:w w:val="90"/>
              </w:rPr>
              <w:t>incorporation or organization)</w:t>
            </w:r>
          </w:p>
        </w:tc>
        <w:tc>
          <w:tcPr>
            <w:tcW w:w="4840" w:type="dxa"/>
            <w:vAlign w:val="bottom"/>
          </w:tcPr>
          <w:p>
            <w:pPr>
              <w:jc w:val="center"/>
              <w:ind w:right="86"/>
              <w:spacing w:after="0"/>
              <w:rPr>
                <w:sz w:val="20"/>
                <w:szCs w:val="20"/>
                <w:color w:val="auto"/>
              </w:rPr>
            </w:pPr>
            <w:r>
              <w:rPr>
                <w:rFonts w:ascii="Arial" w:cs="Arial" w:eastAsia="Arial" w:hAnsi="Arial"/>
                <w:sz w:val="11"/>
                <w:szCs w:val="11"/>
                <w:color w:val="auto"/>
                <w:w w:val="91"/>
              </w:rPr>
              <w:t>File Number)</w:t>
            </w:r>
          </w:p>
        </w:tc>
        <w:tc>
          <w:tcPr>
            <w:tcW w:w="1800" w:type="dxa"/>
            <w:vAlign w:val="bottom"/>
          </w:tcPr>
          <w:p>
            <w:pPr>
              <w:jc w:val="center"/>
              <w:ind w:left="946"/>
              <w:spacing w:after="0"/>
              <w:rPr>
                <w:sz w:val="20"/>
                <w:szCs w:val="20"/>
                <w:color w:val="auto"/>
              </w:rPr>
            </w:pPr>
            <w:r>
              <w:rPr>
                <w:rFonts w:ascii="Arial" w:cs="Arial" w:eastAsia="Arial" w:hAnsi="Arial"/>
                <w:sz w:val="11"/>
                <w:szCs w:val="11"/>
                <w:color w:val="auto"/>
                <w:w w:val="93"/>
              </w:rPr>
              <w:t>Identification No.)</w:t>
            </w:r>
          </w:p>
        </w:tc>
      </w:tr>
      <w:tr>
        <w:trPr>
          <w:trHeight w:val="265"/>
        </w:trPr>
        <w:tc>
          <w:tcPr>
            <w:tcW w:w="2280" w:type="dxa"/>
            <w:vAlign w:val="bottom"/>
          </w:tcPr>
          <w:p>
            <w:pPr>
              <w:spacing w:after="0"/>
              <w:rPr>
                <w:sz w:val="23"/>
                <w:szCs w:val="23"/>
                <w:color w:val="auto"/>
              </w:rPr>
            </w:pPr>
          </w:p>
        </w:tc>
        <w:tc>
          <w:tcPr>
            <w:tcW w:w="4840" w:type="dxa"/>
            <w:vAlign w:val="bottom"/>
          </w:tcPr>
          <w:p>
            <w:pPr>
              <w:jc w:val="center"/>
              <w:spacing w:after="0"/>
              <w:rPr>
                <w:sz w:val="20"/>
                <w:szCs w:val="20"/>
                <w:color w:val="auto"/>
              </w:rPr>
            </w:pPr>
            <w:r>
              <w:rPr>
                <w:rFonts w:ascii="Arial" w:cs="Arial" w:eastAsia="Arial" w:hAnsi="Arial"/>
                <w:sz w:val="11"/>
                <w:szCs w:val="11"/>
                <w:b w:val="1"/>
                <w:bCs w:val="1"/>
                <w:color w:val="auto"/>
                <w:w w:val="90"/>
              </w:rPr>
              <w:t>471 El Camino Real</w:t>
            </w:r>
          </w:p>
        </w:tc>
        <w:tc>
          <w:tcPr>
            <w:tcW w:w="1800" w:type="dxa"/>
            <w:vAlign w:val="bottom"/>
          </w:tcPr>
          <w:p>
            <w:pPr>
              <w:spacing w:after="0"/>
              <w:rPr>
                <w:sz w:val="23"/>
                <w:szCs w:val="23"/>
                <w:color w:val="auto"/>
              </w:rPr>
            </w:pPr>
          </w:p>
        </w:tc>
      </w:tr>
      <w:tr>
        <w:trPr>
          <w:trHeight w:val="126"/>
        </w:trPr>
        <w:tc>
          <w:tcPr>
            <w:tcW w:w="2280" w:type="dxa"/>
            <w:vAlign w:val="bottom"/>
          </w:tcPr>
          <w:p>
            <w:pPr>
              <w:spacing w:after="0"/>
              <w:rPr>
                <w:sz w:val="10"/>
                <w:szCs w:val="10"/>
                <w:color w:val="auto"/>
              </w:rPr>
            </w:pPr>
          </w:p>
        </w:tc>
        <w:tc>
          <w:tcPr>
            <w:tcW w:w="4840" w:type="dxa"/>
            <w:vAlign w:val="bottom"/>
          </w:tcPr>
          <w:p>
            <w:pPr>
              <w:jc w:val="center"/>
              <w:ind w:right="6"/>
              <w:spacing w:after="0"/>
              <w:rPr>
                <w:sz w:val="20"/>
                <w:szCs w:val="20"/>
                <w:color w:val="auto"/>
              </w:rPr>
            </w:pPr>
            <w:r>
              <w:rPr>
                <w:rFonts w:ascii="Arial" w:cs="Arial" w:eastAsia="Arial" w:hAnsi="Arial"/>
                <w:sz w:val="11"/>
                <w:szCs w:val="11"/>
                <w:b w:val="1"/>
                <w:bCs w:val="1"/>
                <w:color w:val="auto"/>
                <w:w w:val="86"/>
              </w:rPr>
              <w:t>Suite 101</w:t>
            </w:r>
          </w:p>
        </w:tc>
        <w:tc>
          <w:tcPr>
            <w:tcW w:w="1800" w:type="dxa"/>
            <w:vAlign w:val="bottom"/>
          </w:tcPr>
          <w:p>
            <w:pPr>
              <w:spacing w:after="0"/>
              <w:rPr>
                <w:sz w:val="10"/>
                <w:szCs w:val="10"/>
                <w:color w:val="auto"/>
              </w:rPr>
            </w:pPr>
          </w:p>
        </w:tc>
      </w:tr>
      <w:tr>
        <w:trPr>
          <w:trHeight w:val="130"/>
        </w:trPr>
        <w:tc>
          <w:tcPr>
            <w:tcW w:w="2280" w:type="dxa"/>
            <w:vAlign w:val="bottom"/>
          </w:tcPr>
          <w:p>
            <w:pPr>
              <w:spacing w:after="0"/>
              <w:rPr>
                <w:sz w:val="11"/>
                <w:szCs w:val="11"/>
                <w:color w:val="auto"/>
              </w:rPr>
            </w:pPr>
          </w:p>
        </w:tc>
        <w:tc>
          <w:tcPr>
            <w:tcW w:w="4840" w:type="dxa"/>
            <w:vAlign w:val="bottom"/>
          </w:tcPr>
          <w:p>
            <w:pPr>
              <w:jc w:val="center"/>
              <w:ind w:right="6"/>
              <w:spacing w:after="0"/>
              <w:rPr>
                <w:sz w:val="20"/>
                <w:szCs w:val="20"/>
                <w:color w:val="auto"/>
              </w:rPr>
            </w:pPr>
            <w:r>
              <w:rPr>
                <w:rFonts w:ascii="Arial" w:cs="Arial" w:eastAsia="Arial" w:hAnsi="Arial"/>
                <w:sz w:val="11"/>
                <w:szCs w:val="11"/>
                <w:b w:val="1"/>
                <w:bCs w:val="1"/>
                <w:color w:val="auto"/>
                <w:w w:val="91"/>
              </w:rPr>
              <w:t>Santa Clara, CA 95050</w:t>
            </w:r>
          </w:p>
        </w:tc>
        <w:tc>
          <w:tcPr>
            <w:tcW w:w="1800" w:type="dxa"/>
            <w:vAlign w:val="bottom"/>
          </w:tcPr>
          <w:p>
            <w:pPr>
              <w:spacing w:after="0"/>
              <w:rPr>
                <w:sz w:val="11"/>
                <w:szCs w:val="11"/>
                <w:color w:val="auto"/>
              </w:rPr>
            </w:pPr>
          </w:p>
        </w:tc>
      </w:tr>
      <w:tr>
        <w:trPr>
          <w:trHeight w:val="136"/>
        </w:trPr>
        <w:tc>
          <w:tcPr>
            <w:tcW w:w="2280" w:type="dxa"/>
            <w:vAlign w:val="bottom"/>
          </w:tcPr>
          <w:p>
            <w:pPr>
              <w:spacing w:after="0"/>
              <w:rPr>
                <w:sz w:val="11"/>
                <w:szCs w:val="11"/>
                <w:color w:val="auto"/>
              </w:rPr>
            </w:pPr>
          </w:p>
        </w:tc>
        <w:tc>
          <w:tcPr>
            <w:tcW w:w="4840" w:type="dxa"/>
            <w:vAlign w:val="bottom"/>
          </w:tcPr>
          <w:p>
            <w:pPr>
              <w:jc w:val="center"/>
              <w:ind w:right="6"/>
              <w:spacing w:after="0"/>
              <w:rPr>
                <w:sz w:val="20"/>
                <w:szCs w:val="20"/>
                <w:color w:val="auto"/>
              </w:rPr>
            </w:pPr>
            <w:r>
              <w:rPr>
                <w:rFonts w:ascii="Arial" w:cs="Arial" w:eastAsia="Arial" w:hAnsi="Arial"/>
                <w:sz w:val="11"/>
                <w:szCs w:val="11"/>
                <w:color w:val="auto"/>
                <w:w w:val="91"/>
              </w:rPr>
              <w:t>(Address of principal executive offices) (Zip Code)</w:t>
            </w:r>
          </w:p>
        </w:tc>
        <w:tc>
          <w:tcPr>
            <w:tcW w:w="1800" w:type="dxa"/>
            <w:vAlign w:val="bottom"/>
          </w:tcPr>
          <w:p>
            <w:pPr>
              <w:spacing w:after="0"/>
              <w:rPr>
                <w:sz w:val="11"/>
                <w:szCs w:val="11"/>
                <w:color w:val="auto"/>
              </w:rPr>
            </w:pPr>
          </w:p>
        </w:tc>
      </w:tr>
      <w:tr>
        <w:trPr>
          <w:trHeight w:val="260"/>
        </w:trPr>
        <w:tc>
          <w:tcPr>
            <w:tcW w:w="2280" w:type="dxa"/>
            <w:vAlign w:val="bottom"/>
          </w:tcPr>
          <w:p>
            <w:pPr>
              <w:spacing w:after="0"/>
              <w:rPr>
                <w:sz w:val="22"/>
                <w:szCs w:val="22"/>
                <w:color w:val="auto"/>
              </w:rPr>
            </w:pPr>
          </w:p>
        </w:tc>
        <w:tc>
          <w:tcPr>
            <w:tcW w:w="4840" w:type="dxa"/>
            <w:vAlign w:val="bottom"/>
          </w:tcPr>
          <w:p>
            <w:pPr>
              <w:jc w:val="center"/>
              <w:spacing w:after="0"/>
              <w:rPr>
                <w:sz w:val="20"/>
                <w:szCs w:val="20"/>
                <w:color w:val="auto"/>
              </w:rPr>
            </w:pPr>
            <w:r>
              <w:rPr>
                <w:rFonts w:ascii="Arial" w:cs="Arial" w:eastAsia="Arial" w:hAnsi="Arial"/>
                <w:sz w:val="11"/>
                <w:szCs w:val="11"/>
                <w:b w:val="1"/>
                <w:bCs w:val="1"/>
                <w:color w:val="auto"/>
                <w:w w:val="90"/>
              </w:rPr>
              <w:t>(408) 207-0700</w:t>
            </w:r>
          </w:p>
        </w:tc>
        <w:tc>
          <w:tcPr>
            <w:tcW w:w="1800" w:type="dxa"/>
            <w:vAlign w:val="bottom"/>
          </w:tcPr>
          <w:p>
            <w:pPr>
              <w:spacing w:after="0"/>
              <w:rPr>
                <w:sz w:val="22"/>
                <w:szCs w:val="22"/>
                <w:color w:val="auto"/>
              </w:rPr>
            </w:pPr>
          </w:p>
        </w:tc>
      </w:tr>
      <w:tr>
        <w:trPr>
          <w:trHeight w:val="136"/>
        </w:trPr>
        <w:tc>
          <w:tcPr>
            <w:tcW w:w="2280" w:type="dxa"/>
            <w:vAlign w:val="bottom"/>
          </w:tcPr>
          <w:p>
            <w:pPr>
              <w:spacing w:after="0"/>
              <w:rPr>
                <w:sz w:val="11"/>
                <w:szCs w:val="11"/>
                <w:color w:val="auto"/>
              </w:rPr>
            </w:pPr>
          </w:p>
        </w:tc>
        <w:tc>
          <w:tcPr>
            <w:tcW w:w="4840" w:type="dxa"/>
            <w:vAlign w:val="bottom"/>
          </w:tcPr>
          <w:p>
            <w:pPr>
              <w:jc w:val="center"/>
              <w:spacing w:after="0"/>
              <w:rPr>
                <w:sz w:val="20"/>
                <w:szCs w:val="20"/>
                <w:color w:val="auto"/>
              </w:rPr>
            </w:pPr>
            <w:r>
              <w:rPr>
                <w:rFonts w:ascii="Arial" w:cs="Arial" w:eastAsia="Arial" w:hAnsi="Arial"/>
                <w:sz w:val="11"/>
                <w:szCs w:val="11"/>
                <w:color w:val="auto"/>
                <w:w w:val="87"/>
              </w:rPr>
              <w:t>(Registrant’s telephone number, include area code)</w:t>
            </w:r>
          </w:p>
        </w:tc>
        <w:tc>
          <w:tcPr>
            <w:tcW w:w="1800" w:type="dxa"/>
            <w:vAlign w:val="bottom"/>
          </w:tcPr>
          <w:p>
            <w:pPr>
              <w:spacing w:after="0"/>
              <w:rPr>
                <w:sz w:val="11"/>
                <w:szCs w:val="11"/>
                <w:color w:val="auto"/>
              </w:rPr>
            </w:pPr>
          </w:p>
        </w:tc>
      </w:tr>
      <w:tr>
        <w:trPr>
          <w:trHeight w:val="260"/>
        </w:trPr>
        <w:tc>
          <w:tcPr>
            <w:tcW w:w="2280" w:type="dxa"/>
            <w:vAlign w:val="bottom"/>
          </w:tcPr>
          <w:p>
            <w:pPr>
              <w:spacing w:after="0"/>
              <w:rPr>
                <w:sz w:val="22"/>
                <w:szCs w:val="22"/>
                <w:color w:val="auto"/>
              </w:rPr>
            </w:pPr>
          </w:p>
        </w:tc>
        <w:tc>
          <w:tcPr>
            <w:tcW w:w="4840" w:type="dxa"/>
            <w:vAlign w:val="bottom"/>
          </w:tcPr>
          <w:p>
            <w:pPr>
              <w:jc w:val="center"/>
              <w:ind w:right="6"/>
              <w:spacing w:after="0"/>
              <w:rPr>
                <w:sz w:val="20"/>
                <w:szCs w:val="20"/>
                <w:color w:val="auto"/>
              </w:rPr>
            </w:pPr>
            <w:r>
              <w:rPr>
                <w:rFonts w:ascii="Arial" w:cs="Arial" w:eastAsia="Arial" w:hAnsi="Arial"/>
                <w:sz w:val="11"/>
                <w:szCs w:val="11"/>
                <w:b w:val="1"/>
                <w:bCs w:val="1"/>
                <w:color w:val="auto"/>
                <w:w w:val="94"/>
              </w:rPr>
              <w:t>N/A</w:t>
            </w:r>
          </w:p>
        </w:tc>
        <w:tc>
          <w:tcPr>
            <w:tcW w:w="1800" w:type="dxa"/>
            <w:vAlign w:val="bottom"/>
          </w:tcPr>
          <w:p>
            <w:pPr>
              <w:spacing w:after="0"/>
              <w:rPr>
                <w:sz w:val="22"/>
                <w:szCs w:val="22"/>
                <w:color w:val="auto"/>
              </w:rPr>
            </w:pPr>
          </w:p>
        </w:tc>
      </w:tr>
      <w:tr>
        <w:trPr>
          <w:trHeight w:val="136"/>
        </w:trPr>
        <w:tc>
          <w:tcPr>
            <w:tcW w:w="2280" w:type="dxa"/>
            <w:vAlign w:val="bottom"/>
          </w:tcPr>
          <w:p>
            <w:pPr>
              <w:spacing w:after="0"/>
              <w:rPr>
                <w:sz w:val="11"/>
                <w:szCs w:val="11"/>
                <w:color w:val="auto"/>
              </w:rPr>
            </w:pPr>
          </w:p>
        </w:tc>
        <w:tc>
          <w:tcPr>
            <w:tcW w:w="4840" w:type="dxa"/>
            <w:vAlign w:val="bottom"/>
          </w:tcPr>
          <w:p>
            <w:pPr>
              <w:jc w:val="center"/>
              <w:ind w:right="6"/>
              <w:spacing w:after="0"/>
              <w:rPr>
                <w:sz w:val="20"/>
                <w:szCs w:val="20"/>
                <w:color w:val="auto"/>
              </w:rPr>
            </w:pPr>
            <w:r>
              <w:rPr>
                <w:rFonts w:ascii="Arial" w:cs="Arial" w:eastAsia="Arial" w:hAnsi="Arial"/>
                <w:sz w:val="11"/>
                <w:szCs w:val="11"/>
                <w:color w:val="auto"/>
                <w:w w:val="89"/>
              </w:rPr>
              <w:t>(Former Name or Former Address, if Changed Since Last Report)</w:t>
            </w:r>
          </w:p>
        </w:tc>
        <w:tc>
          <w:tcPr>
            <w:tcW w:w="1800" w:type="dxa"/>
            <w:vAlign w:val="bottom"/>
          </w:tcPr>
          <w:p>
            <w:pPr>
              <w:spacing w:after="0"/>
              <w:rPr>
                <w:sz w:val="11"/>
                <w:szCs w:val="11"/>
                <w:color w:val="auto"/>
              </w:rPr>
            </w:pP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252" w:lineRule="exact"/>
        <w:rPr>
          <w:sz w:val="24"/>
          <w:szCs w:val="24"/>
          <w:color w:val="auto"/>
        </w:rPr>
      </w:pPr>
    </w:p>
    <w:p>
      <w:pPr>
        <w:ind w:left="1400" w:hanging="468"/>
        <w:spacing w:after="0"/>
        <w:tabs>
          <w:tab w:leader="none" w:pos="1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34" w:lineRule="exact"/>
        <w:rPr>
          <w:rFonts w:ascii="Arial" w:cs="Arial" w:eastAsia="Arial" w:hAnsi="Arial"/>
          <w:sz w:val="11"/>
          <w:szCs w:val="11"/>
          <w:color w:val="auto"/>
        </w:rPr>
      </w:pPr>
    </w:p>
    <w:p>
      <w:pPr>
        <w:ind w:left="1400" w:hanging="468"/>
        <w:spacing w:after="0"/>
        <w:tabs>
          <w:tab w:leader="none" w:pos="1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34" w:lineRule="exact"/>
        <w:rPr>
          <w:rFonts w:ascii="Arial" w:cs="Arial" w:eastAsia="Arial" w:hAnsi="Arial"/>
          <w:sz w:val="11"/>
          <w:szCs w:val="11"/>
          <w:color w:val="auto"/>
        </w:rPr>
      </w:pPr>
    </w:p>
    <w:p>
      <w:pPr>
        <w:ind w:left="1400" w:hanging="468"/>
        <w:spacing w:after="0"/>
        <w:tabs>
          <w:tab w:leader="none" w:pos="140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35" w:lineRule="exact"/>
        <w:rPr>
          <w:sz w:val="24"/>
          <w:szCs w:val="24"/>
          <w:color w:val="auto"/>
        </w:rPr>
      </w:pPr>
    </w:p>
    <w:p>
      <w:pPr>
        <w:ind w:left="1420" w:hanging="475"/>
        <w:spacing w:after="0"/>
        <w:tabs>
          <w:tab w:leader="none" w:pos="1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1" w:lineRule="exact"/>
        <w:rPr>
          <w:sz w:val="24"/>
          <w:szCs w:val="24"/>
          <w:color w:val="auto"/>
        </w:rPr>
      </w:pPr>
    </w:p>
    <w:tbl>
      <w:tblPr>
        <w:tblLayout w:type="fixed"/>
        <w:tblInd w:w="128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980" w:type="dxa"/>
            <w:vAlign w:val="bottom"/>
            <w:gridSpan w:val="3"/>
          </w:tcPr>
          <w:p>
            <w:pPr>
              <w:ind w:left="520"/>
              <w:spacing w:after="0"/>
              <w:rPr>
                <w:sz w:val="20"/>
                <w:szCs w:val="20"/>
                <w:color w:val="auto"/>
              </w:rPr>
            </w:pPr>
            <w:r>
              <w:rPr>
                <w:rFonts w:ascii="Arial" w:cs="Arial" w:eastAsia="Arial" w:hAnsi="Arial"/>
                <w:sz w:val="11"/>
                <w:szCs w:val="11"/>
                <w:color w:val="auto"/>
              </w:rPr>
              <w:t>Securities registered pursuant to Section 12(b) of the Act:</w:t>
            </w:r>
          </w:p>
        </w:tc>
        <w:tc>
          <w:tcPr>
            <w:tcW w:w="2000" w:type="dxa"/>
            <w:vAlign w:val="bottom"/>
          </w:tcPr>
          <w:p>
            <w:pPr>
              <w:spacing w:after="0"/>
              <w:rPr>
                <w:sz w:val="11"/>
                <w:szCs w:val="11"/>
                <w:color w:val="auto"/>
              </w:rPr>
            </w:pPr>
          </w:p>
        </w:tc>
      </w:tr>
      <w:tr>
        <w:trPr>
          <w:trHeight w:val="355"/>
        </w:trPr>
        <w:tc>
          <w:tcPr>
            <w:tcW w:w="560" w:type="dxa"/>
            <w:vAlign w:val="bottom"/>
          </w:tcPr>
          <w:p>
            <w:pPr>
              <w:spacing w:after="0"/>
              <w:rPr>
                <w:sz w:val="24"/>
                <w:szCs w:val="24"/>
                <w:color w:val="auto"/>
              </w:rPr>
            </w:pPr>
          </w:p>
        </w:tc>
        <w:tc>
          <w:tcPr>
            <w:tcW w:w="1880" w:type="dxa"/>
            <w:vAlign w:val="bottom"/>
            <w:gridSpan w:val="2"/>
          </w:tcPr>
          <w:p>
            <w:pPr>
              <w:jc w:val="center"/>
              <w:ind w:right="1080"/>
              <w:spacing w:after="0"/>
              <w:rPr>
                <w:sz w:val="20"/>
                <w:szCs w:val="20"/>
                <w:color w:val="auto"/>
              </w:rPr>
            </w:pPr>
            <w:r>
              <w:rPr>
                <w:rFonts w:ascii="Arial" w:cs="Arial" w:eastAsia="Arial" w:hAnsi="Arial"/>
                <w:sz w:val="11"/>
                <w:szCs w:val="11"/>
                <w:b w:val="1"/>
                <w:bCs w:val="1"/>
                <w:color w:val="auto"/>
                <w:w w:val="84"/>
              </w:rPr>
              <w:t>Title of each class</w:t>
            </w:r>
          </w:p>
        </w:tc>
        <w:tc>
          <w:tcPr>
            <w:tcW w:w="1300" w:type="dxa"/>
            <w:vAlign w:val="bottom"/>
          </w:tcPr>
          <w:p>
            <w:pPr>
              <w:spacing w:after="0"/>
              <w:rPr>
                <w:sz w:val="24"/>
                <w:szCs w:val="24"/>
                <w:color w:val="auto"/>
              </w:rPr>
            </w:pPr>
          </w:p>
        </w:tc>
        <w:tc>
          <w:tcPr>
            <w:tcW w:w="2680" w:type="dxa"/>
            <w:vAlign w:val="bottom"/>
            <w:gridSpan w:val="2"/>
          </w:tcPr>
          <w:p>
            <w:pPr>
              <w:jc w:val="center"/>
              <w:ind w:right="1820"/>
              <w:spacing w:after="0"/>
              <w:rPr>
                <w:sz w:val="20"/>
                <w:szCs w:val="20"/>
                <w:color w:val="auto"/>
              </w:rPr>
            </w:pPr>
            <w:r>
              <w:rPr>
                <w:rFonts w:ascii="Arial" w:cs="Arial" w:eastAsia="Arial" w:hAnsi="Arial"/>
                <w:sz w:val="11"/>
                <w:szCs w:val="11"/>
                <w:b w:val="1"/>
                <w:bCs w:val="1"/>
                <w:color w:val="auto"/>
                <w:w w:val="89"/>
              </w:rPr>
              <w:t>Trading Symbol(s)</w:t>
            </w:r>
          </w:p>
        </w:tc>
        <w:tc>
          <w:tcPr>
            <w:tcW w:w="20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74"/>
        </w:trPr>
        <w:tc>
          <w:tcPr>
            <w:tcW w:w="2440" w:type="dxa"/>
            <w:vAlign w:val="bottom"/>
            <w:gridSpan w:val="3"/>
          </w:tcPr>
          <w:p>
            <w:pPr>
              <w:jc w:val="center"/>
              <w:ind w:right="520"/>
              <w:spacing w:after="0"/>
              <w:rPr>
                <w:sz w:val="20"/>
                <w:szCs w:val="20"/>
                <w:color w:val="auto"/>
              </w:rPr>
            </w:pPr>
            <w:r>
              <w:rPr>
                <w:rFonts w:ascii="Arial" w:cs="Arial" w:eastAsia="Arial" w:hAnsi="Arial"/>
                <w:sz w:val="11"/>
                <w:szCs w:val="11"/>
                <w:color w:val="auto"/>
                <w:w w:val="87"/>
              </w:rPr>
              <w:t>Common Stock, par value $0.0001 per share</w:t>
            </w:r>
          </w:p>
        </w:tc>
        <w:tc>
          <w:tcPr>
            <w:tcW w:w="1300" w:type="dxa"/>
            <w:vAlign w:val="bottom"/>
          </w:tcPr>
          <w:p>
            <w:pPr>
              <w:spacing w:after="0"/>
              <w:rPr>
                <w:sz w:val="15"/>
                <w:szCs w:val="15"/>
                <w:color w:val="auto"/>
              </w:rPr>
            </w:pPr>
          </w:p>
        </w:tc>
        <w:tc>
          <w:tcPr>
            <w:tcW w:w="2680" w:type="dxa"/>
            <w:vAlign w:val="bottom"/>
            <w:gridSpan w:val="2"/>
          </w:tcPr>
          <w:p>
            <w:pPr>
              <w:jc w:val="center"/>
              <w:ind w:right="1840"/>
              <w:spacing w:after="0"/>
              <w:rPr>
                <w:sz w:val="20"/>
                <w:szCs w:val="20"/>
                <w:color w:val="auto"/>
              </w:rPr>
            </w:pPr>
            <w:r>
              <w:rPr>
                <w:rFonts w:ascii="Arial" w:cs="Arial" w:eastAsia="Arial" w:hAnsi="Arial"/>
                <w:sz w:val="11"/>
                <w:szCs w:val="11"/>
                <w:color w:val="auto"/>
                <w:w w:val="93"/>
              </w:rPr>
              <w:t>SIBN</w:t>
            </w: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The Nasdaq Global Market</w:t>
            </w: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jc w:val="center"/>
        <w:ind w:right="20"/>
        <w:spacing w:after="0" w:line="127" w:lineRule="exact"/>
        <w:tabs>
          <w:tab w:leader="none" w:pos="120" w:val="left"/>
        </w:tabs>
        <w:rPr>
          <w:sz w:val="20"/>
          <w:szCs w:val="20"/>
          <w:color w:val="auto"/>
        </w:rPr>
      </w:pP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00"/>
          </w:cols>
          <w:pgMar w:left="460" w:top="485" w:right="43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 Results of Operations and Financial Condition.</w:t>
      </w:r>
    </w:p>
    <w:p>
      <w:pPr>
        <w:spacing w:after="0" w:line="15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On January 9, 2020, SI-BONE, Inc. (the "Company") issued a press release (the “Press Release”) announcing preliminary unaudited revenue for the fourth quarter and full year 2019 and providing full year 2020 revenue guidance. A copy of the Press Release is attached as Exhibit 99.1 to this current report on Form 8-K and is incorporated by reference herein.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 Regulation FD Disclosure.</w:t>
      </w:r>
    </w:p>
    <w:p>
      <w:pPr>
        <w:spacing w:after="0" w:line="226"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Members of the Company’s management team expect to meet with investors and analysts at the J.P. Morgan Annual Healthcare Conference on January 13, 2020 and January 14, 2020 to discuss the Company, using presentation materials which are furnished and attached as Exhibit 99.2.</w:t>
      </w:r>
    </w:p>
    <w:p>
      <w:pPr>
        <w:spacing w:after="0" w:line="11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information in this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Exhibit No.</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60" w:type="dxa"/>
            <w:vAlign w:val="bottom"/>
          </w:tcPr>
          <w:p>
            <w:pPr>
              <w:ind w:left="2880"/>
              <w:spacing w:after="0"/>
              <w:rPr>
                <w:sz w:val="20"/>
                <w:szCs w:val="20"/>
                <w:color w:val="auto"/>
              </w:rPr>
            </w:pPr>
            <w:r>
              <w:rPr>
                <w:rFonts w:ascii="Arial" w:cs="Arial" w:eastAsia="Arial" w:hAnsi="Arial"/>
                <w:sz w:val="12"/>
                <w:szCs w:val="12"/>
                <w:b w:val="1"/>
                <w:bCs w:val="1"/>
                <w:color w:val="auto"/>
              </w:rPr>
              <w:t>Description</w:t>
            </w:r>
          </w:p>
        </w:tc>
      </w:tr>
      <w:tr>
        <w:trPr>
          <w:trHeight w:val="313"/>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99.1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700" w:type="dxa"/>
            <w:vAlign w:val="bottom"/>
            <w:tcBorders>
              <w:top w:val="single" w:sz="8" w:color="auto"/>
              <w:bottom w:val="single" w:sz="8" w:color="0000FF"/>
            </w:tcBorders>
            <w:gridSpan w:val="2"/>
          </w:tcPr>
          <w:p>
            <w:pPr>
              <w:spacing w:after="0"/>
              <w:rPr>
                <w:rFonts w:ascii="Arial" w:cs="Arial" w:eastAsia="Arial" w:hAnsi="Arial"/>
                <w:sz w:val="12"/>
                <w:szCs w:val="12"/>
                <w:color w:val="0000FF"/>
                <w:w w:val="85"/>
              </w:rPr>
            </w:pPr>
            <w:hyperlink w:anchor="page4">
              <w:r>
                <w:rPr>
                  <w:rFonts w:ascii="Arial" w:cs="Arial" w:eastAsia="Arial" w:hAnsi="Arial"/>
                  <w:sz w:val="12"/>
                  <w:szCs w:val="12"/>
                  <w:color w:val="0000FF"/>
                  <w:w w:val="85"/>
                </w:rPr>
                <w:t>Press release dated January 9, 2020</w:t>
              </w:r>
            </w:hyperlink>
          </w:p>
        </w:tc>
        <w:tc>
          <w:tcPr>
            <w:tcW w:w="8060" w:type="dxa"/>
            <w:vAlign w:val="bottom"/>
            <w:tcBorders>
              <w:top w:val="single" w:sz="8" w:color="auto"/>
            </w:tcBorders>
          </w:tcPr>
          <w:p>
            <w:pPr>
              <w:spacing w:after="0"/>
              <w:rPr>
                <w:sz w:val="24"/>
                <w:szCs w:val="24"/>
                <w:color w:val="auto"/>
              </w:rPr>
            </w:pPr>
          </w:p>
        </w:tc>
      </w:tr>
      <w:tr>
        <w:trPr>
          <w:trHeight w:val="160"/>
        </w:trPr>
        <w:tc>
          <w:tcPr>
            <w:tcW w:w="860" w:type="dxa"/>
            <w:vAlign w:val="bottom"/>
          </w:tcPr>
          <w:p>
            <w:pPr>
              <w:jc w:val="center"/>
              <w:spacing w:after="0"/>
              <w:rPr>
                <w:sz w:val="20"/>
                <w:szCs w:val="20"/>
                <w:color w:val="auto"/>
              </w:rPr>
            </w:pPr>
            <w:r>
              <w:rPr>
                <w:rFonts w:ascii="Arial" w:cs="Arial" w:eastAsia="Arial" w:hAnsi="Arial"/>
                <w:sz w:val="12"/>
                <w:szCs w:val="12"/>
                <w:color w:val="auto"/>
                <w:w w:val="93"/>
              </w:rPr>
              <w:t>99.2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bottom w:val="single" w:sz="8" w:color="0000FF"/>
            </w:tcBorders>
          </w:tcPr>
          <w:p>
            <w:pPr>
              <w:spacing w:after="0"/>
              <w:rPr>
                <w:rFonts w:ascii="Arial" w:cs="Arial" w:eastAsia="Arial" w:hAnsi="Arial"/>
                <w:sz w:val="12"/>
                <w:szCs w:val="12"/>
                <w:color w:val="0000FF"/>
                <w:w w:val="87"/>
              </w:rPr>
            </w:pPr>
            <w:hyperlink w:anchor="page6">
              <w:r>
                <w:rPr>
                  <w:rFonts w:ascii="Arial" w:cs="Arial" w:eastAsia="Arial" w:hAnsi="Arial"/>
                  <w:sz w:val="12"/>
                  <w:szCs w:val="12"/>
                  <w:color w:val="0000FF"/>
                  <w:w w:val="87"/>
                </w:rPr>
                <w:t>Presentation dated January 2020</w:t>
              </w:r>
            </w:hyperlink>
          </w:p>
        </w:tc>
        <w:tc>
          <w:tcPr>
            <w:tcW w:w="8200" w:type="dxa"/>
            <w:vAlign w:val="bottom"/>
            <w:gridSpan w:val="2"/>
          </w:tcPr>
          <w:p>
            <w:pPr>
              <w:spacing w:after="0"/>
              <w:rPr>
                <w:sz w:val="13"/>
                <w:szCs w:val="13"/>
                <w:color w:val="auto"/>
              </w:rPr>
            </w:pPr>
          </w:p>
        </w:tc>
      </w:tr>
    </w:tbl>
    <w:p>
      <w:pPr>
        <w:sectPr>
          <w:pgSz w:w="11900" w:h="16838" w:orient="portrait"/>
          <w:cols w:equalWidth="0" w:num="1">
            <w:col w:w="11480"/>
          </w:cols>
          <w:pgMar w:left="220" w:top="415"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220" w:type="dxa"/>
            <w:vAlign w:val="bottom"/>
            <w:gridSpan w:val="2"/>
          </w:tcPr>
          <w:p>
            <w:pPr>
              <w:ind w:left="1580"/>
              <w:spacing w:after="0"/>
              <w:rPr>
                <w:sz w:val="20"/>
                <w:szCs w:val="20"/>
                <w:color w:val="auto"/>
              </w:rPr>
            </w:pPr>
            <w:r>
              <w:rPr>
                <w:rFonts w:ascii="Arial" w:cs="Arial" w:eastAsia="Arial" w:hAnsi="Arial"/>
                <w:sz w:val="12"/>
                <w:szCs w:val="12"/>
                <w:b w:val="1"/>
                <w:bCs w:val="1"/>
                <w:color w:val="auto"/>
              </w:rPr>
              <w:t>SI-BONE, INC.</w:t>
            </w:r>
          </w:p>
        </w:tc>
      </w:tr>
      <w:tr>
        <w:trPr>
          <w:trHeight w:val="369"/>
        </w:trPr>
        <w:tc>
          <w:tcPr>
            <w:tcW w:w="580" w:type="dxa"/>
            <w:vAlign w:val="bottom"/>
          </w:tcPr>
          <w:p>
            <w:pPr>
              <w:spacing w:after="0"/>
              <w:rPr>
                <w:sz w:val="20"/>
                <w:szCs w:val="20"/>
                <w:color w:val="auto"/>
              </w:rPr>
            </w:pPr>
            <w:r>
              <w:rPr>
                <w:rFonts w:ascii="Arial" w:cs="Arial" w:eastAsia="Arial" w:hAnsi="Arial"/>
                <w:sz w:val="12"/>
                <w:szCs w:val="12"/>
                <w:color w:val="auto"/>
              </w:rPr>
              <w:t>Date:</w:t>
            </w:r>
          </w:p>
        </w:tc>
        <w:tc>
          <w:tcPr>
            <w:tcW w:w="2660" w:type="dxa"/>
            <w:vAlign w:val="bottom"/>
          </w:tcPr>
          <w:p>
            <w:pPr>
              <w:ind w:left="340"/>
              <w:spacing w:after="0"/>
              <w:rPr>
                <w:sz w:val="20"/>
                <w:szCs w:val="20"/>
                <w:color w:val="auto"/>
              </w:rPr>
            </w:pPr>
            <w:r>
              <w:rPr>
                <w:rFonts w:ascii="Arial" w:cs="Arial" w:eastAsia="Arial" w:hAnsi="Arial"/>
                <w:sz w:val="12"/>
                <w:szCs w:val="12"/>
                <w:color w:val="auto"/>
              </w:rPr>
              <w:t>January 9, 2020</w:t>
            </w:r>
          </w:p>
        </w:tc>
        <w:tc>
          <w:tcPr>
            <w:tcW w:w="2240" w:type="dxa"/>
            <w:vAlign w:val="bottom"/>
          </w:tcPr>
          <w:p>
            <w:pPr>
              <w:ind w:left="1580"/>
              <w:spacing w:after="0"/>
              <w:rPr>
                <w:sz w:val="20"/>
                <w:szCs w:val="20"/>
                <w:color w:val="auto"/>
              </w:rPr>
            </w:pPr>
            <w:r>
              <w:rPr>
                <w:rFonts w:ascii="Arial" w:cs="Arial" w:eastAsia="Arial" w:hAnsi="Arial"/>
                <w:sz w:val="12"/>
                <w:szCs w:val="12"/>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Laura A. Francis</w:t>
            </w:r>
          </w:p>
        </w:tc>
      </w:tr>
      <w:tr>
        <w:trPr>
          <w:trHeight w:val="160"/>
        </w:trPr>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980" w:type="dxa"/>
            <w:vAlign w:val="bottom"/>
          </w:tcPr>
          <w:p>
            <w:pPr>
              <w:ind w:left="20"/>
              <w:spacing w:after="0"/>
              <w:rPr>
                <w:sz w:val="20"/>
                <w:szCs w:val="20"/>
                <w:color w:val="auto"/>
              </w:rPr>
            </w:pPr>
            <w:r>
              <w:rPr>
                <w:rFonts w:ascii="Arial" w:cs="Arial" w:eastAsia="Arial" w:hAnsi="Arial"/>
                <w:sz w:val="12"/>
                <w:szCs w:val="12"/>
                <w:color w:val="auto"/>
              </w:rPr>
              <w:t>Laura A. Francis</w:t>
            </w:r>
          </w:p>
        </w:tc>
      </w:tr>
    </w:tbl>
    <w:p>
      <w:pPr>
        <w:spacing w:after="0" w:line="2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Chief Operating Officer and Chief Financial Officer</w:t>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(Principal Financial and Accounting Officer)</w:t>
      </w:r>
    </w:p>
    <w:p>
      <w:pPr>
        <w:sectPr>
          <w:pgSz w:w="11900" w:h="16838" w:orient="portrait"/>
          <w:cols w:equalWidth="0" w:num="1">
            <w:col w:w="11460"/>
          </w:cols>
          <w:pgMar w:left="240" w:top="41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12065</wp:posOffset>
            </wp:positionV>
            <wp:extent cx="880745" cy="503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0745" cy="50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SI-BONE Reports Preliminary Unaudited Revenue for Fourth Quarter and Full Year 2019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Provides Full Year 2020 Revenue Guidance</w:t>
      </w:r>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3"/>
          <w:szCs w:val="13"/>
          <w:b w:val="1"/>
          <w:bCs w:val="1"/>
          <w:color w:val="auto"/>
        </w:rPr>
        <w:t xml:space="preserve">SANTA CLARA, Calif. </w:t>
      </w:r>
      <w:r>
        <w:rPr>
          <w:rFonts w:ascii="Arial" w:cs="Arial" w:eastAsia="Arial" w:hAnsi="Arial"/>
          <w:sz w:val="13"/>
          <w:szCs w:val="13"/>
          <w:color w:val="auto"/>
        </w:rPr>
        <w:t>- January 9, 2019 - SI-BONE, Inc. (Nasdaq: SIBN), a medical device company dedicated to solving musculoskeletal disorders of the sacropelvic anatomy, today announced preliminary</w:t>
      </w:r>
      <w:r>
        <w:rPr>
          <w:rFonts w:ascii="Arial" w:cs="Arial" w:eastAsia="Arial" w:hAnsi="Arial"/>
          <w:sz w:val="13"/>
          <w:szCs w:val="13"/>
          <w:b w:val="1"/>
          <w:bCs w:val="1"/>
          <w:color w:val="auto"/>
        </w:rPr>
        <w:t xml:space="preserve"> </w:t>
      </w:r>
      <w:r>
        <w:rPr>
          <w:rFonts w:ascii="Arial" w:cs="Arial" w:eastAsia="Arial" w:hAnsi="Arial"/>
          <w:sz w:val="13"/>
          <w:szCs w:val="13"/>
          <w:color w:val="auto"/>
        </w:rPr>
        <w:t>unaudited revenue for the fourth quarter and full year 2019.</w:t>
      </w:r>
    </w:p>
    <w:p>
      <w:pPr>
        <w:spacing w:after="0" w:line="252"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Preliminary and unaudited revenue for fourth quarter 2019 is expected to be in the range of $19.5-$19.8 million, reflecting growth of 25-27% compared to the prior year period. U.S. revenue is expected to be in the range of $18.3-$18.5 million, reflecting growth of 27-28% compared to the prior year period. International revenue is expected to be in the range of $1.2-$1.3 million.</w:t>
      </w:r>
    </w:p>
    <w:p>
      <w:pPr>
        <w:spacing w:after="0" w:line="25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Preliminary and unaudited revenue for full year 2019 is expected to be in the range of $67.0-$67.3 million, reflecting growth of approximately 21% over full year 2018. U.S. revenue is expected to be in the range of $61.6-$61.8 million, reflecting growth of approximately 23% compared to the prior year period. International revenue is expected to be in the range of $5.4-$5.5 million.</w:t>
      </w:r>
    </w:p>
    <w:p>
      <w:pPr>
        <w:spacing w:after="0" w:line="25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pleased with our strong revenue performance in the fourth quarter, resulting from U.S. investments in sales force hiring and surgeon training throughout the year,” said Jeff Dunn, President, Chief Executive Officer, and Chairman of SI-BONE. “In addition, major U.S. commercial payors like Cigna continue to establish positive coverage policies for minimally invasive SI joint fusion based upon the strength of our clinical data, totaling over 282 million covered lives in the U.S. as of year-end. We are well positioned to deliver continued U.S. growth based upon execution of our commercial strategy while making improvements to our international business.”</w:t>
      </w:r>
    </w:p>
    <w:p>
      <w:pPr>
        <w:spacing w:after="0" w:line="26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The fourth quarter and full year 2019 revenue included in this release are preliminary and prior to the completion of SI-BONE's financial closing procedures and audit procedures by its external auditors and therefore may be subject to adjustment. SI-BONE expects to provide fourth quarter and full year 2019 financial results during its fourth quarter 2019 earnings call in March 2020.</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Financial Guidance</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SI-BONE expects full year 2020 revenue to be in the range of $80-$82 million, representing growth of approximately 19-22% over preliminary and unaudited full year 2019 revenue.</w:t>
      </w:r>
    </w:p>
    <w:p>
      <w:pPr>
        <w:sectPr>
          <w:pgSz w:w="11900" w:h="16838" w:orient="portrait"/>
          <w:cols w:equalWidth="0" w:num="1">
            <w:col w:w="11480"/>
          </w:cols>
          <w:pgMar w:left="220" w:top="415" w:right="1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About SI-BONE</w:t>
      </w:r>
    </w:p>
    <w:p>
      <w:pPr>
        <w:spacing w:after="0" w:line="31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RCTs, showing improved pain, patient function and quality of life resulting from treatment. There are over 80 peer-reviewed publications demonstrating the safety, durable effectiveness, and biomechanical and economic benefits unique to the iFuse Implant (www.si-bone.com/results). This body of evidence has enabled multiple government and private insurance payors to establish coverage of the SI joint fusion procedure exclusively when performed with the iFuse Implant System.</w:t>
      </w:r>
    </w:p>
    <w:p>
      <w:pPr>
        <w:spacing w:after="0" w:line="2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There are potential risks associated with the iFuse Implant System. It may not be appropriate for all patients and all patients may not benefit.</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the company or the products including risks and benefits, please visit www.si-bone.com.</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31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preliminary unaudited financial results, and statements regarding SI-BONE's continued growth and financial outlook, contained in this press release are "forward-looking" statements. These forward-looking statements are based on SI-BONE's current expectations and inherently involve significant risks and uncertainties and are subject to quarter-end closing adjustments. These risks include SI-BONE's preliminary fourth quarter and full year 2019 revenue, which are subject to continued review by SI-BONE and its auditors and significant adjustments may be made before final results are determined, and future performance is subject to SI-BONE's ability to expand its sales and marketing capabilities and increase demand for iFuse, expand geographically, and obtain favorable coverage and reimbursement determinations from third-party payors. Actual results and the timing of events could differ materially from those anticipated in such forward-looking statements as a result of the risks and uncertainties, many of which are described in the company's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Lynn Lewis or Carrie Mendivil</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investors@SI-BONE.com</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Joe Powers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jpowers@si-bone.com</w:t>
      </w:r>
    </w:p>
    <w:p>
      <w:pPr>
        <w:sectPr>
          <w:pgSz w:w="11900" w:h="16838" w:orient="portrait"/>
          <w:cols w:equalWidth="0" w:num="1">
            <w:col w:w="11480"/>
          </w:cols>
          <w:pgMar w:left="220" w:top="566" w:right="1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2020-01-09T07:09:16Z</dcterms:created>
  <dcterms:modified xsi:type="dcterms:W3CDTF">2020-01-09T07:09:16Z</dcterms:modified>
</cp:coreProperties>
</file>