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ind w:left="3820"/>
        <w:spacing w:after="0" w:line="236" w:lineRule="auto"/>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w:t>
      </w: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w:t>
      </w:r>
    </w:p>
    <w:p>
      <w:pPr>
        <w:spacing w:after="0" w:line="15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6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Pursuant to Section 13 or 15(d) of</w:t>
      </w:r>
    </w:p>
    <w:p>
      <w:pPr>
        <w:spacing w:after="0" w:line="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5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January 8, 2024</w:t>
      </w:r>
    </w:p>
    <w:p>
      <w:pPr>
        <w:spacing w:after="0" w:line="1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w:t>
      </w: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ind w:left="3820"/>
        <w:spacing w:after="0" w:line="236" w:lineRule="auto"/>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w:t>
      </w:r>
    </w:p>
    <w:p>
      <w:pPr>
        <w:spacing w:after="0" w:line="33" w:lineRule="exact"/>
        <w:rPr>
          <w:sz w:val="24"/>
          <w:szCs w:val="24"/>
          <w:color w:val="auto"/>
        </w:rPr>
      </w:pPr>
    </w:p>
    <w:tbl>
      <w:tblPr>
        <w:tblLayout w:type="fixed"/>
        <w:tblInd w:w="1100" w:type="dxa"/>
        <w:tblCellMar>
          <w:top w:w="0" w:type="dxa"/>
          <w:left w:w="0" w:type="dxa"/>
          <w:bottom w:w="0" w:type="dxa"/>
          <w:right w:w="0" w:type="dxa"/>
        </w:tblCellMar>
      </w:tblPr>
      <w:tr>
        <w:trPr>
          <w:trHeight w:val="142"/>
        </w:trPr>
        <w:tc>
          <w:tcPr>
            <w:tcW w:w="2200" w:type="dxa"/>
            <w:vAlign w:val="bottom"/>
          </w:tcPr>
          <w:p>
            <w:pPr>
              <w:jc w:val="center"/>
              <w:ind w:right="866"/>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47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001-38701</w:t>
            </w:r>
          </w:p>
        </w:tc>
        <w:tc>
          <w:tcPr>
            <w:tcW w:w="1780" w:type="dxa"/>
            <w:vAlign w:val="bottom"/>
          </w:tcPr>
          <w:p>
            <w:pPr>
              <w:jc w:val="center"/>
              <w:ind w:left="926"/>
              <w:spacing w:after="0"/>
              <w:rPr>
                <w:sz w:val="20"/>
                <w:szCs w:val="20"/>
                <w:color w:val="auto"/>
              </w:rPr>
            </w:pPr>
            <w:r>
              <w:rPr>
                <w:rFonts w:ascii="Times New Roman" w:cs="Times New Roman" w:eastAsia="Times New Roman" w:hAnsi="Times New Roman"/>
                <w:sz w:val="11"/>
                <w:szCs w:val="11"/>
                <w:b w:val="1"/>
                <w:bCs w:val="1"/>
                <w:color w:val="auto"/>
                <w:w w:val="97"/>
              </w:rPr>
              <w:t>26-2216351</w:t>
            </w:r>
          </w:p>
        </w:tc>
      </w:tr>
      <w:tr>
        <w:trPr>
          <w:trHeight w:val="112"/>
        </w:trPr>
        <w:tc>
          <w:tcPr>
            <w:tcW w:w="2200" w:type="dxa"/>
            <w:vAlign w:val="bottom"/>
          </w:tcPr>
          <w:p>
            <w:pPr>
              <w:jc w:val="center"/>
              <w:ind w:right="866"/>
              <w:spacing w:after="0" w:line="112" w:lineRule="exact"/>
              <w:rPr>
                <w:sz w:val="20"/>
                <w:szCs w:val="20"/>
                <w:color w:val="auto"/>
              </w:rPr>
            </w:pPr>
            <w:r>
              <w:rPr>
                <w:rFonts w:ascii="Times New Roman" w:cs="Times New Roman" w:eastAsia="Times New Roman" w:hAnsi="Times New Roman"/>
                <w:sz w:val="11"/>
                <w:szCs w:val="11"/>
                <w:color w:val="auto"/>
                <w:w w:val="97"/>
              </w:rPr>
              <w:t>(State or other jurisdiction of</w:t>
            </w:r>
          </w:p>
        </w:tc>
        <w:tc>
          <w:tcPr>
            <w:tcW w:w="4760" w:type="dxa"/>
            <w:vAlign w:val="bottom"/>
          </w:tcPr>
          <w:p>
            <w:pPr>
              <w:jc w:val="center"/>
              <w:ind w:right="46"/>
              <w:spacing w:after="0" w:line="112" w:lineRule="exact"/>
              <w:rPr>
                <w:sz w:val="20"/>
                <w:szCs w:val="20"/>
                <w:color w:val="auto"/>
              </w:rPr>
            </w:pPr>
            <w:r>
              <w:rPr>
                <w:rFonts w:ascii="Times New Roman" w:cs="Times New Roman" w:eastAsia="Times New Roman" w:hAnsi="Times New Roman"/>
                <w:sz w:val="11"/>
                <w:szCs w:val="11"/>
                <w:color w:val="auto"/>
                <w:w w:val="97"/>
              </w:rPr>
              <w:t>(Commission</w:t>
            </w:r>
          </w:p>
        </w:tc>
        <w:tc>
          <w:tcPr>
            <w:tcW w:w="1780" w:type="dxa"/>
            <w:vAlign w:val="bottom"/>
          </w:tcPr>
          <w:p>
            <w:pPr>
              <w:jc w:val="center"/>
              <w:ind w:left="906"/>
              <w:spacing w:after="0" w:line="112" w:lineRule="exact"/>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2200" w:type="dxa"/>
            <w:vAlign w:val="bottom"/>
          </w:tcPr>
          <w:p>
            <w:pPr>
              <w:jc w:val="center"/>
              <w:ind w:right="846"/>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47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7"/>
              </w:rPr>
              <w:t>File Number)</w:t>
            </w:r>
          </w:p>
        </w:tc>
        <w:tc>
          <w:tcPr>
            <w:tcW w:w="1780" w:type="dxa"/>
            <w:vAlign w:val="bottom"/>
          </w:tcPr>
          <w:p>
            <w:pPr>
              <w:jc w:val="center"/>
              <w:ind w:left="926"/>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344"/>
        </w:trPr>
        <w:tc>
          <w:tcPr>
            <w:tcW w:w="2200" w:type="dxa"/>
            <w:vAlign w:val="bottom"/>
          </w:tcPr>
          <w:p>
            <w:pPr>
              <w:spacing w:after="0"/>
              <w:rPr>
                <w:sz w:val="24"/>
                <w:szCs w:val="24"/>
                <w:color w:val="auto"/>
              </w:rPr>
            </w:pPr>
          </w:p>
        </w:tc>
        <w:tc>
          <w:tcPr>
            <w:tcW w:w="4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471 El Camino Real</w:t>
            </w:r>
          </w:p>
        </w:tc>
        <w:tc>
          <w:tcPr>
            <w:tcW w:w="1780" w:type="dxa"/>
            <w:vAlign w:val="bottom"/>
          </w:tcPr>
          <w:p>
            <w:pPr>
              <w:spacing w:after="0"/>
              <w:rPr>
                <w:sz w:val="24"/>
                <w:szCs w:val="24"/>
                <w:color w:val="auto"/>
              </w:rPr>
            </w:pPr>
          </w:p>
        </w:tc>
      </w:tr>
      <w:tr>
        <w:trPr>
          <w:trHeight w:val="126"/>
        </w:trPr>
        <w:tc>
          <w:tcPr>
            <w:tcW w:w="2200" w:type="dxa"/>
            <w:vAlign w:val="bottom"/>
          </w:tcPr>
          <w:p>
            <w:pPr>
              <w:spacing w:after="0"/>
              <w:rPr>
                <w:sz w:val="10"/>
                <w:szCs w:val="10"/>
                <w:color w:val="auto"/>
              </w:rPr>
            </w:pPr>
          </w:p>
        </w:tc>
        <w:tc>
          <w:tcPr>
            <w:tcW w:w="47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Suite 101</w:t>
            </w:r>
          </w:p>
        </w:tc>
        <w:tc>
          <w:tcPr>
            <w:tcW w:w="1780" w:type="dxa"/>
            <w:vAlign w:val="bottom"/>
          </w:tcPr>
          <w:p>
            <w:pPr>
              <w:spacing w:after="0"/>
              <w:rPr>
                <w:sz w:val="10"/>
                <w:szCs w:val="10"/>
                <w:color w:val="auto"/>
              </w:rPr>
            </w:pPr>
          </w:p>
        </w:tc>
      </w:tr>
      <w:tr>
        <w:trPr>
          <w:trHeight w:val="137"/>
        </w:trPr>
        <w:tc>
          <w:tcPr>
            <w:tcW w:w="2200" w:type="dxa"/>
            <w:vAlign w:val="bottom"/>
          </w:tcPr>
          <w:p>
            <w:pPr>
              <w:spacing w:after="0"/>
              <w:rPr>
                <w:sz w:val="11"/>
                <w:szCs w:val="11"/>
                <w:color w:val="auto"/>
              </w:rPr>
            </w:pPr>
          </w:p>
        </w:tc>
        <w:tc>
          <w:tcPr>
            <w:tcW w:w="47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Santa Clara, CA 95050</w:t>
            </w:r>
          </w:p>
        </w:tc>
        <w:tc>
          <w:tcPr>
            <w:tcW w:w="1780" w:type="dxa"/>
            <w:vAlign w:val="bottom"/>
          </w:tcPr>
          <w:p>
            <w:pPr>
              <w:spacing w:after="0"/>
              <w:rPr>
                <w:sz w:val="11"/>
                <w:szCs w:val="11"/>
                <w:color w:val="auto"/>
              </w:rPr>
            </w:pPr>
          </w:p>
        </w:tc>
      </w:tr>
      <w:tr>
        <w:trPr>
          <w:trHeight w:val="140"/>
        </w:trPr>
        <w:tc>
          <w:tcPr>
            <w:tcW w:w="2200" w:type="dxa"/>
            <w:vAlign w:val="bottom"/>
          </w:tcPr>
          <w:p>
            <w:pPr>
              <w:spacing w:after="0"/>
              <w:rPr>
                <w:sz w:val="12"/>
                <w:szCs w:val="12"/>
                <w:color w:val="auto"/>
              </w:rPr>
            </w:pPr>
          </w:p>
        </w:tc>
        <w:tc>
          <w:tcPr>
            <w:tcW w:w="47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(Address of principal executive offices) (Zip Code)</w:t>
            </w:r>
          </w:p>
        </w:tc>
        <w:tc>
          <w:tcPr>
            <w:tcW w:w="1780" w:type="dxa"/>
            <w:vAlign w:val="bottom"/>
          </w:tcPr>
          <w:p>
            <w:pPr>
              <w:spacing w:after="0"/>
              <w:rPr>
                <w:sz w:val="12"/>
                <w:szCs w:val="12"/>
                <w:color w:val="auto"/>
              </w:rPr>
            </w:pPr>
          </w:p>
        </w:tc>
      </w:tr>
      <w:tr>
        <w:trPr>
          <w:trHeight w:val="283"/>
        </w:trPr>
        <w:tc>
          <w:tcPr>
            <w:tcW w:w="2200" w:type="dxa"/>
            <w:vAlign w:val="bottom"/>
          </w:tcPr>
          <w:p>
            <w:pPr>
              <w:spacing w:after="0"/>
              <w:rPr>
                <w:sz w:val="24"/>
                <w:szCs w:val="24"/>
                <w:color w:val="auto"/>
              </w:rPr>
            </w:pPr>
          </w:p>
        </w:tc>
        <w:tc>
          <w:tcPr>
            <w:tcW w:w="4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(408) 207-0700</w:t>
            </w:r>
          </w:p>
        </w:tc>
        <w:tc>
          <w:tcPr>
            <w:tcW w:w="1780" w:type="dxa"/>
            <w:vAlign w:val="bottom"/>
          </w:tcPr>
          <w:p>
            <w:pPr>
              <w:spacing w:after="0"/>
              <w:rPr>
                <w:sz w:val="24"/>
                <w:szCs w:val="24"/>
                <w:color w:val="auto"/>
              </w:rPr>
            </w:pPr>
          </w:p>
        </w:tc>
      </w:tr>
      <w:tr>
        <w:trPr>
          <w:trHeight w:val="140"/>
        </w:trPr>
        <w:tc>
          <w:tcPr>
            <w:tcW w:w="2200" w:type="dxa"/>
            <w:vAlign w:val="bottom"/>
          </w:tcPr>
          <w:p>
            <w:pPr>
              <w:spacing w:after="0"/>
              <w:rPr>
                <w:sz w:val="12"/>
                <w:szCs w:val="12"/>
                <w:color w:val="auto"/>
              </w:rPr>
            </w:pPr>
          </w:p>
        </w:tc>
        <w:tc>
          <w:tcPr>
            <w:tcW w:w="476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7"/>
              </w:rPr>
              <w:t>(Registrant’s telephone number, include area code)</w:t>
            </w:r>
          </w:p>
        </w:tc>
        <w:tc>
          <w:tcPr>
            <w:tcW w:w="1780" w:type="dxa"/>
            <w:vAlign w:val="bottom"/>
          </w:tcPr>
          <w:p>
            <w:pPr>
              <w:spacing w:after="0"/>
              <w:rPr>
                <w:sz w:val="12"/>
                <w:szCs w:val="12"/>
                <w:color w:val="auto"/>
              </w:rPr>
            </w:pPr>
          </w:p>
        </w:tc>
      </w:tr>
      <w:tr>
        <w:trPr>
          <w:trHeight w:val="274"/>
        </w:trPr>
        <w:tc>
          <w:tcPr>
            <w:tcW w:w="2200" w:type="dxa"/>
            <w:vAlign w:val="bottom"/>
          </w:tcPr>
          <w:p>
            <w:pPr>
              <w:spacing w:after="0"/>
              <w:rPr>
                <w:sz w:val="23"/>
                <w:szCs w:val="23"/>
                <w:color w:val="auto"/>
              </w:rPr>
            </w:pPr>
          </w:p>
        </w:tc>
        <w:tc>
          <w:tcPr>
            <w:tcW w:w="47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4"/>
              </w:rPr>
              <w:t>N/A</w:t>
            </w:r>
          </w:p>
        </w:tc>
        <w:tc>
          <w:tcPr>
            <w:tcW w:w="1780" w:type="dxa"/>
            <w:vAlign w:val="bottom"/>
          </w:tcPr>
          <w:p>
            <w:pPr>
              <w:spacing w:after="0"/>
              <w:rPr>
                <w:sz w:val="23"/>
                <w:szCs w:val="23"/>
                <w:color w:val="auto"/>
              </w:rPr>
            </w:pPr>
          </w:p>
        </w:tc>
      </w:tr>
      <w:tr>
        <w:trPr>
          <w:trHeight w:val="140"/>
        </w:trPr>
        <w:tc>
          <w:tcPr>
            <w:tcW w:w="2200" w:type="dxa"/>
            <w:vAlign w:val="bottom"/>
          </w:tcPr>
          <w:p>
            <w:pPr>
              <w:spacing w:after="0"/>
              <w:rPr>
                <w:sz w:val="12"/>
                <w:szCs w:val="12"/>
                <w:color w:val="auto"/>
              </w:rPr>
            </w:pPr>
          </w:p>
        </w:tc>
        <w:tc>
          <w:tcPr>
            <w:tcW w:w="476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7"/>
              </w:rPr>
              <w:t>(Former Name or Former Address, if Changed Since Last Report)</w:t>
            </w:r>
          </w:p>
        </w:tc>
        <w:tc>
          <w:tcPr>
            <w:tcW w:w="1780" w:type="dxa"/>
            <w:vAlign w:val="bottom"/>
          </w:tcPr>
          <w:p>
            <w:pPr>
              <w:spacing w:after="0"/>
              <w:rPr>
                <w:sz w:val="12"/>
                <w:szCs w:val="12"/>
                <w:color w:val="auto"/>
              </w:rPr>
            </w:pPr>
          </w:p>
        </w:tc>
      </w:tr>
    </w:tbl>
    <w:p>
      <w:pPr>
        <w:spacing w:after="0" w:line="3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1600" w:hanging="564"/>
        <w:spacing w:after="0"/>
        <w:tabs>
          <w:tab w:leader="none" w:pos="1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98" w:lineRule="exact"/>
        <w:rPr>
          <w:rFonts w:ascii="MS PGothic" w:cs="MS PGothic" w:eastAsia="MS PGothic" w:hAnsi="MS PGothic"/>
          <w:sz w:val="11"/>
          <w:szCs w:val="11"/>
          <w:color w:val="auto"/>
        </w:rPr>
      </w:pPr>
    </w:p>
    <w:p>
      <w:pPr>
        <w:ind w:left="1600" w:hanging="564"/>
        <w:spacing w:after="0"/>
        <w:tabs>
          <w:tab w:leader="none" w:pos="1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89" w:lineRule="exact"/>
        <w:rPr>
          <w:rFonts w:ascii="MS PGothic" w:cs="MS PGothic" w:eastAsia="MS PGothic" w:hAnsi="MS PGothic"/>
          <w:sz w:val="11"/>
          <w:szCs w:val="11"/>
          <w:color w:val="auto"/>
        </w:rPr>
      </w:pPr>
    </w:p>
    <w:p>
      <w:pPr>
        <w:ind w:left="1600" w:hanging="564"/>
        <w:spacing w:after="0"/>
        <w:tabs>
          <w:tab w:leader="none" w:pos="1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98" w:lineRule="exact"/>
        <w:rPr>
          <w:rFonts w:ascii="MS PGothic" w:cs="MS PGothic" w:eastAsia="MS PGothic" w:hAnsi="MS PGothic"/>
          <w:sz w:val="11"/>
          <w:szCs w:val="11"/>
          <w:color w:val="auto"/>
        </w:rPr>
      </w:pPr>
    </w:p>
    <w:p>
      <w:pPr>
        <w:ind w:left="1620" w:hanging="562"/>
        <w:spacing w:after="0"/>
        <w:tabs>
          <w:tab w:leader="none" w:pos="1620" w:val="left"/>
        </w:tabs>
        <w:numPr>
          <w:ilvl w:val="1"/>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234" w:lineRule="exact"/>
        <w:rPr>
          <w:sz w:val="24"/>
          <w:szCs w:val="24"/>
          <w:color w:val="auto"/>
        </w:rPr>
      </w:pPr>
    </w:p>
    <w:tbl>
      <w:tblPr>
        <w:tblLayout w:type="fixed"/>
        <w:tblInd w:w="1480" w:type="dxa"/>
        <w:tblCellMar>
          <w:top w:w="0" w:type="dxa"/>
          <w:left w:w="0" w:type="dxa"/>
          <w:bottom w:w="0" w:type="dxa"/>
          <w:right w:w="0" w:type="dxa"/>
        </w:tblCellMar>
      </w:tblPr>
      <w:tr>
        <w:trPr>
          <w:trHeight w:val="140"/>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900" w:type="dxa"/>
            <w:vAlign w:val="bottom"/>
            <w:gridSpan w:val="3"/>
          </w:tcPr>
          <w:p>
            <w:pPr>
              <w:ind w:left="50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000" w:type="dxa"/>
            <w:vAlign w:val="bottom"/>
          </w:tcPr>
          <w:p>
            <w:pPr>
              <w:spacing w:after="0"/>
              <w:rPr>
                <w:sz w:val="12"/>
                <w:szCs w:val="12"/>
                <w:color w:val="auto"/>
              </w:rPr>
            </w:pPr>
          </w:p>
        </w:tc>
      </w:tr>
      <w:tr>
        <w:trPr>
          <w:trHeight w:val="130"/>
        </w:trPr>
        <w:tc>
          <w:tcPr>
            <w:tcW w:w="560" w:type="dxa"/>
            <w:vAlign w:val="bottom"/>
          </w:tcPr>
          <w:p>
            <w:pPr>
              <w:spacing w:after="0"/>
              <w:rPr>
                <w:sz w:val="11"/>
                <w:szCs w:val="11"/>
                <w:color w:val="auto"/>
              </w:rPr>
            </w:pPr>
          </w:p>
        </w:tc>
        <w:tc>
          <w:tcPr>
            <w:tcW w:w="1860" w:type="dxa"/>
            <w:vAlign w:val="bottom"/>
            <w:gridSpan w:val="2"/>
          </w:tcPr>
          <w:p>
            <w:pPr>
              <w:jc w:val="center"/>
              <w:ind w:right="106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390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47"/>
        </w:trPr>
        <w:tc>
          <w:tcPr>
            <w:tcW w:w="2420" w:type="dxa"/>
            <w:vAlign w:val="bottom"/>
            <w:gridSpan w:val="3"/>
          </w:tcPr>
          <w:p>
            <w:pPr>
              <w:jc w:val="center"/>
              <w:ind w:right="500"/>
              <w:spacing w:after="0"/>
              <w:rPr>
                <w:sz w:val="20"/>
                <w:szCs w:val="20"/>
                <w:color w:val="auto"/>
              </w:rPr>
            </w:pPr>
            <w:r>
              <w:rPr>
                <w:rFonts w:ascii="Times New Roman" w:cs="Times New Roman" w:eastAsia="Times New Roman" w:hAnsi="Times New Roman"/>
                <w:sz w:val="11"/>
                <w:szCs w:val="11"/>
                <w:color w:val="auto"/>
                <w:w w:val="97"/>
              </w:rPr>
              <w:t>Common Stock, par value $0.0001 per share</w:t>
            </w:r>
          </w:p>
        </w:tc>
        <w:tc>
          <w:tcPr>
            <w:tcW w:w="1260" w:type="dxa"/>
            <w:vAlign w:val="bottom"/>
          </w:tcPr>
          <w:p>
            <w:pPr>
              <w:spacing w:after="0"/>
              <w:rPr>
                <w:sz w:val="12"/>
                <w:szCs w:val="12"/>
                <w:color w:val="auto"/>
              </w:rPr>
            </w:pPr>
          </w:p>
        </w:tc>
        <w:tc>
          <w:tcPr>
            <w:tcW w:w="2640" w:type="dxa"/>
            <w:vAlign w:val="bottom"/>
            <w:gridSpan w:val="2"/>
          </w:tcPr>
          <w:p>
            <w:pPr>
              <w:jc w:val="center"/>
              <w:ind w:right="1760"/>
              <w:spacing w:after="0"/>
              <w:rPr>
                <w:sz w:val="20"/>
                <w:szCs w:val="20"/>
                <w:color w:val="auto"/>
              </w:rPr>
            </w:pPr>
            <w:r>
              <w:rPr>
                <w:rFonts w:ascii="Times New Roman" w:cs="Times New Roman" w:eastAsia="Times New Roman" w:hAnsi="Times New Roman"/>
                <w:sz w:val="11"/>
                <w:szCs w:val="11"/>
                <w:color w:val="auto"/>
                <w:w w:val="95"/>
              </w:rPr>
              <w:t>SIBN</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The Nasdaq Global Market</w:t>
            </w:r>
          </w:p>
        </w:tc>
      </w:tr>
    </w:tbl>
    <w:p>
      <w:pPr>
        <w:spacing w:after="0" w:line="2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jc w:val="center"/>
        <w:ind w:right="-119"/>
        <w:spacing w:after="0" w:line="127" w:lineRule="exact"/>
        <w:tabs>
          <w:tab w:leader="none" w:pos="120" w:val="left"/>
        </w:tabs>
        <w:rPr>
          <w:sz w:val="20"/>
          <w:szCs w:val="20"/>
          <w:color w:val="auto"/>
        </w:rPr>
      </w:pPr>
      <w:r>
        <w:rPr>
          <w:rFonts w:ascii="Times New Roman" w:cs="Times New Roman" w:eastAsia="Times New Roman" w:hAnsi="Times New Roman"/>
          <w:sz w:val="11"/>
          <w:szCs w:val="11"/>
          <w:color w:val="auto"/>
        </w:rPr>
        <w:t>Emerging growth company</w:t>
      </w:r>
      <w:r>
        <w:rPr>
          <w:sz w:val="20"/>
          <w:szCs w:val="20"/>
          <w:color w:val="auto"/>
        </w:rPr>
        <w:tab/>
      </w:r>
      <w:r>
        <w:rPr>
          <w:rFonts w:ascii="MS PGothic" w:cs="MS PGothic" w:eastAsia="MS PGothic" w:hAnsi="MS PGothic"/>
          <w:sz w:val="8"/>
          <w:szCs w:val="8"/>
          <w:color w:val="auto"/>
        </w:rPr>
        <w:t>☐</w:t>
      </w:r>
    </w:p>
    <w:p>
      <w:pPr>
        <w:spacing w:after="0" w:line="171" w:lineRule="exact"/>
        <w:rPr>
          <w:sz w:val="24"/>
          <w:szCs w:val="24"/>
          <w:color w:val="auto"/>
        </w:rPr>
      </w:pPr>
    </w:p>
    <w:p>
      <w:pPr>
        <w:ind w:left="120"/>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474980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706" w:right="439" w:bottom="1440" w:gutter="0" w:footer="0" w:header="0"/>
        </w:sectPr>
      </w:pPr>
    </w:p>
    <w:bookmarkStart w:id="1" w:name="page2"/>
    <w:bookmarkEnd w:id="1"/>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 xml:space="preserve">On </w:t>
      </w:r>
      <w:r>
        <w:rPr>
          <w:rFonts w:ascii="Times New Roman" w:cs="Times New Roman" w:eastAsia="Times New Roman" w:hAnsi="Times New Roman"/>
          <w:sz w:val="10"/>
          <w:szCs w:val="10"/>
          <w:color w:val="auto"/>
        </w:rPr>
        <w:t>January 8, 2024</w:t>
      </w:r>
      <w:r>
        <w:rPr>
          <w:rFonts w:ascii="Times New Roman" w:cs="Times New Roman" w:eastAsia="Times New Roman" w:hAnsi="Times New Roman"/>
          <w:sz w:val="12"/>
          <w:szCs w:val="12"/>
          <w:color w:val="auto"/>
        </w:rPr>
        <w:t>, SI-BONE, Inc. (the "Company") issued a press release (the “Press Release”) announcing preliminary unaudited revenue for the fourth quarter and full year 2023. A copy of the Press Release is attached as Exhibit 99.1 to this current report on Form 8-K and is incorporated by reference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 Regulation FD Disclosure.</w:t>
      </w:r>
    </w:p>
    <w:p>
      <w:pPr>
        <w:spacing w:after="0" w:line="16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Members of the Company’s management team expect to meet with investors and analysts the week of January 8, 2024, to discuss the Company performance, using presentation materials which are furnished and attached as Exhibit 99.2.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80" w:type="dxa"/>
            <w:vAlign w:val="bottom"/>
          </w:tcPr>
          <w:p>
            <w:pPr>
              <w:spacing w:after="0"/>
              <w:rPr>
                <w:sz w:val="13"/>
                <w:szCs w:val="13"/>
                <w:color w:val="auto"/>
              </w:rPr>
            </w:pPr>
          </w:p>
        </w:tc>
      </w:tr>
      <w:tr>
        <w:trPr>
          <w:trHeight w:val="351"/>
        </w:trPr>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tcPr>
          <w:p>
            <w:pPr>
              <w:ind w:left="28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8"/>
        </w:trPr>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2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5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FF"/>
              </w:rPr>
              <w:t>Press release dated January 8, 2024</w:t>
            </w:r>
          </w:p>
        </w:tc>
      </w:tr>
      <w:tr>
        <w:trPr>
          <w:trHeight w:val="133"/>
        </w:trPr>
        <w:tc>
          <w:tcPr>
            <w:tcW w:w="8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top w:val="single" w:sz="8" w:color="0000FF"/>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8"/>
              </w:rPr>
              <w:t>Presentation dated January 2024</w:t>
            </w:r>
          </w:p>
        </w:tc>
        <w:tc>
          <w:tcPr>
            <w:tcW w:w="140" w:type="dxa"/>
            <w:vAlign w:val="bottom"/>
            <w:tcBorders>
              <w:top w:val="single" w:sz="8" w:color="0000FF"/>
            </w:tcBorders>
          </w:tcPr>
          <w:p>
            <w:pPr>
              <w:spacing w:after="0"/>
              <w:rPr>
                <w:sz w:val="11"/>
                <w:szCs w:val="11"/>
                <w:color w:val="auto"/>
              </w:rPr>
            </w:pPr>
          </w:p>
        </w:tc>
        <w:tc>
          <w:tcPr>
            <w:tcW w:w="7880" w:type="dxa"/>
            <w:vAlign w:val="bottom"/>
          </w:tcPr>
          <w:p>
            <w:pPr>
              <w:spacing w:after="0"/>
              <w:rPr>
                <w:sz w:val="11"/>
                <w:szCs w:val="11"/>
                <w:color w:val="auto"/>
              </w:rPr>
            </w:pPr>
          </w:p>
        </w:tc>
      </w:tr>
      <w:tr>
        <w:trPr>
          <w:trHeight w:val="160"/>
        </w:trPr>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Date File (embedded within the Inline XBRL document)</w:t>
            </w:r>
          </w:p>
        </w:tc>
      </w:tr>
    </w:tbl>
    <w:p>
      <w:pPr>
        <w:spacing w:after="0" w:line="21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information in Items 2.02 and 7.01 and Exhibits 99.1 and 99.2, of this Current Report on Form 8-K are being furnished and shall not be deemed “filed” for purposes of Section 18 of the Securities Exchange Act of 1934 as amended (Exchange Act), or otherwise subject to the liabilities of that Section or Sections 11 and 12(a)(2) of the Securities Act of 1933, as amended (Securities Act). The information in Items 2.02 and 7.01, and Exhibits 99.1 and 99.2 shall not be deemed incorporated by reference in any filing under the Securities Act,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452755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140" w:type="dxa"/>
            <w:vAlign w:val="bottom"/>
            <w:gridSpan w:val="2"/>
          </w:tcPr>
          <w:p>
            <w:pPr>
              <w:ind w:left="1560"/>
              <w:spacing w:after="0"/>
              <w:rPr>
                <w:sz w:val="20"/>
                <w:szCs w:val="20"/>
                <w:color w:val="auto"/>
              </w:rPr>
            </w:pPr>
            <w:r>
              <w:rPr>
                <w:rFonts w:ascii="Times New Roman" w:cs="Times New Roman" w:eastAsia="Times New Roman" w:hAnsi="Times New Roman"/>
                <w:sz w:val="12"/>
                <w:szCs w:val="12"/>
                <w:b w:val="1"/>
                <w:bCs w:val="1"/>
                <w:color w:val="auto"/>
              </w:rPr>
              <w:t>SI-BONE, INC.</w:t>
            </w:r>
          </w:p>
        </w:tc>
      </w:tr>
      <w:tr>
        <w:trPr>
          <w:trHeight w:val="306"/>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6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January 8, 2024</w:t>
            </w:r>
          </w:p>
        </w:tc>
        <w:tc>
          <w:tcPr>
            <w:tcW w:w="2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By:</w:t>
            </w: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Anshul Maheshwari</w:t>
            </w:r>
          </w:p>
        </w:tc>
      </w:tr>
      <w:tr>
        <w:trPr>
          <w:trHeight w:val="144"/>
        </w:trPr>
        <w:tc>
          <w:tcPr>
            <w:tcW w:w="5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Anshul Maheshwari</w:t>
            </w:r>
          </w:p>
        </w:tc>
      </w:tr>
    </w:tbl>
    <w:p>
      <w:pPr>
        <w:ind w:left="542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color w:val="auto"/>
        </w:rPr>
        <w:t>(Principal Financial and Accounting Officer)</w:t>
      </w:r>
    </w:p>
    <w:p>
      <w:pPr>
        <w:sectPr>
          <w:pgSz w:w="11900" w:h="16838" w:orient="portrait"/>
          <w:cols w:equalWidth="0" w:num="1">
            <w:col w:w="11280"/>
          </w:cols>
          <w:pgMar w:left="300" w:top="638"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13335</wp:posOffset>
            </wp:positionV>
            <wp:extent cx="880110" cy="502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0110"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SI-BONE Announces Preliminary Revenue for the Fourth Quarter and Full Year 2023</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Fiscal Year 2023 revenue of $138.5 - $138.7 million representing growth of over 30%</w:t>
      </w:r>
    </w:p>
    <w:p>
      <w:pPr>
        <w:spacing w:after="0" w:line="14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b w:val="1"/>
          <w:bCs w:val="1"/>
          <w:color w:val="auto"/>
        </w:rPr>
        <w:t>SANTA CLARA, Calif.</w:t>
      </w:r>
      <w:r>
        <w:rPr>
          <w:rFonts w:ascii="Times New Roman" w:cs="Times New Roman" w:eastAsia="Times New Roman" w:hAnsi="Times New Roman"/>
          <w:sz w:val="13"/>
          <w:szCs w:val="13"/>
          <w:color w:val="auto"/>
        </w:rPr>
        <w:t>, January 8, 2024 – SI-BONE, Inc. (Nasdaq: SIBN), a medical device company dedicated to solving musculoskeletal disorders of the sacropelvic anatomy, today announced its preliminary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unaudited revenue for fourth quarter and full year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Fourth Quarter 2023 Summary</w:t>
      </w:r>
    </w:p>
    <w:p>
      <w:pPr>
        <w:spacing w:after="0" w:line="33"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Worldwide revenue expected to be in the range of $38.5-$38.7 million, representing growth of approximately 21% compared to the prior year period</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revenue expected to be in the range of $36.5-$36.6 million, representing growth of approximately 22% compared to the prior year period</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Ended the quarter with approximately 1,130 active surgeons in the U.S., representing growth of approximately 22% compared to the prior year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Year 2023 Summary</w:t>
      </w:r>
    </w:p>
    <w:p>
      <w:pPr>
        <w:spacing w:after="0" w:line="51"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Worldwide revenue expected to be in the range of $138.5-138.7 million, representing growth of approximately 30% compared to the prior year period</w:t>
      </w:r>
    </w:p>
    <w:p>
      <w:pPr>
        <w:spacing w:after="0" w:line="19"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revenue expected to be in the range of $130.5-$130.6 million, representing growth of approximately 32% compared to the prior year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 and marketable securities are expected to be approximately $166.0 million as of December 31, 2023, implying net cash usage of $0.8 million in the fourth quarter.</w:t>
      </w:r>
    </w:p>
    <w:p>
      <w:pPr>
        <w:spacing w:after="0" w:line="19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3"/>
          <w:szCs w:val="13"/>
          <w:color w:val="auto"/>
        </w:rPr>
        <w:t>The fourth quarter and full year 2023 revenue and cash and marketable securities included in this release are preliminary and prior to the completion of SI-BONE's financial closing procedures and audit procedures by its external auditors and therefore may be subject to adjustment. SI-BONE expects to provide fourth quarter and full year 2023 financial results during its fourth quarter 2023 earnings call in February 2024.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SI-BONE, Inc.</w:t>
      </w:r>
    </w:p>
    <w:p>
      <w:pPr>
        <w:spacing w:after="0" w:line="20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3"/>
          <w:szCs w:val="13"/>
          <w:color w:val="auto"/>
        </w:rPr>
        <w:t>SI-BONE (NASDAQ: SIBN) is a global leader in technology for surgical treatment of musculoskeletal disorders of the sacropelvic anatomy. Since pioneering minimally invasive SI joint surgery in 2009, SI-BONE has supported over 3,600 surgeons in performing a total of over 95,000 sacropelvic procedures. A unique body of clinical evidence supports the use of SI-BONE’s technologies, including two randomized controlled trials and over 125 peer reviewed publications. SI-BONE has leveraged its leadership in minimally invasive SI joint fusion to commercialize novel solutions for adjacent markets, including adult deformity, spinopelvic fixation and pelvic trauma.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additional information on the company or the products including risks and benefits, please visit www.si-bone.com.</w:t>
      </w:r>
    </w:p>
    <w:p>
      <w:pPr>
        <w:sectPr>
          <w:pgSz w:w="11900" w:h="16838" w:orient="portrait"/>
          <w:cols w:equalWidth="0" w:num="1">
            <w:col w:w="11300"/>
          </w:cols>
          <w:pgMar w:left="300" w:top="638"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color w:val="auto"/>
        </w:rPr>
        <w:t>iFuse Bedrock Granite, iFuse-TORQ and SI-BONE are registered trademarks of SI-BONE, Inc. ©2024 SI-BONE, Inc. All Rights Reserved.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 Looking Statements</w:t>
      </w:r>
    </w:p>
    <w:p>
      <w:pPr>
        <w:spacing w:after="0" w:line="21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3"/>
          <w:szCs w:val="13"/>
          <w:color w:val="auto"/>
        </w:rPr>
        <w:t>The statements in this press release regarding expectations of future events or results, including SI-BONE’s expectations of continued revenue and procedure growth and financial outlook, contained in this press release are "forward-looking" statements. These forward-looking statements are based on SI-BONE's current expectations and inherently involve significant risks and uncertainties. These risks include preliminary fourth quarter and full year 2023 revenue and cash and marketable securities, which is subject to continued review by SI-BONE and its auditors and significant adjustments may be made before final results are determined, SI-BONE's ability to introduce and commercialize new products and indications, SI-BONE's ability to maintain favorable reimbursement for procedures using its products, the impact of any future economic weakness on the ability and desire of patients to undergo elective procedures including those using SI-BONE's devices, SI-BONE's ability to manage risks to its supply chain, and future capital requirements driven by new surgical systems requiring instrument tray investment.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Investor Contact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Saqib Iqbal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Sr. Director, FP&amp;A and Investor Relations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investors@SI-BONE.com</w:t>
      </w:r>
    </w:p>
    <w:p>
      <w:pPr>
        <w:sectPr>
          <w:pgSz w:w="11900" w:h="16838" w:orient="portrait"/>
          <w:cols w:equalWidth="0" w:num="1">
            <w:col w:w="11300"/>
          </w:cols>
          <w:pgMar w:left="300" w:top="800" w:right="29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2024-01-08T07:42:24Z</dcterms:created>
  <dcterms:modified xsi:type="dcterms:W3CDTF">2024-01-08T07:42:24Z</dcterms:modified>
</cp:coreProperties>
</file>