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June 30,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SI-BONE, INC. </w:t>
      </w:r>
    </w:p>
    <w:p>
      <w:pPr>
        <w:pStyle w:val="TextBody"/>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60" w:after="283"/>
        <w:jc w:val="center"/>
        <w:rPr/>
      </w:pPr>
      <w:r>
        <w:rPr>
          <w:color w:val="000000"/>
        </w:rPr>
        <w:t> </w:t>
      </w:r>
      <w:r>
        <w:rPr>
          <w:rFonts w:ascii="Times New Roman;sans-serif" w:hAnsi="Times New Roman;sans-serif"/>
          <w:b/>
          <w:color w:val="000000"/>
          <w:sz w:val="16"/>
        </w:rPr>
        <w:t>Registrant's telephone number, including area code</w:t>
      </w:r>
      <w:r>
        <w:rPr>
          <w:rFonts w:ascii="Times New Roman;sans-serif" w:hAnsi="Times New Roman;sans-serif"/>
          <w:b w:val="false"/>
          <w:color w:val="000000"/>
          <w:sz w:val="16"/>
        </w:rPr>
        <w:t xml:space="preserve">: </w:t>
      </w:r>
      <w:r>
        <w:rPr>
          <w:rFonts w:ascii="Times New Roman;sans-serif" w:hAnsi="Times New Roman;sans-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outstanding of the registrant’s Common Stock was 41,694,135 as of July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3">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3">
              <w:r>
                <w:rPr>
                  <w:rStyle w:val="InternetLink"/>
                  <w:rFonts w:ascii="Times New Roman;sans-serif" w:hAnsi="Times New Roman;sans-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3">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6">
              <w:r>
                <w:rPr>
                  <w:rStyle w:val="InternetLink"/>
                  <w:rFonts w:ascii="Times New Roman;sans-serif" w:hAnsi="Times New Roman;sans-serif"/>
                  <w:b w:val="false"/>
                  <w:color w:val="0000FF"/>
                  <w:sz w:val="20"/>
                  <w:u w:val="single"/>
                </w:rPr>
                <w:t>Condensed Consolidated Balance Sheets</w:t>
              </w:r>
            </w:hyperlink>
            <w:r>
              <w:rPr>
                <w:color w:val="000000"/>
              </w:rPr>
              <w:t xml:space="preserve"> </w:t>
            </w:r>
            <w:hyperlink w:anchor="i41d855984b7549dc8e6954116816df9b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41d855984b7549dc8e6954116816df9b_19">
              <w:r>
                <w:rPr>
                  <w:rStyle w:val="InternetLink"/>
                  <w:rFonts w:ascii="Times New Roman;sans-serif" w:hAnsi="Times New Roman;sans-serif"/>
                  <w:b w:val="false"/>
                  <w:color w:val="0000FF"/>
                  <w:sz w:val="20"/>
                  <w:u w:val="single"/>
                </w:rPr>
                <w:t>Condensed Consolidated Statements of Operations and Comprehensive Loss</w:t>
              </w:r>
            </w:hyperlink>
            <w:r>
              <w:rPr>
                <w:color w:val="000000"/>
              </w:rPr>
              <w:t xml:space="preserve"> </w:t>
            </w:r>
            <w:hyperlink w:anchor="i41d855984b7549dc8e6954116816df9b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9">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22">
              <w:r>
                <w:rPr>
                  <w:rStyle w:val="InternetLink"/>
                  <w:rFonts w:ascii="Times New Roman;sans-serif" w:hAnsi="Times New Roman;sans-serif"/>
                  <w:b w:val="false"/>
                  <w:color w:val="0000FF"/>
                  <w:sz w:val="20"/>
                  <w:u w:val="single"/>
                </w:rPr>
                <w:t>Condensed Consolidated Statements of Changes in Stockholders' Equity</w:t>
              </w:r>
            </w:hyperlink>
            <w:r>
              <w:rPr>
                <w:color w:val="000000"/>
              </w:rPr>
              <w:t xml:space="preserve"> </w:t>
            </w:r>
            <w:hyperlink w:anchor="i41d855984b7549dc8e6954116816df9b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22">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25">
              <w:r>
                <w:rPr>
                  <w:rStyle w:val="InternetLink"/>
                  <w:rFonts w:ascii="Times New Roman;sans-serif" w:hAnsi="Times New Roman;sans-serif"/>
                  <w:b w:val="false"/>
                  <w:color w:val="0000FF"/>
                  <w:sz w:val="20"/>
                  <w:u w:val="single"/>
                </w:rPr>
                <w:t>Condensed Consolidated Statements of Cash Flows</w:t>
              </w:r>
            </w:hyperlink>
            <w:r>
              <w:rPr>
                <w:color w:val="000000"/>
              </w:rPr>
              <w:t xml:space="preserve"> </w:t>
            </w:r>
            <w:hyperlink w:anchor="i41d855984b7549dc8e6954116816df9b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25">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28">
              <w:r>
                <w:rPr>
                  <w:rStyle w:val="InternetLink"/>
                  <w:rFonts w:ascii="Times New Roman;sans-serif" w:hAnsi="Times New Roman;sans-serif"/>
                  <w:b w:val="false"/>
                  <w:color w:val="0000FF"/>
                  <w:sz w:val="20"/>
                  <w:u w:val="single"/>
                </w:rPr>
                <w:t>Notes to Condensed Consolidated Financial Statements</w:t>
              </w:r>
            </w:hyperlink>
            <w:r>
              <w:rPr>
                <w:color w:val="000000"/>
              </w:rPr>
              <w:t xml:space="preserve"> </w:t>
            </w:r>
            <w:hyperlink w:anchor="i41d855984b7549dc8e6954116816df9b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28">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64">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64">
              <w:r>
                <w:rPr>
                  <w:rStyle w:val="InternetLink"/>
                  <w:rFonts w:ascii="Times New Roman;sans-serif" w:hAnsi="Times New Roman;sans-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97">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97">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97">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00">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00">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00">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0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06">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06">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09">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09">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09">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12">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12">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12">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15">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15">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15">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18">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18">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18">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21">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21">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21">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24">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24">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24">
              <w:r>
                <w:rPr>
                  <w:rStyle w:val="InternetLink"/>
                  <w:rFonts w:ascii="Times New Roman;sans-serif" w:hAnsi="Times New Roman;sans-serif"/>
                  <w:b w:val="false"/>
                  <w:color w:val="0000FF"/>
                  <w:sz w:val="20"/>
                  <w:u w:val="single"/>
                </w:rPr>
                <w:t>38</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1d855984b7549dc8e6954116816df9b_127">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d855984b7549dc8e6954116816df9b_127">
              <w:r>
                <w:rPr>
                  <w:rStyle w:val="InternetLink"/>
                  <w:rFonts w:ascii="Times New Roman;sans-serif" w:hAnsi="Times New Roman;sans-serif"/>
                  <w:b w:val="false"/>
                  <w:color w:val="0000FF"/>
                  <w:sz w:val="20"/>
                  <w:u w:val="single"/>
                </w:rPr>
                <w:t>39</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physician adoption, reimbursement determinations, clinical trial results,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of a series of patented titanium implants and the instruments used to implant them, as well as implantable bone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selectively grow our sales team based on the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and results from our clinical trials;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changes in coding and reimbursement of procedures using our products and related procedures and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benefits of our products to patients, providers, and payors;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bidi w:val="0"/>
        <w:spacing w:before="180" w:after="283"/>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w:t>
      </w:r>
      <w:r>
        <w:rPr>
          <w:color w:val="000000"/>
        </w:rPr>
        <w:t xml:space="preserve"> </w:t>
      </w:r>
      <w:r>
        <w:rPr>
          <w:rFonts w:ascii="Times New Roman;sans-serif" w:hAnsi="Times New Roman;sans-serif"/>
          <w:b w:val="false"/>
          <w:color w:val="000000"/>
          <w:sz w:val="20"/>
        </w:rPr>
        <w:t>in our Annual Report on Form 10-K for the year ended December 31, 2023, together with any updates in the section titled “Risk Factors” in this Quarterly Report on Form 10-Q.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1"/>
        <w:gridCol w:w="2263"/>
        <w:gridCol w:w="2192"/>
        <w:gridCol w:w="211"/>
        <w:gridCol w:w="830"/>
        <w:gridCol w:w="109"/>
        <w:gridCol w:w="109"/>
        <w:gridCol w:w="109"/>
        <w:gridCol w:w="109"/>
        <w:gridCol w:w="251"/>
        <w:gridCol w:w="986"/>
        <w:gridCol w:w="185"/>
      </w:tblGrid>
      <w:tr>
        <w:trPr/>
        <w:tc>
          <w:tcPr>
            <w:tcW w:w="285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$1,291 and $1,118,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41,510,811 and 40,693,299 shares issued and outstanding,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8"/>
        <w:gridCol w:w="1097"/>
        <w:gridCol w:w="1022"/>
        <w:gridCol w:w="244"/>
        <w:gridCol w:w="837"/>
        <w:gridCol w:w="109"/>
        <w:gridCol w:w="109"/>
        <w:gridCol w:w="109"/>
        <w:gridCol w:w="109"/>
        <w:gridCol w:w="240"/>
        <w:gridCol w:w="841"/>
        <w:gridCol w:w="109"/>
        <w:gridCol w:w="109"/>
        <w:gridCol w:w="109"/>
        <w:gridCol w:w="109"/>
        <w:gridCol w:w="109"/>
        <w:gridCol w:w="109"/>
        <w:gridCol w:w="134"/>
        <w:gridCol w:w="134"/>
        <w:gridCol w:w="347"/>
        <w:gridCol w:w="942"/>
        <w:gridCol w:w="134"/>
        <w:gridCol w:w="109"/>
        <w:gridCol w:w="109"/>
        <w:gridCol w:w="109"/>
        <w:gridCol w:w="240"/>
        <w:gridCol w:w="841"/>
        <w:gridCol w:w="157"/>
      </w:tblGrid>
      <w:tr>
        <w:trPr/>
        <w:tc>
          <w:tcPr>
            <w:tcW w:w="157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565" w:type="dxa"/>
            <w:gridSpan w:val="6"/>
            <w:tcBorders/>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41,317,627 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37,864,185 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41,126,009 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36,399,309 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28"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11"/>
        <w:gridCol w:w="109"/>
        <w:gridCol w:w="109"/>
        <w:gridCol w:w="109"/>
        <w:gridCol w:w="275"/>
        <w:gridCol w:w="333"/>
        <w:gridCol w:w="143"/>
        <w:gridCol w:w="109"/>
        <w:gridCol w:w="109"/>
        <w:gridCol w:w="109"/>
        <w:gridCol w:w="211"/>
        <w:gridCol w:w="826"/>
        <w:gridCol w:w="109"/>
        <w:gridCol w:w="109"/>
        <w:gridCol w:w="109"/>
        <w:gridCol w:w="109"/>
        <w:gridCol w:w="350"/>
        <w:gridCol w:w="774"/>
        <w:gridCol w:w="182"/>
        <w:gridCol w:w="109"/>
        <w:gridCol w:w="109"/>
        <w:gridCol w:w="109"/>
        <w:gridCol w:w="211"/>
        <w:gridCol w:w="841"/>
        <w:gridCol w:w="109"/>
        <w:gridCol w:w="109"/>
        <w:gridCol w:w="109"/>
        <w:gridCol w:w="109"/>
        <w:gridCol w:w="215"/>
        <w:gridCol w:w="844"/>
        <w:gridCol w:w="112"/>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40,693,299 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41,078,762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576,612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(411,345)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165,537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41,510,811</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584,786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(420,284)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164,733</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34,731,577 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48"/>
        <w:gridCol w:w="467"/>
        <w:gridCol w:w="478"/>
        <w:gridCol w:w="109"/>
        <w:gridCol w:w="109"/>
        <w:gridCol w:w="109"/>
        <w:gridCol w:w="548"/>
        <w:gridCol w:w="548"/>
        <w:gridCol w:w="109"/>
        <w:gridCol w:w="109"/>
        <w:gridCol w:w="109"/>
        <w:gridCol w:w="109"/>
        <w:gridCol w:w="211"/>
        <w:gridCol w:w="271"/>
        <w:gridCol w:w="109"/>
        <w:gridCol w:w="109"/>
        <w:gridCol w:w="109"/>
        <w:gridCol w:w="109"/>
        <w:gridCol w:w="211"/>
        <w:gridCol w:w="841"/>
        <w:gridCol w:w="109"/>
        <w:gridCol w:w="109"/>
        <w:gridCol w:w="109"/>
        <w:gridCol w:w="109"/>
        <w:gridCol w:w="211"/>
        <w:gridCol w:w="481"/>
        <w:gridCol w:w="109"/>
        <w:gridCol w:w="109"/>
        <w:gridCol w:w="109"/>
        <w:gridCol w:w="109"/>
        <w:gridCol w:w="211"/>
        <w:gridCol w:w="845"/>
        <w:gridCol w:w="109"/>
        <w:gridCol w:w="109"/>
        <w:gridCol w:w="109"/>
        <w:gridCol w:w="109"/>
        <w:gridCol w:w="211"/>
        <w:gridCol w:w="841"/>
        <w:gridCol w:w="109"/>
        <w:gridCol w:w="109"/>
        <w:gridCol w:w="157"/>
      </w:tblGrid>
      <w:tr>
        <w:trPr/>
        <w:tc>
          <w:tcPr>
            <w:tcW w:w="94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35,106,163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public offerings, net of underwriting discounts, commissions and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40,087,765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556,541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(379,436)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177,407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73" w:type="dxa"/>
        <w:jc w:val="center"/>
        <w:tblInd w:w="0" w:type="dxa"/>
        <w:tblLayout w:type="fixed"/>
        <w:tblCellMar>
          <w:top w:w="28" w:type="dxa"/>
          <w:left w:w="28" w:type="dxa"/>
          <w:bottom w:w="28" w:type="dxa"/>
          <w:right w:w="28" w:type="dxa"/>
        </w:tblCellMar>
      </w:tblPr>
      <w:tblGrid>
        <w:gridCol w:w="2104"/>
        <w:gridCol w:w="1846"/>
        <w:gridCol w:w="1854"/>
        <w:gridCol w:w="211"/>
        <w:gridCol w:w="721"/>
        <w:gridCol w:w="109"/>
        <w:gridCol w:w="109"/>
        <w:gridCol w:w="109"/>
        <w:gridCol w:w="109"/>
        <w:gridCol w:w="211"/>
        <w:gridCol w:w="736"/>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 and premium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reserve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public offering, net of discounts, commissions and offering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exercise of stock options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and cash equivalents at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Unpaid purchases of property and equipment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Public offering costs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SI-BONE, Inc. (the “Company”) was incorporated in the state of Delaware on March 18, 2008 and is headquartered in Santa Clara, California. The Company is a medical device company dedicated to solving musculoskeletal disorders of the sacropelvic anatomy. Leveraging its knowledge of pelvic anatomy and biomechanics, the Company has pioneered proprietary minimally invasive surgical implant systems to address sacroiliac joint dysfunction as well as address unmet clinical needs in pelvic fixation and management of pelvic fractures. The Company’s products include a series of patented titanium implants and the instruments used to implant them, as well as implantable bone products. Since launching its first generation iFuse in 2009, the Company has launched multiple titanium implant product lines, including iFuse-3D in 2017, iFuse-TORQ in 2021, iFuse Bedrock Granite in 2022 and iFuse INTRA, an implantable bone product, in January 2024.Within the United States, iFuse, iFuse-3D and iFuse-TORQ have clearances for applications across sacroiliac joint dysfunction and fusion, adult spinal deformity and degeneration, and pelvic trauma. </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did not result in any proceeds to the Company.</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2023 has been derived from the audited consolidated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six months ended June 30, 2024 are not necessarily indicative of the results to be expected for the year ending December 31, 2024 or for any other interim period or for any other future year. </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should be read in conjunction with the audited financial statements and related notes thereto for the year ended December 31, 2023 contained in the Company’s Annual Report on Form 10-K filed with the SEC on February 27, 2024 (the “2023 Annual Report”).</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Change in accounting estimate</w:t>
      </w:r>
    </w:p>
    <w:p>
      <w:pPr>
        <w:pStyle w:val="TextBody"/>
        <w:bidi w:val="0"/>
        <w:spacing w:lineRule="auto" w:line="25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reassessed the useful life of its instrument trays based on a comprehensive evaluation of usage trends and its estimate on the average life of instruments before loss or damage that requires disposal. As a result of this review, the Company determined that extending the useful life of its instrument trays would more accurately reflect its anticipated future economic benefits. Effective January 1, 2024, the Company changed its estimates of the useful lives of instrument trays from three to five years. The effect of this change in estimate reduced depreciation expense by $0.5 million, resulting in a decrease in net loss of $0.5 million and basic and diluted earnings per share by $0.01 for the three months ended June 30, 2024. The effect of this change in estimate reduced depreciation expense by $1.0 million, resulting in a decrease in loss from operations and net loss of $1.0 million and basic and diluted earnings per share by $0.03 for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2023 Annual Report. There have been no material changes to these accounting policies.</w:t>
      </w:r>
    </w:p>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80" w:after="240"/>
        <w:ind w:left="0" w:right="0" w:firstLine="495"/>
        <w:jc w:val="both"/>
        <w:rPr/>
      </w:pPr>
      <w:r>
        <w:rPr>
          <w:rFonts w:ascii="Times New Roman;sans-serif" w:hAnsi="Times New Roman;sans-serif"/>
          <w:b w:val="false"/>
          <w:color w:val="000000"/>
          <w:sz w:val="20"/>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r>
        <w:rPr>
          <w:rFonts w:ascii="Times New Roman;sans-serif" w:hAnsi="Times New Roman;sans-serif"/>
          <w:b w:val="false"/>
          <w:color w:val="008080"/>
          <w:sz w:val="24"/>
        </w:rPr>
        <w: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The following table summarizes the Company's revenue by geography:</w:t>
      </w:r>
    </w:p>
    <w:tbl>
      <w:tblPr>
        <w:tblW w:w="7403" w:type="dxa"/>
        <w:jc w:val="left"/>
        <w:tblInd w:w="0" w:type="dxa"/>
        <w:tblLayout w:type="fixed"/>
        <w:tblCellMar>
          <w:top w:w="28" w:type="dxa"/>
          <w:left w:w="28" w:type="dxa"/>
          <w:bottom w:w="28" w:type="dxa"/>
          <w:right w:w="28" w:type="dxa"/>
        </w:tblCellMar>
      </w:tblPr>
      <w:tblGrid>
        <w:gridCol w:w="435"/>
        <w:gridCol w:w="381"/>
        <w:gridCol w:w="383"/>
        <w:gridCol w:w="214"/>
        <w:gridCol w:w="732"/>
        <w:gridCol w:w="110"/>
        <w:gridCol w:w="110"/>
        <w:gridCol w:w="110"/>
        <w:gridCol w:w="110"/>
        <w:gridCol w:w="214"/>
        <w:gridCol w:w="732"/>
        <w:gridCol w:w="110"/>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requires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Early adoption is permitted. The Company is currently evaluating the guidance to determine the impact on its disclosures.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and for interim periods for fiscal years beginning after December 15, 2025. The Company is currently evaluating the impacts of ASU 2023-09 on its disclosures.</w:t>
      </w:r>
    </w:p>
    <w:p>
      <w:pPr>
        <w:pStyle w:val="TextBody"/>
        <w:bidi w:val="0"/>
        <w:spacing w:before="180" w:after="24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before="0" w:after="0"/>
        <w:ind w:left="0" w:right="0" w:firstLine="540"/>
        <w:jc w:val="both"/>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147,683 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147,643 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156,014 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three and six months ended June 30, 2024 and 2023,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June 30, 2024 and December 31, 2023.</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present accrued interest receivable separately from short-term and long-term investments on its condensed consolidated balance sheets. Accrued interest receivable was $0.3 million as of June 30, 2024,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June 30, 2024 or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289"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inventory consisted of finished goods of $21.2 million and work-in-progress and components of $2.0 million. As of December 31, 2023, inventory consisted of finished goods of $18.8 million and work-in-progress and components of $1.4 million.</w:t>
      </w:r>
    </w:p>
    <w:p>
      <w:pPr>
        <w:pStyle w:val="TextBody"/>
        <w:bidi w:val="0"/>
        <w:spacing w:lineRule="auto" w:line="288" w:before="240" w:after="180"/>
        <w:ind w:left="0" w:right="0" w:firstLine="495"/>
        <w:jc w:val="left"/>
        <w:rPr/>
      </w:pPr>
      <w:r>
        <w:rPr>
          <w:rFonts w:ascii="Times New Roman;sans-serif" w:hAnsi="Times New Roman;sans-serif"/>
          <w:b/>
          <w:i/>
          <w:color w:val="000000"/>
          <w:sz w:val="20"/>
        </w:rPr>
        <w:t>Property and Equipment, net:</w:t>
      </w:r>
      <w:r>
        <w:rPr>
          <w:color w:val="000000"/>
        </w:rPr>
        <w:t>    </w:t>
      </w:r>
    </w:p>
    <w:tbl>
      <w:tblPr>
        <w:tblW w:w="7227" w:type="dxa"/>
        <w:jc w:val="left"/>
        <w:tblInd w:w="0" w:type="dxa"/>
        <w:tblLayout w:type="fixed"/>
        <w:tblCellMar>
          <w:top w:w="28" w:type="dxa"/>
          <w:left w:w="28" w:type="dxa"/>
          <w:bottom w:w="28" w:type="dxa"/>
          <w:right w:w="28" w:type="dxa"/>
        </w:tblCellMar>
      </w:tblPr>
      <w:tblGrid>
        <w:gridCol w:w="1504"/>
        <w:gridCol w:w="1321"/>
        <w:gridCol w:w="1330"/>
        <w:gridCol w:w="234"/>
        <w:gridCol w:w="800"/>
        <w:gridCol w:w="121"/>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ans-serif" w:hAnsi="Times New Roman;sans-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 trays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color w:val="000000"/>
        </w:rPr>
      </w:pPr>
      <w:r>
        <w:rPr>
          <w:color w:val="000000"/>
        </w:rPr>
        <w:t>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construction in progress pertains to the cost of individual components of an instrument tray used for surgical placement of the Company's products that have not yet been placed into service of $6.3 million and software costs of $0.5 million. As of December 31, 2023, construction in progress pertains to cost of individual components of an instrument tray used for surgical placement of the Company's products that have not yet been placed into service of $3.5 million and software costs of $0.4 million. Depreciation expense was $1.0 million and $1.2 million for the three months ended June 30, 2024 and 2023, respectively. Depreciation expense was $2.1 million and $2.3 million for the six months ended June 30, 2024 and 2023, respectively. </w:t>
      </w:r>
    </w:p>
    <w:p>
      <w:pPr>
        <w:pStyle w:val="TextBody"/>
        <w:bidi w:val="0"/>
        <w:spacing w:lineRule="auto" w:line="288" w:before="240" w:after="180"/>
        <w:ind w:left="0" w:right="0" w:firstLine="495"/>
        <w:jc w:val="left"/>
        <w:rPr/>
      </w:pPr>
      <w:r>
        <w:rPr>
          <w:rFonts w:ascii="Times New Roman;sans-serif" w:hAnsi="Times New Roman;sans-serif"/>
          <w:b/>
          <w:i/>
          <w:color w:val="000000"/>
          <w:sz w:val="20"/>
        </w:rPr>
        <w:t>Accrued Liabilities and Other</w:t>
      </w:r>
      <w:r>
        <w:rPr>
          <w:rFonts w:ascii="Times New Roman;sans-serif" w:hAnsi="Times New Roman;sans-serif"/>
          <w:b w:val="false"/>
          <w:color w:val="000000"/>
          <w:sz w:val="20"/>
        </w:rPr>
        <w:t>:</w:t>
      </w:r>
    </w:p>
    <w:tbl>
      <w:tblPr>
        <w:tblW w:w="6777" w:type="dxa"/>
        <w:jc w:val="left"/>
        <w:tblInd w:w="0" w:type="dxa"/>
        <w:tblLayout w:type="fixed"/>
        <w:tblCellMar>
          <w:top w:w="28" w:type="dxa"/>
          <w:left w:w="28" w:type="dxa"/>
          <w:bottom w:w="28" w:type="dxa"/>
          <w:right w:w="28" w:type="dxa"/>
        </w:tblCellMar>
      </w:tblPr>
      <w:tblGrid>
        <w:gridCol w:w="1343"/>
        <w:gridCol w:w="1178"/>
        <w:gridCol w:w="1184"/>
        <w:gridCol w:w="234"/>
        <w:gridCol w:w="800"/>
        <w:gridCol w:w="121"/>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Accrued professional services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80" w:after="18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movement in the allowance for credit losses was as follows:</w:t>
      </w:r>
    </w:p>
    <w:tbl>
      <w:tblPr>
        <w:tblW w:w="5710" w:type="dxa"/>
        <w:jc w:val="left"/>
        <w:tblInd w:w="0" w:type="dxa"/>
        <w:tblLayout w:type="fixed"/>
        <w:tblCellMar>
          <w:top w:w="28" w:type="dxa"/>
          <w:left w:w="28" w:type="dxa"/>
          <w:bottom w:w="28" w:type="dxa"/>
          <w:right w:w="28" w:type="dxa"/>
        </w:tblCellMar>
      </w:tblPr>
      <w:tblGrid>
        <w:gridCol w:w="956"/>
        <w:gridCol w:w="840"/>
        <w:gridCol w:w="843"/>
        <w:gridCol w:w="260"/>
        <w:gridCol w:w="760"/>
        <w:gridCol w:w="134"/>
        <w:gridCol w:w="109"/>
        <w:gridCol w:w="109"/>
        <w:gridCol w:w="109"/>
        <w:gridCol w:w="342"/>
        <w:gridCol w:w="999"/>
        <w:gridCol w:w="24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which expires in July 2026 and a building used for research and development and warehouse space in Santa Clara, California which expires in October 2026. The Company also has a non-cancelable operating lease for its office building spaces in Gallarate, Italy which expires in August 2027.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leases vehicles under operating lease arrangements for certain of its personnel in Europe which expire at various times throughout 2024 to 2026.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shd w:fill="FFFFFF" w:val="clear"/>
        </w:rPr>
        <w:t>Supplemental information related to lease expense and valuation of the lease assets and lease liabilit</w:t>
      </w:r>
      <w:r>
        <w:rPr>
          <w:rFonts w:ascii="Times New Roman;sans-serif" w:hAnsi="Times New Roman;sans-serif"/>
          <w:b w:val="false"/>
          <w:color w:val="000000"/>
          <w:sz w:val="20"/>
        </w:rPr>
        <w:t>ies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6"/>
        <w:gridCol w:w="1332"/>
        <w:gridCol w:w="1340"/>
        <w:gridCol w:w="431"/>
        <w:gridCol w:w="263"/>
        <w:gridCol w:w="251"/>
        <w:gridCol w:w="174"/>
        <w:gridCol w:w="174"/>
        <w:gridCol w:w="174"/>
        <w:gridCol w:w="621"/>
        <w:gridCol w:w="320"/>
        <w:gridCol w:w="314"/>
        <w:gridCol w:w="109"/>
        <w:gridCol w:w="109"/>
        <w:gridCol w:w="109"/>
        <w:gridCol w:w="333"/>
        <w:gridCol w:w="284"/>
        <w:gridCol w:w="287"/>
        <w:gridCol w:w="163"/>
        <w:gridCol w:w="163"/>
        <w:gridCol w:w="163"/>
        <w:gridCol w:w="333"/>
        <w:gridCol w:w="210"/>
        <w:gridCol w:w="211"/>
        <w:gridCol w:w="109"/>
        <w:gridCol w:w="109"/>
        <w:gridCol w:w="109"/>
        <w:gridCol w:w="109"/>
        <w:gridCol w:w="109"/>
        <w:gridCol w:w="166"/>
      </w:tblGrid>
      <w:tr>
        <w:trPr/>
        <w:tc>
          <w:tcPr>
            <w:tcW w:w="16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p>
            <w:pPr>
              <w:pStyle w:val="TableContents"/>
              <w:bidi w:val="0"/>
              <w:spacing w:before="0" w:after="0"/>
              <w:jc w:val="left"/>
              <w:rPr/>
            </w:pPr>
            <w:r>
              <w:rPr/>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June 30, 2024 was as follows:</w:t>
      </w:r>
    </w:p>
    <w:tbl>
      <w:tblPr>
        <w:tblW w:w="3930" w:type="dxa"/>
        <w:jc w:val="left"/>
        <w:tblInd w:w="0" w:type="dxa"/>
        <w:tblLayout w:type="fixed"/>
        <w:tblCellMar>
          <w:top w:w="28" w:type="dxa"/>
          <w:left w:w="28" w:type="dxa"/>
          <w:bottom w:w="28" w:type="dxa"/>
          <w:right w:w="28" w:type="dxa"/>
        </w:tblCellMar>
      </w:tblPr>
      <w:tblGrid>
        <w:gridCol w:w="962"/>
        <w:gridCol w:w="845"/>
        <w:gridCol w:w="848"/>
        <w:gridCol w:w="274"/>
        <w:gridCol w:w="801"/>
        <w:gridCol w:w="20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no operating lease liabilities that had not commenced.</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wherein the Company is required to purchase the amounts forecasted in a blanket purchase order. The contractual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 future cash commitments and liabilities under agreements with third parties and exclude orders for goods and services entered into in the normal course of business that are not enforceable or legally binding. These outstanding commitments amounted to $0.4 million as of June 30, 2024 and December 31, 2023.</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8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periods presented:</w:t>
      </w:r>
    </w:p>
    <w:tbl>
      <w:tblPr>
        <w:tblW w:w="9431" w:type="dxa"/>
        <w:jc w:val="left"/>
        <w:tblInd w:w="0" w:type="dxa"/>
        <w:tblLayout w:type="fixed"/>
        <w:tblCellMar>
          <w:top w:w="28" w:type="dxa"/>
          <w:left w:w="28" w:type="dxa"/>
          <w:bottom w:w="28" w:type="dxa"/>
          <w:right w:w="28" w:type="dxa"/>
        </w:tblCellMar>
      </w:tblPr>
      <w:tblGrid>
        <w:gridCol w:w="2303"/>
        <w:gridCol w:w="2025"/>
        <w:gridCol w:w="2031"/>
        <w:gridCol w:w="234"/>
        <w:gridCol w:w="800"/>
        <w:gridCol w:w="121"/>
        <w:gridCol w:w="109"/>
        <w:gridCol w:w="109"/>
        <w:gridCol w:w="109"/>
        <w:gridCol w:w="309"/>
        <w:gridCol w:w="1056"/>
        <w:gridCol w:w="225"/>
      </w:tblGrid>
      <w:tr>
        <w:trPr/>
        <w:tc>
          <w:tcPr>
            <w:tcW w:w="230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 and final fee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Unaccreted value of final fee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fee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2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36,149 </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entered into by the Company with Silicon Valley Bank (“SVB” or the “Lender”) (the “Original Loan Agreement”). Pursuant to the Original Loan Agreement, SVB provided a term loan in an aggregate principal amount of $35.0 million to the Company (the “Original Term Loan”).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the Company entered into a First Amendment to Loan and Security Agreement (the “First Amendment”) with SVB, which amended the Company's Original Term Loan pursuant to which the Company received a new term loan facility in an aggregate principal amount of $36.0 million (the “Original Loan Agreement” with the Amendment, collectively the “Amended Loan Agreement”). Upon entry into the Amended Loan Agreement, the Company borrowed $36.0 million pursuant to a term loan (the "Term Loan"), which was substantially used to repay in full the $35.0 million term loan outstanding under the Original Loan Agreement and secured a revolving credit facility in an aggregate principal amount of up to $15.0 million (the “Revolving Line”). The Amended Loan Agreement also includes an uncommitted accordion term loan in an aggregate principal amount of up to $15.0 million, which accordion may be approved by the Lender solely in its discretion, upon the Company’s request. The Term Loan matures on December 1, 2027 (the “Term Loan Maturity Date”). Interest on the Term Loan will be payable monthly at a floating annual rate set at the greater of (i) the prime rate as published in the Wall Street Journal plus 0.5% or (ii) 6.75%. Commencing on July 1, 2025, the Company will be required to make monthly principal Term Loan amortization payments. A final fee payment of 2% of the original principal amount of the Term Loan is due upon the earlier of the Term Loan Maturity Date, termination of the Amended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acceleration by the Lender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the Lender.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the Company does not maintain an adjusted quick ratio of at least 1.5 to 1.0, then falling below such threshold will allow the Lender to apply accounts receivable collections to outstanding Revolving Line borrowings. The Company will pay a total commitment fee of $187,500 on account of the Revolving Line payable in installments, but fully earned at close. The Company will also be required to pay a fee of $150,000 if it terminates the Amended Loan Agreement or Revolving Line prior to Revolving Line Maturity Date, or if the Lender terminates the Loan Agreement or the Revolving Line following an event of default. No termination fee would be due if the Revolving Line is replaced with a new facility with the Lender.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 entered into a Second Amendment to Loan and Security Agreement with SVB which amends the Company's Amended Loan Agreement (the “Second Amendment” and together with the Amended Loan Agreement, the “Second Amended Loan Agreement”). The Second Amendment revised certain provisions related to financial covenants and the periods in which the covenants apply. No amounts were outstanding under the Revolver as of June 30, 2024.</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Second Amended Loan Agreement as a debt modification. Accordingly, the remaining unamortized debt issuance costs related to the Original Loan Agreement together with any lender fees incurred in connection with the entry of the Second Amended Loan Agreement are amortized to interest expense using the straight-line method over the new term of the loan through December 2027.</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was in compliance with all other debt covenants, provided, however, that in order to access future credit advances under the Revolving Line, it will be required to redirect certain customer payments and transfer certain cash management account balances, in each case, back to First-Citizens. As of June 30, 2024, the Company had cash management accounts with a financial institution other than First-Citizens and instructed its customers to direct payments to the Company to these separate operating accounts. Until such customer payments are directed back to certain First-Citizens cash collateral accounts, and certain balances and funds are moved back to the First-Citizens cash collateral accounts and other accounts held at First-Citizens, the Company will be unable to obtain credit advances under the Revolving Line.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 related to the First-Citizens Term Loan for the three and six months ended June 30, 2024 was 9.3%. The effective interest rate related to the First-Citizens Term Loan for the three and six months ended June 30, 2023 was 8.9% and 8.8%, respectively. </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and final fee payments under the Fist-Citizens Term Loan as of June 30, 2024:</w:t>
      </w:r>
    </w:p>
    <w:tbl>
      <w:tblPr>
        <w:tblW w:w="4484" w:type="dxa"/>
        <w:jc w:val="left"/>
        <w:tblInd w:w="0" w:type="dxa"/>
        <w:tblLayout w:type="fixed"/>
        <w:tblCellMar>
          <w:top w:w="28" w:type="dxa"/>
          <w:left w:w="28" w:type="dxa"/>
          <w:bottom w:w="28" w:type="dxa"/>
          <w:right w:w="28" w:type="dxa"/>
        </w:tblCellMar>
      </w:tblPr>
      <w:tblGrid>
        <w:gridCol w:w="1163"/>
        <w:gridCol w:w="1022"/>
        <w:gridCol w:w="1025"/>
        <w:gridCol w:w="247"/>
        <w:gridCol w:w="847"/>
        <w:gridCol w:w="180"/>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and final fee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June 30, 2024, the Company was in compliance with all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Incentive Compensation Plans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stock option activity for the six months ended June 30, 2024:</w:t>
      </w:r>
    </w:p>
    <w:tbl>
      <w:tblPr>
        <w:tblW w:w="10205" w:type="dxa"/>
        <w:jc w:val="left"/>
        <w:tblInd w:w="0" w:type="dxa"/>
        <w:tblLayout w:type="fixed"/>
        <w:tblCellMar>
          <w:top w:w="28" w:type="dxa"/>
          <w:left w:w="28" w:type="dxa"/>
          <w:bottom w:w="28" w:type="dxa"/>
          <w:right w:w="28" w:type="dxa"/>
        </w:tblCellMar>
      </w:tblPr>
      <w:tblGrid>
        <w:gridCol w:w="829"/>
        <w:gridCol w:w="728"/>
        <w:gridCol w:w="731"/>
        <w:gridCol w:w="109"/>
        <w:gridCol w:w="109"/>
        <w:gridCol w:w="109"/>
        <w:gridCol w:w="488"/>
        <w:gridCol w:w="488"/>
        <w:gridCol w:w="279"/>
        <w:gridCol w:w="109"/>
        <w:gridCol w:w="109"/>
        <w:gridCol w:w="109"/>
        <w:gridCol w:w="211"/>
        <w:gridCol w:w="618"/>
        <w:gridCol w:w="109"/>
        <w:gridCol w:w="109"/>
        <w:gridCol w:w="109"/>
        <w:gridCol w:w="109"/>
        <w:gridCol w:w="844"/>
        <w:gridCol w:w="844"/>
        <w:gridCol w:w="846"/>
        <w:gridCol w:w="109"/>
        <w:gridCol w:w="109"/>
        <w:gridCol w:w="109"/>
        <w:gridCol w:w="364"/>
        <w:gridCol w:w="1245"/>
        <w:gridCol w:w="273"/>
      </w:tblGrid>
      <w:tr>
        <w:trPr/>
        <w:tc>
          <w:tcPr>
            <w:tcW w:w="8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(99,320)</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1,088,277 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exercisable,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1,088,277 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expected to vest,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1,088,277 </w:t>
            </w:r>
          </w:p>
        </w:tc>
        <w:tc>
          <w:tcPr>
            <w:tcW w:w="27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is no unrecognized compensation cost related to stock options.</w: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three and six months ended June 30, 2024 and 2023.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40"/>
        <w:ind w:left="0" w:right="0" w:firstLine="495"/>
        <w:jc w:val="both"/>
        <w:rPr/>
      </w:pPr>
      <w:r>
        <w:rPr>
          <w:rFonts w:ascii="Times New Roman;sans-serif" w:hAnsi="Times New Roman;sans-serif"/>
          <w:b w:val="false"/>
          <w:color w:val="000000"/>
          <w:sz w:val="20"/>
        </w:rPr>
        <w:t>RSUs are share awards that entitle the holder to receive freely tradable shares of the Company’s common stock upon vesting. RSUs generally vest over one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As of June 30, 2024, the unr</w:t>
      </w:r>
      <w:r>
        <w:rPr>
          <w:rFonts w:ascii="Times New Roman;sans-serif" w:hAnsi="Times New Roman;sans-serif"/>
          <w:b w:val="false"/>
          <w:color w:val="000000"/>
          <w:sz w:val="20"/>
          <w:shd w:fill="FFFFFF" w:val="clear"/>
        </w:rPr>
        <w:t xml:space="preserve">ecognized compensation cost related to the RSUs was $36.9 million, which is expected to be recognized over a period of approximately 2.6 years.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194"/>
        <w:gridCol w:w="1037"/>
        <w:gridCol w:w="1039"/>
        <w:gridCol w:w="109"/>
        <w:gridCol w:w="109"/>
        <w:gridCol w:w="109"/>
        <w:gridCol w:w="109"/>
        <w:gridCol w:w="109"/>
        <w:gridCol w:w="109"/>
        <w:gridCol w:w="511"/>
        <w:gridCol w:w="271"/>
        <w:gridCol w:w="511"/>
        <w:gridCol w:w="194"/>
        <w:gridCol w:w="621"/>
        <w:gridCol w:w="194"/>
        <w:gridCol w:w="194"/>
        <w:gridCol w:w="194"/>
        <w:gridCol w:w="209"/>
        <w:gridCol w:w="205"/>
        <w:gridCol w:w="201"/>
        <w:gridCol w:w="109"/>
        <w:gridCol w:w="109"/>
        <w:gridCol w:w="109"/>
        <w:gridCol w:w="209"/>
        <w:gridCol w:w="204"/>
        <w:gridCol w:w="206"/>
        <w:gridCol w:w="109"/>
        <w:gridCol w:w="109"/>
        <w:gridCol w:w="109"/>
        <w:gridCol w:w="210"/>
        <w:gridCol w:w="204"/>
        <w:gridCol w:w="201"/>
        <w:gridCol w:w="109"/>
        <w:gridCol w:w="109"/>
        <w:gridCol w:w="109"/>
        <w:gridCol w:w="218"/>
        <w:gridCol w:w="218"/>
        <w:gridCol w:w="325"/>
      </w:tblGrid>
      <w:tr>
        <w:trPr/>
        <w:tc>
          <w:tcPr>
            <w:tcW w:w="119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976" w:type="dxa"/>
            <w:gridSpan w:val="18"/>
            <w:tcBorders/>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5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88"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141.0%</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88"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76"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both"/>
        <w:rPr/>
      </w:pPr>
      <w:r>
        <w:rPr>
          <w:rFonts w:ascii="Times New Roman;sans-serif" w:hAnsi="Times New Roman;sans-serif"/>
          <w:b w:val="false"/>
          <w:color w:val="000000"/>
          <w:sz w:val="20"/>
          <w:shd w:fill="FFFFFF" w:val="clear"/>
        </w:rPr>
        <w:t xml:space="preserve">As of June 30, 2024, the unrecognized compensation cost related to the PSUs was $5.9 million, which is expected to </w:t>
      </w:r>
      <w:r>
        <w:rPr>
          <w:rFonts w:ascii="Times New Roman;sans-serif" w:hAnsi="Times New Roman;sans-serif"/>
          <w:b w:val="false"/>
          <w:color w:val="000000"/>
          <w:sz w:val="20"/>
        </w:rPr>
        <w:t>be recognized over a period of approximately 2.2 years.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RSU and PSU activity for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3"/>
        <w:gridCol w:w="714"/>
        <w:gridCol w:w="716"/>
        <w:gridCol w:w="109"/>
        <w:gridCol w:w="109"/>
        <w:gridCol w:w="109"/>
        <w:gridCol w:w="468"/>
        <w:gridCol w:w="381"/>
        <w:gridCol w:w="383"/>
        <w:gridCol w:w="109"/>
        <w:gridCol w:w="109"/>
        <w:gridCol w:w="109"/>
        <w:gridCol w:w="701"/>
        <w:gridCol w:w="701"/>
        <w:gridCol w:w="703"/>
        <w:gridCol w:w="109"/>
        <w:gridCol w:w="109"/>
        <w:gridCol w:w="109"/>
        <w:gridCol w:w="396"/>
        <w:gridCol w:w="381"/>
        <w:gridCol w:w="383"/>
        <w:gridCol w:w="109"/>
        <w:gridCol w:w="109"/>
        <w:gridCol w:w="109"/>
        <w:gridCol w:w="628"/>
        <w:gridCol w:w="628"/>
        <w:gridCol w:w="901"/>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1,899,790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$14.74</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18.48</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(509,117)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16.27</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2,387,933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r>
    </w:tbl>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The fair value of the ESPP shares is estimated using the Black-Scholes option pricing model, which is being amortized over the requisite service period. The Company issued 114,636 and 130,867 shares under the ESPP, representing $1.5 million in employee contributions for each of the three and six months ended June 30, 2024 and 2023. As of June 30, 2024 and December 31, 2023, total accumulated ESPP related employee payroll deductions amounted to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 xml:space="preserve">and $0.4 million, respectively, which were included within accrued compensation and related expenses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 of stock-based compensation expense amounts included in the condensed consolidated statements of operations:</w:t>
      </w:r>
    </w:p>
    <w:tbl>
      <w:tblPr>
        <w:tblW w:w="7616" w:type="dxa"/>
        <w:jc w:val="left"/>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common stock warrants activity for the six months ended June 30, 2024:</w:t>
      </w:r>
    </w:p>
    <w:tbl>
      <w:tblPr>
        <w:tblW w:w="10205" w:type="dxa"/>
        <w:jc w:val="left"/>
        <w:tblInd w:w="0" w:type="dxa"/>
        <w:tblLayout w:type="fixed"/>
        <w:tblCellMar>
          <w:top w:w="28" w:type="dxa"/>
          <w:left w:w="28" w:type="dxa"/>
          <w:bottom w:w="28" w:type="dxa"/>
          <w:right w:w="28" w:type="dxa"/>
        </w:tblCellMar>
      </w:tblPr>
      <w:tblGrid>
        <w:gridCol w:w="295"/>
        <w:gridCol w:w="259"/>
        <w:gridCol w:w="261"/>
        <w:gridCol w:w="109"/>
        <w:gridCol w:w="109"/>
        <w:gridCol w:w="109"/>
        <w:gridCol w:w="313"/>
        <w:gridCol w:w="313"/>
        <w:gridCol w:w="314"/>
        <w:gridCol w:w="109"/>
        <w:gridCol w:w="109"/>
        <w:gridCol w:w="109"/>
        <w:gridCol w:w="417"/>
        <w:gridCol w:w="416"/>
        <w:gridCol w:w="417"/>
        <w:gridCol w:w="109"/>
        <w:gridCol w:w="109"/>
        <w:gridCol w:w="109"/>
        <w:gridCol w:w="216"/>
        <w:gridCol w:w="632"/>
        <w:gridCol w:w="111"/>
        <w:gridCol w:w="109"/>
        <w:gridCol w:w="109"/>
        <w:gridCol w:w="109"/>
        <w:gridCol w:w="298"/>
        <w:gridCol w:w="298"/>
        <w:gridCol w:w="299"/>
        <w:gridCol w:w="109"/>
        <w:gridCol w:w="109"/>
        <w:gridCol w:w="109"/>
        <w:gridCol w:w="297"/>
        <w:gridCol w:w="297"/>
        <w:gridCol w:w="298"/>
        <w:gridCol w:w="109"/>
        <w:gridCol w:w="109"/>
        <w:gridCol w:w="109"/>
        <w:gridCol w:w="276"/>
        <w:gridCol w:w="276"/>
        <w:gridCol w:w="277"/>
        <w:gridCol w:w="109"/>
        <w:gridCol w:w="109"/>
        <w:gridCol w:w="109"/>
        <w:gridCol w:w="428"/>
        <w:gridCol w:w="370"/>
        <w:gridCol w:w="538"/>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June 30, 2024</w:t>
            </w:r>
          </w:p>
        </w:tc>
      </w:tr>
      <w:tr>
        <w:trPr/>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85,139 </w:t>
            </w:r>
          </w:p>
        </w:tc>
        <w:tc>
          <w:tcPr>
            <w:tcW w:w="4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85,139 </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Net Loss Per Share of Common Stock</w:t>
      </w:r>
    </w:p>
    <w:p>
      <w:pPr>
        <w:pStyle w:val="TextBody"/>
        <w:bidi w:val="0"/>
        <w:spacing w:lineRule="auto" w:line="288" w:before="240" w:after="24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602"/>
        <w:gridCol w:w="1406"/>
        <w:gridCol w:w="1410"/>
        <w:gridCol w:w="270"/>
        <w:gridCol w:w="81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6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41,317,627 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37,864,185 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41,126,009 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36,399,309 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8965" w:type="dxa"/>
        <w:jc w:val="left"/>
        <w:tblInd w:w="0" w:type="dxa"/>
        <w:tblLayout w:type="fixed"/>
        <w:tblCellMar>
          <w:top w:w="28" w:type="dxa"/>
          <w:left w:w="28" w:type="dxa"/>
          <w:bottom w:w="28" w:type="dxa"/>
          <w:right w:w="28" w:type="dxa"/>
        </w:tblCellMar>
      </w:tblPr>
      <w:tblGrid>
        <w:gridCol w:w="748"/>
        <w:gridCol w:w="659"/>
        <w:gridCol w:w="662"/>
        <w:gridCol w:w="678"/>
        <w:gridCol w:w="298"/>
        <w:gridCol w:w="271"/>
        <w:gridCol w:w="271"/>
        <w:gridCol w:w="271"/>
        <w:gridCol w:w="271"/>
        <w:gridCol w:w="678"/>
        <w:gridCol w:w="298"/>
        <w:gridCol w:w="271"/>
        <w:gridCol w:w="109"/>
        <w:gridCol w:w="109"/>
        <w:gridCol w:w="109"/>
        <w:gridCol w:w="662"/>
        <w:gridCol w:w="314"/>
        <w:gridCol w:w="242"/>
        <w:gridCol w:w="242"/>
        <w:gridCol w:w="242"/>
        <w:gridCol w:w="242"/>
        <w:gridCol w:w="661"/>
        <w:gridCol w:w="315"/>
        <w:gridCol w:w="342"/>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1,088,277</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1,088,277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1,269,147 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2,998,474</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2,998,474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2,320,750 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63,987</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4,235,877 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4,235,877 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3,713,763 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2020, the Company entered into a joint development agreement (the “Development Agreement”) with SeaSpine Orthopedics Corporation (“SeaSpine”), which merged with Orthofix Medical, Inc. ("Orthofix"), to develop a next generation device for sacropelvic fixation. On April 27, 2021, the Company and SeaSpine entered into that certain Addendum No.1 to the Development Agreement to extend certain obligations as described under the Development Agreement to a consultant of the Company. Mr. Keith C. Valentine, formerly a member of the Company’s Board of Directors from August 2015 through June 2024, served as the President, Chief Executive Officer and a member of the board of directors of SeaSpine until its merger with Orthofix in January 2023, and subsequently as the President, Chief Executive Officer and a member of the board of directors of Orthofix until his resignation in October 2023. Subsequent to October 4, 2023, SeaSpine is no longer a related party of the Company.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and six months ended June 30, 2023, the Company did not incur any</w:t>
      </w:r>
      <w:r>
        <w:rPr>
          <w:color w:val="000000"/>
          <w:shd w:fill="FFFFFF" w:val="clear"/>
        </w:rPr>
        <w:t xml:space="preserve"> </w:t>
      </w:r>
      <w:r>
        <w:rPr>
          <w:rFonts w:ascii="Times New Roman;sans-serif" w:hAnsi="Times New Roman;sans-serif"/>
          <w:b w:val="false"/>
          <w:color w:val="000000"/>
          <w:sz w:val="20"/>
          <w:shd w:fill="FFFFFF" w:val="clear"/>
        </w:rPr>
        <w:t xml:space="preserve">reimbursement charges from Seaspine. </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rPr>
        <w:t xml:space="preserve">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 </w:t>
      </w:r>
      <w:r>
        <w:rPr>
          <w:rFonts w:ascii="Times New Roman;sans-serif" w:hAnsi="Times New Roman;sans-serif"/>
          <w:b w:val="false"/>
          <w:color w:val="000000"/>
          <w:sz w:val="20"/>
          <w:shd w:fill="FFFFFF" w:val="clear"/>
        </w:rPr>
        <w:t xml:space="preserve">The Company recorded $0.1 million royalty for the </w:t>
      </w:r>
      <w:r>
        <w:rPr>
          <w:rFonts w:ascii="Times New Roman;sans-serif" w:hAnsi="Times New Roman;sans-serif"/>
          <w:b w:val="false"/>
          <w:color w:val="000000"/>
          <w:sz w:val="20"/>
        </w:rPr>
        <w:t xml:space="preserve">three and six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7060"/>
                <wp:effectExtent l="0" t="0" r="0" b="0"/>
                <wp:wrapNone/>
                <wp:docPr id="22" name="Frame2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six months ended June 30, 2024 and 2023. The Company continues to maintain a full valuation allowance against its net deferred tax assets due to the uncertainty surrounding realization of such assets.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compared to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7060"/>
                <wp:effectExtent l="0" t="0" r="0" b="0"/>
                <wp:wrapNone/>
                <wp:docPr id="23" name="Frame2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Subsequent Event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18, 2024, the Company and BIXBY SPE FINANCE 11, LLC (“Landlord”) entered into the Second Amendment (the “Second Lease Amendment”) to the Office Lease Agreement (the “Original Lease”) dated as of February 2, 2018, as amended by that certain First Amendment to Lease (the “First Amendment”) dated as of April 16, 2018 and as further supplemented by that certain Telecommunications License Agreement dated as of October 23, 2019 (collectively, as amended, the “Lease”). The Lease is for 21,848 square feet of office space located at 471 El Camino Real, Santa Clara, California, the Company’s corporate headquarters. Pursuant to the Second Lease Amendment, the Company and Landlord agreed to extend the term of the Lease for an additional period of fourteen months commencing on June 1, 2025 (the “Extension Date”), and expiring July 31, 2026 (the “Expiration Date”) with the base rent in the amount of $43,696 per month. The Company shall not be required to pay monthly base rent for the first three months from and after the Extension Date. Pursuant to the Second Lease Amendment, the Company agreed to continue to pay its share of operating expenses and taxes through the Expiration Date. The Second Lease Amendment terminates the 5-year extension option contained in the Original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7060"/>
                <wp:effectExtent l="0" t="0" r="0" b="0"/>
                <wp:wrapNone/>
                <wp:docPr id="24" name="Frame2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February 27,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this our Annual Report on Form 10-K filed on February 27, 2024,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multiple titanium implant product lines, including iFuse-3D in 2017, iFuse-TORQ in 2021, iFuse Bedrock Granite in 2022 and iFuse INTRA, an implantable bone product, in January 2024. Within the United States, iFuse, iFuse-3D and iFuse-TORQ have clearances for applications across sacroiliac joint dysfunction and fusion, adult spinal deformity and degeneration, and pelvic trauma.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products primarily with a direct sales force as well as a number of third-party sales agents in the United States, and with a combination of a direct sales force, and sales agents and resellers in other countries. As of June 30, 2024, over 100,000 procedures have been performed using our products by over 3,900 physicians in the United States and 38 other countries since we introduced iFuse in 2009.</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did not result in any proceeds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 </w:t>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our U.S. sales force consisted of 84 territory sales managers and 69 clinical support specialists directly employed by us and 204 third-party sales agents, compared to 85 territory sales managers and 66 clinical support specialists directly employed by us and 141 third-party sales agents as of June 30, 2023. As of June 30, 2024, our international sales force consisted of 11 sales representatives directly employed by us and a total of 29 third-party sales agents and resellers, compared to 12 sales representatives directly employed by us and a total of 31 third-party sales agents and resellers as of June 30, 2023.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over 20 percent of our procedures for sacroiliac joint dysfunction were performed at ambulatory surgery centers, or ASCs.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88" w:before="24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Physician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combination of hands-on cadaveric and dry-lab training, as well as the SI-BONE SImulator - a portable, radiation-free, haptics and computer-based simulator - for training purposes, and optimize our programs to improve adoption rate, time to first case and ultimately physician productivity.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targeting over 12,000 U.S. physicians, including over 8,000 orthopedic and neurological surgeons and approximately 4,500 interventional spine physicians, to perform our procedures. As of June 30, 2024 and 2023, in the United States more than 2,900 and 2,400 physicians, respectively, have been trained on our products and have treated at least one patient. Outside the United States, as of June 30, 2024 and 2023, more than 1,000 and 940 physicians, respectively, have been trained on our product and have treated at least one patient. Since launching our academic training program in August 2018, we have trained approximately 1,700 surgical residents and fellows in nearly 250 academic programs in the United States.</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to obtaining stabilization and /or fusion.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We are working with a select group of physicians on STACI, a prospective study on the use of iFuse-TORQ in patients with sacroiliac joint dysfunction. The purpose of STACI is to provide post-market information on the safety and effectiveness of minimally invasive sacroiliac joint fusion procedures performed with iFuse-TORQ. We are no longer actively recruiting patients in our SAFFRON study and anticipate publishing follow-up results in 2025.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the six months ended June 30, 2024, we spent $8.7 million on research and development, equating to 11% of our revenue. During the six months ended June 30, 2023, we spent $6.9 million on research and development, equating to 11% of our revenue.</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commitment to employee retention by leveraging insights from exit interviews and engagement surveys to continuously enhance the workplace experience.</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 sites of service. As of June 30, 2024, our trailing twelve month average revenue per territory sales manager was approximately $1.7 million.</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ASCs and office-based labs or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Term Loan.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accompanying condensed consolidated financial statements:</w:t>
      </w:r>
    </w:p>
    <w:tbl>
      <w:tblPr>
        <w:tblW w:w="10782" w:type="dxa"/>
        <w:jc w:val="left"/>
        <w:tblInd w:w="0" w:type="dxa"/>
        <w:tblLayout w:type="fixed"/>
        <w:tblCellMar>
          <w:top w:w="28" w:type="dxa"/>
          <w:left w:w="28" w:type="dxa"/>
          <w:bottom w:w="28" w:type="dxa"/>
          <w:right w:w="28" w:type="dxa"/>
        </w:tblCellMar>
      </w:tblPr>
      <w:tblGrid>
        <w:gridCol w:w="745"/>
        <w:gridCol w:w="277"/>
        <w:gridCol w:w="269"/>
        <w:gridCol w:w="211"/>
        <w:gridCol w:w="721"/>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316"/>
      </w:tblGrid>
      <w:tr>
        <w:trPr/>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1"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39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U.S. Revenue by geography is based on billing address of the customer. The table below summarizes our revenue by geography:</w:t>
      </w:r>
    </w:p>
    <w:tbl>
      <w:tblPr>
        <w:tblW w:w="10617" w:type="dxa"/>
        <w:jc w:val="left"/>
        <w:tblInd w:w="0" w:type="dxa"/>
        <w:tblLayout w:type="fixed"/>
        <w:tblCellMar>
          <w:top w:w="28" w:type="dxa"/>
          <w:left w:w="28" w:type="dxa"/>
          <w:bottom w:w="28" w:type="dxa"/>
          <w:right w:w="28" w:type="dxa"/>
        </w:tblCellMar>
      </w:tblPr>
      <w:tblGrid>
        <w:gridCol w:w="435"/>
        <w:gridCol w:w="381"/>
        <w:gridCol w:w="355"/>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3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June 30, 2024 and 2023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6934"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85"/>
        <w:gridCol w:w="285"/>
        <w:gridCol w:w="40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three months ended June 30, 2024 as compared to the three months ended June 30, 2023 was primarily driven by a $6.7 million increase in our U.S. revenue from the increase in case volumes due to our expanded product portfolio.</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Gross profit increased $4.6 million for the three months ended June 30, 2024 as compared to the three months ended June 30, 2023, mainly driven by higher revenue. The gross margin was 79% for the three months ended June 30, 2024 as compared to 81% for the three months ended June 30, 2023. Gross margin decreased in the three months ended June 30,</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as compared to the three months ended June 30, 2023, primarily due to the changes in procedure and product mix.</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318" w:type="dxa"/>
        <w:jc w:val="left"/>
        <w:tblInd w:w="0" w:type="dxa"/>
        <w:tblLayout w:type="fixed"/>
        <w:tblCellMar>
          <w:top w:w="28" w:type="dxa"/>
          <w:left w:w="28" w:type="dxa"/>
          <w:bottom w:w="28" w:type="dxa"/>
          <w:right w:w="28" w:type="dxa"/>
        </w:tblCellMar>
      </w:tblPr>
      <w:tblGrid>
        <w:gridCol w:w="836"/>
        <w:gridCol w:w="736"/>
        <w:gridCol w:w="738"/>
        <w:gridCol w:w="214"/>
        <w:gridCol w:w="732"/>
        <w:gridCol w:w="110"/>
        <w:gridCol w:w="110"/>
        <w:gridCol w:w="110"/>
        <w:gridCol w:w="110"/>
        <w:gridCol w:w="214"/>
        <w:gridCol w:w="732"/>
        <w:gridCol w:w="110"/>
        <w:gridCol w:w="109"/>
        <w:gridCol w:w="109"/>
        <w:gridCol w:w="109"/>
        <w:gridCol w:w="211"/>
        <w:gridCol w:w="616"/>
        <w:gridCol w:w="109"/>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38,950 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The increase in sales and marketing expenses for the three months ended June 30, 2024 as compared to the three months ended June 30, 2023 was primarily due to a $1.0 million increase in commissions driven by higher revenues and $0.5 million increase in training, travel and consulting costs to support the expansion of our sales and marketing activities.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three months ended June 30, 2024 compared to the three months ended June 30, 2023 was primarily due to a $0.4 million increase in product development activities and $0.3 million increase in employee-related costs and stock-based compensation due to an increase in headcount within research and development departments.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three months ended June 30, 2024 compared to the three months ended June 30, 2023 was primarily due to a $0.3 million increase in employee-related costs and stock-based compensation due to an increase in headcount within general and administrative departments and a $0.2 million increase in legal, consulting and travel costs as we continue to invest in our general and administrative organizations to support our business growth.</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00" w:after="240"/>
        <w:jc w:val="left"/>
        <w:rPr/>
      </w:pPr>
      <w:r>
        <w:rPr>
          <w:rFonts w:ascii="Times New Roman;sans-serif" w:hAnsi="Times New Roman;sans-serif"/>
          <w:b/>
          <w:i/>
          <w:color w:val="000000"/>
          <w:sz w:val="20"/>
        </w:rPr>
        <w:t>Interest and Other Income (Expense), Net</w:t>
      </w:r>
      <w:r>
        <w:rPr>
          <w:rFonts w:ascii="Times New Roman;sans-serif" w:hAnsi="Times New Roman;sans-serif"/>
          <w:b w:val="false"/>
          <w:color w:val="000000"/>
          <w:sz w:val="20"/>
        </w:rPr>
        <w:t xml:space="preserve">: </w:t>
      </w:r>
    </w:p>
    <w:tbl>
      <w:tblPr>
        <w:tblW w:w="8011" w:type="dxa"/>
        <w:jc w:val="left"/>
        <w:tblInd w:w="0" w:type="dxa"/>
        <w:tblLayout w:type="fixed"/>
        <w:tblCellMar>
          <w:top w:w="28" w:type="dxa"/>
          <w:left w:w="28" w:type="dxa"/>
          <w:bottom w:w="28" w:type="dxa"/>
          <w:right w:w="28" w:type="dxa"/>
        </w:tblCellMar>
      </w:tblPr>
      <w:tblGrid>
        <w:gridCol w:w="1108"/>
        <w:gridCol w:w="974"/>
        <w:gridCol w:w="977"/>
        <w:gridCol w:w="234"/>
        <w:gridCol w:w="685"/>
        <w:gridCol w:w="121"/>
        <w:gridCol w:w="121"/>
        <w:gridCol w:w="121"/>
        <w:gridCol w:w="121"/>
        <w:gridCol w:w="234"/>
        <w:gridCol w:w="685"/>
        <w:gridCol w:w="121"/>
        <w:gridCol w:w="109"/>
        <w:gridCol w:w="109"/>
        <w:gridCol w:w="109"/>
        <w:gridCol w:w="225"/>
        <w:gridCol w:w="498"/>
        <w:gridCol w:w="118"/>
        <w:gridCol w:w="109"/>
        <w:gridCol w:w="109"/>
        <w:gridCol w:w="109"/>
        <w:gridCol w:w="218"/>
        <w:gridCol w:w="218"/>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three months ended June 30, 2024 as compared to the three months ended June 30, 2023 was primarily due to higher interest earned on our investments in marketable securities, primarily as a result of higher interest rates.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three months ended June 30, 2024 as compared to the three months ended June 30, 2023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three months ended June 30, 2024 compared to the three months ended June 30, 2023 was primarily due to foreign currency fluctuations.</w:t>
      </w:r>
    </w:p>
    <w:p>
      <w:pPr>
        <w:pStyle w:val="TextBody"/>
        <w:bidi w:val="0"/>
        <w:spacing w:lineRule="auto" w:line="288" w:before="36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Six Months Ended June 30, 2024 and 2023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039" w:type="dxa"/>
        <w:jc w:val="left"/>
        <w:tblInd w:w="0" w:type="dxa"/>
        <w:tblLayout w:type="fixed"/>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six months ended June 30, 2024 as compared to the six months ended June 30, 2023 was primarily driven by a $11.6 million increase in our U.S. revenue due to the increase in case volumes.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Gross profit increased $7.7 million for the six months ended June 30, 2024 as compared to the six months ended June 30, 2023, mainly driven by higher revenue. The gross margin was 79% for the six months ended June 30, 2024 as compared to 81% for the six months ended June 30, 2023. Gross margin decreased in the six months ended June 30, 2024 as compared to the six months ended June 30, 2024, primarily due to changes in procedure and product mix.</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285"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The increase in sales and marketing expenses for the six months ended June 30, 2024 as compared to the six months ended June 30, 2023 was primarily due to a $1.7 million increase in training and travel costs to support the expansion of our sales and marketing activities, $1.5 million increase in commissions driven by higher revenues, and a $0.4 million increase in employee-related costs and stock-based compensation driven by an increase in headcount within sales and marketing departments.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six months ended June 30, 2024 compared to the six months ended June 30, 2023 was primarily due to a $1.3 million increase in research, regulatory, and consulting fees to support our product development activities and a $0.5 million increase in employee-related costs and stock-based compensation due to an increase in headcount within research and development departments.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six months ended June 30, 2024 compared to the six months ended June 30, 2023 was primarily due to a $1.0 million increase in employee-related costs and stock-based compensation due to an increase in headcount within general and administrative departments, a $0.1 million increase in audit fees related to the audit of our financial statements and the audit of our internal control over financial reporting, and a $0.1 million increase in allowance for credit losses on certain aged receivable balances.</w:t>
      </w:r>
    </w:p>
    <w:p>
      <w:pPr>
        <w:pStyle w:val="TextBody"/>
        <w:bidi w:val="0"/>
        <w:spacing w:lineRule="auto" w:line="288" w:before="300" w:after="240"/>
        <w:jc w:val="left"/>
        <w:rPr/>
      </w:pPr>
      <w:r>
        <w:rPr>
          <w:rFonts w:ascii="Times New Roman;sans-serif" w:hAnsi="Times New Roman;sans-serif"/>
          <w:b/>
          <w:i/>
          <w:color w:val="000000"/>
          <w:sz w:val="20"/>
        </w:rPr>
        <w:t>Interest and Other Income (Expense), Net</w:t>
      </w:r>
      <w:r>
        <w:rPr>
          <w:rFonts w:ascii="Times New Roman;sans-serif" w:hAnsi="Times New Roman;sans-serif"/>
          <w:b w:val="false"/>
          <w:color w:val="000000"/>
          <w:sz w:val="20"/>
        </w:rPr>
        <w:t xml:space="preserve">: </w:t>
      </w:r>
    </w:p>
    <w:tbl>
      <w:tblPr>
        <w:tblW w:w="7997" w:type="dxa"/>
        <w:jc w:val="left"/>
        <w:tblInd w:w="0" w:type="dxa"/>
        <w:tblLayout w:type="fixed"/>
        <w:tblCellMar>
          <w:top w:w="28" w:type="dxa"/>
          <w:left w:w="28" w:type="dxa"/>
          <w:bottom w:w="28" w:type="dxa"/>
          <w:right w:w="28" w:type="dxa"/>
        </w:tblCellMar>
      </w:tblPr>
      <w:tblGrid>
        <w:gridCol w:w="1108"/>
        <w:gridCol w:w="974"/>
        <w:gridCol w:w="977"/>
        <w:gridCol w:w="214"/>
        <w:gridCol w:w="626"/>
        <w:gridCol w:w="110"/>
        <w:gridCol w:w="110"/>
        <w:gridCol w:w="110"/>
        <w:gridCol w:w="110"/>
        <w:gridCol w:w="214"/>
        <w:gridCol w:w="626"/>
        <w:gridCol w:w="110"/>
        <w:gridCol w:w="109"/>
        <w:gridCol w:w="109"/>
        <w:gridCol w:w="109"/>
        <w:gridCol w:w="211"/>
        <w:gridCol w:w="616"/>
        <w:gridCol w:w="109"/>
        <w:gridCol w:w="109"/>
        <w:gridCol w:w="109"/>
        <w:gridCol w:w="109"/>
        <w:gridCol w:w="269"/>
        <w:gridCol w:w="271"/>
        <w:gridCol w:w="578"/>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six months ended June 30, 2024 as compared to the six months ended June 30, 2023 was primarily due to higher interest earned on our investments in marketable securities, primarily as a result of higher interest rates earned.</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six months ended June 30, 2024 as compared to the six months ended June 30, 2023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six months ended June 30, 2024 compared to the six months ended June 30, 2023 was primarily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and marketable securities of $151.5 million compared to $166.0 million as of December 31, 2023. We have financed our operations primarily through the sale of our common stock in our public offerings and debt financing arrangements. As of June 30, 2024 and December 31, 2023, we had $36.1 million in outstanding debt.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an accumulated deficit of $420.3 million, compared to $400.4 million as of December 31, 2023. During the six months ended June 30, 2024, we incurred a net loss of $19.8 million. During the years ended December 31, 2023 and 2022, we incurred a net loss of $43.3 million and $61.3 million, respectively, and expect to incur additional losses in the future. We have not achieved positive cash flow from operations to date.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after deducting the underwriting discounts and commissions from the public offering of our common stock.</w:t>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Based upon our current operating plan, we believe that our existing cash and marketable securities will enable us to fund our operating expenses and capital expenditure requirements over the next 12 months from the filing of this Form 10-Q. However, the economic impact of a potential future disruptions in the healthcare operating environment and uncertainties affecting the economic and capital markets environment and the financial services industry pose risks and uncertainties to our future available capital resources. Further, we may face challenges and uncertainties and, as a result, may need to raise additional capital as our available capital resources may be consumed more rapidly than currently expected due to, but not limited to the following: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ans-serif" w:hAnsi="Times New Roman;sans-serif"/>
          <w:b w:val="false"/>
          <w:color w:val="000000"/>
          <w:sz w:val="20"/>
        </w:rPr>
        <w:t>In addition, as we seek to deploy new product offerings, the need for additional capital to fund the purchase of inventories of implants and instrument trays may become more acute and may limit the number of revenue opportunities that we pursue.</w:t>
      </w:r>
      <w:r>
        <w:rPr>
          <w:color w:val="000000"/>
        </w:rPr>
        <w:t xml:space="preserve"> </w:t>
      </w:r>
      <w:r>
        <w:rPr>
          <w:rFonts w:ascii="Times New Roman;sans-serif" w:hAnsi="Times New Roman;sans-serif"/>
          <w:b w:val="false"/>
          <w:color w:val="000000"/>
          <w:sz w:val="20"/>
        </w:rPr>
        <w:t xml:space="preserve">Each new product line introduced typically requires the purchase of consumable implant inventory as well as investment in a fleet of instrument trays required to support procedures nationwide.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debt is related to a term loan pursuant to the Loan and Security Agreement dated August 12, 2021 (the “Original Loan Agreement”), entered into by us and Silicon Valley Bank (“SVB” or “Lender”). Pursuant to the Original Loan Agreement, SVB provided a term loan in the aggregate principal amount of $35.0 million to us (the “Original Term Loan”). </w:t>
      </w:r>
    </w:p>
    <w:p>
      <w:pPr>
        <w:pStyle w:val="TextBody"/>
        <w:bidi w:val="0"/>
        <w:spacing w:lineRule="auto" w:line="276"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(the “Amendment” and together with the Original Loan Agreement, the “Amended Loan Agreement”) with SVB, which increased our Original Term Loan facility of $35.0 million to $36.0 million. Upon entry into the Amendment, we borrowed $36.0 million pursuant to a new term loan (the “Term Loan”), which was substantially used to repay in full the Original Term Loan, and we also secured a revolving credit facility in an aggregate principal amount of up to $15.0 million (the “Revolving Line”) and an uncommitted accordion term loan in an aggregate principal amount of up to $15.0 million, which accordion may be approved by the Lender, solely in its discretion, upon our request. The Term Loan matures on December 1, 2027 (the “Term Loan Maturity Date”). Interest on the Term Loan will be payable monthly at a floating annual rate set at the greater of (i) the prime rate as published in the Wall Street Journal plus 0.5% or (ii) 6.75%. Commencing on July 1, 2025, we will be required to make monthly principal Term Loan amortization payments. A final fee payment of 2% of the original principal amount of the Term Loan is due upon the earlier of the Term Loan Maturity Date, termination of the Amended Loan Agreement, acceleration by the Lender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the Lender.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we do not maintain an adjusted quick ratio of at least 1.5 to 1.0, then falling below such threshold will allow the Lender to apply accounts receivable collections to outstanding Revolving Line borrowings. We will pay a total commitment fee of $187,500 on account of the Revolving Line payable in installments, but fully earned at close. We will also be required to pay a fee of $150,000 if we terminate the Amended Loan Agreement or the Revolving Line prior to Revolving Line Maturity Date, or if the Lender terminates the Loan Agreement or the Revolving Line following an event of default. No termination fee would be due if the Revolving Line is replaced with a new facility with the Lender. </w:t>
      </w:r>
    </w:p>
    <w:p>
      <w:pPr>
        <w:pStyle w:val="TextBody"/>
        <w:bidi w:val="0"/>
        <w:spacing w:lineRule="auto" w:line="276" w:before="240" w:after="283"/>
        <w:ind w:left="0" w:right="0" w:firstLine="495"/>
        <w:jc w:val="both"/>
        <w:rPr/>
      </w:pPr>
      <w:r>
        <w:rPr>
          <w:rFonts w:ascii="Times New Roman;sans-serif" w:hAnsi="Times New Roman;sans-serif"/>
          <w:b w:val="false"/>
          <w:color w:val="000000"/>
          <w:sz w:val="20"/>
        </w:rPr>
        <w:t>On March 14, 2023 all of SVB’s assets and liabilities, including all of SVB’s rights as the lender pursuant to the Amended Loan Agreement, were assigned to Silicon Valley Bridge Bank.</w:t>
      </w:r>
      <w:r>
        <w:rPr>
          <w:color w:val="000000"/>
        </w:rPr>
        <w:t xml:space="preserve"> </w:t>
      </w:r>
      <w:r>
        <w:rPr>
          <w:rFonts w:ascii="Times New Roman;sans-serif" w:hAnsi="Times New Roman;sans-serif"/>
          <w:b w:val="false"/>
          <w:color w:val="000000"/>
          <w:sz w:val="20"/>
        </w:rPr>
        <w:t xml:space="preserve">On March 27, 2023, all of Silicon Valley Bridge Bank’s assets and liabilities were assigned and assumed by First-Citizens Bank &amp; Trust Company (“First-Citizens”). On January 25, 2024, the Company entered into a Second Amendment to Loan and Security Agreement with First-Citizens which amends the Company's Amended Loan Agreement (the “Second Amendment” and together with the Amended Loan Agreement, the “Second Amended Loan Agreement”). The Second Amendment revised certain provisions related to financial covenants and the periods in which the covenants apply. No amounts were outstanding under the Revolving Line as of June 30, 2024. </w:t>
      </w:r>
    </w:p>
    <w:p>
      <w:pPr>
        <w:pStyle w:val="TextBody"/>
        <w:bidi w:val="0"/>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we violated certain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Second Amended Loan Agreement that would permit First-Citizens to restrict our ability to further access the Revolving Line of Credit for loans and require the immediate repayment of any outstanding loans under the agreement. As of June 30, 2024, we were in compliance with all debt covenants, provided, however, that in order to access future credit advances under the Revolving Line of Credit, we will be required to redirect certain customer payments and transfer certain cash management account balances, in each case, back to First-Citizens. As of June 30, 2024, we had cash management accounts with a financial institution other than First-Citizens and instructed our customers to direct payments to us to these separate operating accounts. Until such customer payments are directed back to certain First-Citizens cash collateral accounts, and certain balances and funds are moved back to the First-Citizens cash collateral accounts and other accounts held at First-Citizens, we will be unable to obtain credit advances under the Revolving Line.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Amended Loan Agreement contains customary events of default, including bankruptcy, the failure to make payments when due, the occurrence of a material impairment on First-Citizens'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Second Amended Loan Agreement contains a financial covenant which requires us to maintain, at all times during which we are subject to financial covenants under the Second Amended Loan Agreement is in effect, certain net revenue levels as agreed upon by us and First-Citizens. If we do not comply with the various covenants under the Second Amended Loan Agreement and an event of default occurs under the Second Amended Loan Agreement, the interest rate on outstanding amounts can increase by 3% and First-Citizens may, subject to various customary 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rights, decline to provide additional advances under the Revolving Line, require the immediate payment of all loans and other amounts outstanding under the Second Amended Loan Agreement, and foreclose on all collateral.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February 27, 2024. As of June 30, 2024, expected timing of those payments are as follows: </w:t>
      </w:r>
    </w:p>
    <w:tbl>
      <w:tblPr>
        <w:tblW w:w="10205" w:type="dxa"/>
        <w:jc w:val="center"/>
        <w:tblInd w:w="0" w:type="dxa"/>
        <w:tblLayout w:type="fixed"/>
        <w:tblCellMar>
          <w:top w:w="28" w:type="dxa"/>
          <w:left w:w="28" w:type="dxa"/>
          <w:bottom w:w="28" w:type="dxa"/>
          <w:right w:w="28" w:type="dxa"/>
        </w:tblCellMar>
      </w:tblPr>
      <w:tblGrid>
        <w:gridCol w:w="1165"/>
        <w:gridCol w:w="987"/>
        <w:gridCol w:w="994"/>
        <w:gridCol w:w="211"/>
        <w:gridCol w:w="721"/>
        <w:gridCol w:w="109"/>
        <w:gridCol w:w="109"/>
        <w:gridCol w:w="109"/>
        <w:gridCol w:w="109"/>
        <w:gridCol w:w="284"/>
        <w:gridCol w:w="831"/>
        <w:gridCol w:w="147"/>
        <w:gridCol w:w="109"/>
        <w:gridCol w:w="109"/>
        <w:gridCol w:w="109"/>
        <w:gridCol w:w="211"/>
        <w:gridCol w:w="721"/>
        <w:gridCol w:w="109"/>
        <w:gridCol w:w="109"/>
        <w:gridCol w:w="109"/>
        <w:gridCol w:w="109"/>
        <w:gridCol w:w="211"/>
        <w:gridCol w:w="721"/>
        <w:gridCol w:w="109"/>
        <w:gridCol w:w="109"/>
        <w:gridCol w:w="109"/>
        <w:gridCol w:w="109"/>
        <w:gridCol w:w="373"/>
        <w:gridCol w:w="717"/>
        <w:gridCol w:w="276"/>
      </w:tblGrid>
      <w:tr>
        <w:trPr/>
        <w:tc>
          <w:tcPr>
            <w:tcW w:w="116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Principal obligations and final fee on debt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and the final fee at maturities of our First-Citizens Term Loan.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the future interest obligations on our First-Citizens Term Loan estimated using an interest rate of 9.00% as of June 30,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compared to $49.2 million of contractual obligations as of December 31, 2023.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425" w:type="dxa"/>
        <w:jc w:val="left"/>
        <w:tblInd w:w="0" w:type="dxa"/>
        <w:tblLayout w:type="fixed"/>
        <w:tblCellMar>
          <w:top w:w="28" w:type="dxa"/>
          <w:left w:w="28" w:type="dxa"/>
          <w:bottom w:w="28" w:type="dxa"/>
          <w:right w:w="28" w:type="dxa"/>
        </w:tblCellMar>
      </w:tblPr>
      <w:tblGrid>
        <w:gridCol w:w="1864"/>
        <w:gridCol w:w="1644"/>
        <w:gridCol w:w="1652"/>
        <w:gridCol w:w="211"/>
        <w:gridCol w:w="796"/>
        <w:gridCol w:w="109"/>
        <w:gridCol w:w="109"/>
        <w:gridCol w:w="109"/>
        <w:gridCol w:w="109"/>
        <w:gridCol w:w="211"/>
        <w:gridCol w:w="796"/>
        <w:gridCol w:w="109"/>
        <w:gridCol w:w="109"/>
        <w:gridCol w:w="109"/>
        <w:gridCol w:w="109"/>
        <w:gridCol w:w="211"/>
        <w:gridCol w:w="796"/>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six months ended June 30, 2024 of $13.9 million resulted from cash outflows due to a net loss of $19.8 million, adjusted for $14.0 million of non-cash items, and cash outflows from net changes in operating assets and liabilities of $8.1 million. Net cash used in operating activities for the six months ended June 30, 2023 of $14.3 million resulted from cash outflows due to a net loss of $22.3 million, adjusted for $14.0 million of non-cash items, and cash outflows from changes in operating assets and liabilities of $6.0 million. The decrease in net loss, net of non-cash items for the six months ended June 30, 2024 compared to the six months ended June 30, 2023 was mainly due to increased revenues. Net cash outflows from changes in operating assets and liabilities for the six months ended June 30, 2024 was primarily due to higher inventory due to new product introductions, higher accounts receivable due to timing of collections, and higher accrued liabilities attributable to the normal timing of expenses. Net cash outflows from changes in operating assets and liabilities for the six months ended June 30, 2023 was primarily due to higher inventory due to the inventory build-up related to our implants, and lower accrued liabilities attributable to the normal course timing of expenses. </w:t>
      </w:r>
    </w:p>
    <w:p>
      <w:pPr>
        <w:pStyle w:val="TextBody"/>
        <w:bidi w:val="0"/>
        <w:spacing w:before="18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 the six months ended June 30, 2024 was $4.5 million compared to cash provided by investing activities of $14.0 million in the six months ended June 30, 2023. Net cash provided by investing activities for the six months ended June 30, 2024 consisted of purchases of our marketable securities net of maturities of $9.7 million, and purchases of property and equipment of $5.2 million primarily related to individual components in instrument sets to support revenue growth. Net cash provided by investing activities for the six months ended June 30, 2023 consisted of maturities of our marketable securities net of purchases of $19.3 million, partially offset by purchases of property and equipment of $5.3 million primarily related to individual components in instrument sets to support revenue growth, as well as leasehold improvements made to the building used for research and development and warehouse space in Santa Clara.</w:t>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 the six months ended June 30, 2024 was $1.9 million resulting from the issuance of common stock under our stock-based incentive compensation plans. This compares to $90.3 million of cash provided by financing activities in the six months ended June 30, 2023 resulting from net proceeds of $0.7 million from the refinancing of our term loan with First-Citizens, proceeds of $4.0 million from the issuance of common stock under our stock-based incentive compensation plans, and proceeds of $84.1 million, excluding the payment of $0.5 million in offering costs, from the issuance of common stock under our follow-on public offering.</w:t>
      </w:r>
    </w:p>
    <w:p>
      <w:pPr>
        <w:pStyle w:val="TextBody"/>
        <w:bidi w:val="0"/>
        <w:spacing w:before="18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2023 Annual Report.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6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including changes to foreign currency exchange rates and interest rates.</w:t>
      </w:r>
    </w:p>
    <w:p>
      <w:pPr>
        <w:pStyle w:val="TextBody"/>
        <w:bidi w:val="0"/>
        <w:spacing w:lineRule="auto" w:line="288" w:before="24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three and six months ended June 30, 2024 and 2023 were not material. A hypothetical 10 percent change in foreign exchange rates during any of the periods presented would not have had a material impact on our condensed consolidated financial statements.</w:t>
      </w:r>
    </w:p>
    <w:p>
      <w:pPr>
        <w:pStyle w:val="TextBody"/>
        <w:bidi w:val="0"/>
        <w:spacing w:lineRule="auto" w:line="288" w:before="24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changes in interest rates relates to interest earned and market value on our cash and cash equivalents and short-term investments. Our cash and cash equivalents and short-term investments consist of cash, money market funds,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w:t>
      </w:r>
    </w:p>
    <w:p>
      <w:pPr>
        <w:pStyle w:val="TextBody"/>
        <w:bidi w:val="0"/>
        <w:spacing w:lineRule="auto" w:line="26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Term Loan will be payable monthly at a floating annual rate set at the greater of the prime rate as published in the Wall Street Journal plus 0.5% or 6.75%. Rising interest rates will increase the amount of interest paid on this debt. We believe that our exposure to interest rate risk is not significant due to the low risk profile of our investments and amount of our Term Loan, therefore a hypothetical 10 percent change in market interest rates during any of the periods presented would not have had a material impact on our condensed consolidated financial statements.</w:t>
      </w:r>
    </w:p>
    <w:p>
      <w:pPr>
        <w:pStyle w:val="TextBody"/>
        <w:bidi w:val="0"/>
        <w:spacing w:before="240" w:after="24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4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312"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June 30, 2024, our disclosure controls and procedures were effective at the reasonable assurance level.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disclosed in Part I, Item 1A. “Risk Factors” of our 2023 Annual Report. The risk factors described in our 2023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2023 Annual Report. Additional risks and uncertainties not presently known to us or that we currently believe to be immaterial may also adversely affect our business and the trading price of our securities.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Plans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June 30, 2024, no director or Section 16 officer adopted or terminated any Rule 10b5-1 trading arrangement or non-Rule 10b5-1 trading arrangement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69"/>
        <w:gridCol w:w="1372"/>
        <w:gridCol w:w="1386"/>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7"/>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6/26/2024</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9/20/2023</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6">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7">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6302024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6302024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630202410xq.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Furnished herewith.</w:t>
      </w:r>
      <w:r>
        <w:rPr>
          <w:color w:val="000000"/>
        </w:rPr>
        <w:t> </w:t>
      </w:r>
      <w:r>
        <w:rPr>
          <w:rFonts w:ascii="Times New Roman;sans-serif" w:hAnsi="Times New Roman;sans-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before="0" w:after="0"/>
        <w:ind w:left="0" w:right="0" w:hanging="360"/>
        <w:jc w:val="left"/>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August 6, 2024.</w:t>
      </w:r>
    </w:p>
    <w:p>
      <w:pPr>
        <w:pStyle w:val="TextBody"/>
        <w:bidi w:val="0"/>
        <w:spacing w:lineRule="auto" w:line="288" w:before="0" w:after="0"/>
        <w:jc w:val="left"/>
        <w:rPr>
          <w:color w:val="000000"/>
        </w:rPr>
      </w:pPr>
      <w:r>
        <w:rPr>
          <w:color w:val="000000"/>
        </w:rPr>
        <w:t> </w:t>
      </w:r>
    </w:p>
    <w:tbl>
      <w:tblPr>
        <w:tblW w:w="8667"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502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32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399"/>
        <w:gridCol w:w="399"/>
        <w:gridCol w:w="399"/>
        <w:gridCol w:w="399"/>
        <w:gridCol w:w="399"/>
        <w:gridCol w:w="399"/>
        <w:gridCol w:w="399"/>
        <w:gridCol w:w="399"/>
        <w:gridCol w:w="5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Company’s Quarterly Report on Form 10-Q for the period ended June 30, 2024,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632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263"/>
        <w:gridCol w:w="263"/>
        <w:gridCol w:w="263"/>
        <w:gridCol w:w="463"/>
        <w:gridCol w:w="463"/>
        <w:gridCol w:w="463"/>
        <w:gridCol w:w="463"/>
        <w:gridCol w:w="463"/>
        <w:gridCol w:w="6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9839/000119312518303020/d641574dex31.htm" TargetMode="External"/><Relationship Id="rId3" Type="http://schemas.openxmlformats.org/officeDocument/2006/relationships/hyperlink" Target="https://www.sec.gov/Archives/edgar/data/1459839/000145983924000048/certificateofamendmentofam.htm" TargetMode="External"/><Relationship Id="rId4" Type="http://schemas.openxmlformats.org/officeDocument/2006/relationships/hyperlink" Target="https://www.sec.gov/Archives/edgar/data/1459839/000145983923000095/secondamendedandrestatedby.htm" TargetMode="External"/><Relationship Id="rId5" Type="http://schemas.openxmlformats.org/officeDocument/2006/relationships/hyperlink" Target="http://www.sec.gov/Archives/edgar/data/1459839/000119312518293978/d452987dex41.htm" TargetMode="External"/><Relationship Id="rId6" Type="http://schemas.openxmlformats.org/officeDocument/2006/relationships/hyperlink" Target="http://www.sec.gov/Archives/edgar/data/1459839/000119312518303020/d641574dex31.htm" TargetMode="External"/><Relationship Id="rId7" Type="http://schemas.openxmlformats.org/officeDocument/2006/relationships/hyperlink" Target="http://www.sec.gov/Archives/edgar/data/1459839/000119312518293978/d452987dex3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18173</Words>
  <Characters>99744</Characters>
  <CharactersWithSpaces>116694</CharactersWithSpaces>
  <Paragraphs>2366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