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DUNN JEFFREY 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05/18/2020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5"/>
        <w:spacing w:after="0"/>
        <w:rPr>
          <w:sz w:val="20"/>
          <w:szCs w:val="20"/>
          <w:color w:val="auto"/>
        </w:rPr>
      </w:pPr>
      <w:r>
        <w:rPr>
          <w:rFonts w:ascii="Arial" w:cs="Arial" w:eastAsia="Arial" w:hAnsi="Arial"/>
          <w:sz w:val="17"/>
          <w:szCs w:val="17"/>
          <w:color w:val="0000FF"/>
        </w:rPr>
        <w:t>Chairman, President &amp; CEO</w:t>
      </w:r>
    </w:p>
    <w:p>
      <w:pPr>
        <w:spacing w:after="0" w:line="44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tcBorders>
              <w:top w:val="single" w:sz="8" w:color="2C2C2C"/>
              <w:bottom w:val="single" w:sz="8" w:color="2C2C2C"/>
            </w:tcBorders>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7"/>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6"/>
            <w:vMerge w:val="continue"/>
          </w:tcPr>
          <w:p>
            <w:pPr>
              <w:spacing w:after="0" w:line="20" w:lineRule="exact"/>
              <w:rPr>
                <w:sz w:val="1"/>
                <w:szCs w:val="1"/>
                <w:color w:val="auto"/>
              </w:rPr>
            </w:pPr>
          </w:p>
        </w:tc>
        <w:tc>
          <w:tcPr>
            <w:tcW w:w="3640" w:type="dxa"/>
            <w:vAlign w:val="bottom"/>
            <w:gridSpan w:val="7"/>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6"/>
            <w:vMerge w:val="continue"/>
          </w:tcPr>
          <w:p>
            <w:pPr>
              <w:spacing w:after="0"/>
              <w:rPr>
                <w:sz w:val="12"/>
                <w:szCs w:val="12"/>
                <w:color w:val="auto"/>
              </w:rPr>
            </w:pPr>
          </w:p>
        </w:tc>
        <w:tc>
          <w:tcPr>
            <w:tcW w:w="3640" w:type="dxa"/>
            <w:vAlign w:val="bottom"/>
            <w:gridSpan w:val="7"/>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gridSpan w:val="3"/>
            <w:vMerge w:val="restart"/>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40" w:type="dxa"/>
            <w:vAlign w:val="bottom"/>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line="173" w:lineRule="exact"/>
              <w:rPr>
                <w:sz w:val="20"/>
                <w:szCs w:val="20"/>
                <w:color w:val="auto"/>
              </w:rPr>
            </w:pPr>
            <w:r>
              <w:rPr>
                <w:rFonts w:ascii="Arial" w:cs="Arial" w:eastAsia="Arial" w:hAnsi="Arial"/>
                <w:sz w:val="17"/>
                <w:szCs w:val="17"/>
                <w:color w:val="0000FF"/>
              </w:rPr>
              <w:t>CLARA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tcPr>
          <w:p>
            <w:pPr>
              <w:ind w:left="120"/>
              <w:spacing w:after="0" w:line="101"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2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4"/>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ind w:left="800"/>
              <w:spacing w:after="0"/>
              <w:rPr>
                <w:sz w:val="20"/>
                <w:szCs w:val="20"/>
                <w:color w:val="auto"/>
              </w:rPr>
            </w:pPr>
            <w:r>
              <w:rPr>
                <w:rFonts w:ascii="Arial" w:cs="Arial" w:eastAsia="Arial" w:hAnsi="Arial"/>
                <w:sz w:val="17"/>
                <w:szCs w:val="17"/>
                <w:color w:val="0000FF"/>
              </w:rPr>
              <w:t>05/18/2020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4,673</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16.7508</w:t>
            </w:r>
          </w:p>
        </w:tc>
        <w:tc>
          <w:tcPr>
            <w:tcW w:w="1200" w:type="dxa"/>
            <w:vAlign w:val="bottom"/>
            <w:tcBorders>
              <w:bottom w:val="single" w:sz="8" w:color="2C2C2C"/>
            </w:tcBorders>
            <w:gridSpan w:val="2"/>
          </w:tcPr>
          <w:p>
            <w:pPr>
              <w:jc w:val="center"/>
              <w:ind w:right="200"/>
              <w:spacing w:after="0"/>
              <w:rPr>
                <w:sz w:val="20"/>
                <w:szCs w:val="20"/>
                <w:color w:val="auto"/>
              </w:rPr>
            </w:pPr>
            <w:r>
              <w:rPr>
                <w:rFonts w:ascii="Arial" w:cs="Arial" w:eastAsia="Arial" w:hAnsi="Arial"/>
                <w:sz w:val="17"/>
                <w:szCs w:val="17"/>
                <w:color w:val="0000FF"/>
              </w:rPr>
              <w:t>235,631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right"/>
              <w:ind w:right="280"/>
              <w:spacing w:after="0"/>
              <w:rPr>
                <w:sz w:val="20"/>
                <w:szCs w:val="20"/>
                <w:color w:val="auto"/>
              </w:rPr>
            </w:pPr>
            <w:r>
              <w:rPr>
                <w:rFonts w:ascii="Arial" w:cs="Arial" w:eastAsia="Arial" w:hAnsi="Arial"/>
                <w:sz w:val="17"/>
                <w:szCs w:val="17"/>
                <w:color w:val="0000FF"/>
              </w:rPr>
              <w:t>385,940</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-3228975</wp:posOffset>
            </wp:positionV>
            <wp:extent cx="7031355" cy="3274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2746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4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199,210 shares issuable on the settlement of restricted stock units granted to the Reporting Person. Each restricted stock unit represents a contingent right to receive on share of the Issuer's common stock.</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Jeffrey W. Dunn Living Trust Dated May 17, 2012.</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Jeffrey</w:t>
      </w:r>
      <w:r>
        <w:rPr>
          <w:sz w:val="20"/>
          <w:szCs w:val="20"/>
          <w:color w:val="auto"/>
        </w:rPr>
        <w:tab/>
      </w:r>
      <w:r>
        <w:rPr>
          <w:rFonts w:ascii="Arial" w:cs="Arial" w:eastAsia="Arial" w:hAnsi="Arial"/>
          <w:sz w:val="15"/>
          <w:szCs w:val="15"/>
          <w:color w:val="0000FF"/>
        </w:rPr>
        <w:t>05/19/2020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W. 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35986"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2020-05-19T16:15:08Z</dcterms:created>
  <dcterms:modified xsi:type="dcterms:W3CDTF">2020-05-19T16:15:08Z</dcterms:modified>
</cp:coreProperties>
</file>