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825704 10 9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Rule 13d-1(d)</w:t>
      </w:r>
    </w:p>
    <w:p>
      <w:pPr>
        <w:spacing w:after="0" w:line="295"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312" w:right="200" w:bottom="1440" w:gutter="0" w:footer="0" w:header="0"/>
        </w:sectPr>
      </w:pPr>
    </w:p>
    <w:bookmarkStart w:id="1" w:name="page2"/>
    <w:bookmarkEnd w:id="1"/>
    <w:p>
      <w:pPr>
        <w:jc w:val="center"/>
        <w:ind w:right="-125"/>
        <w:spacing w:after="0"/>
        <w:rPr>
          <w:sz w:val="20"/>
          <w:szCs w:val="20"/>
          <w:color w:val="auto"/>
        </w:rPr>
      </w:pPr>
      <w:r>
        <w:rPr>
          <w:rFonts w:ascii="Arial" w:cs="Arial" w:eastAsia="Arial" w:hAnsi="Arial"/>
          <w:sz w:val="18"/>
          <w:szCs w:val="18"/>
          <w:b w:val="1"/>
          <w:bCs w:val="1"/>
          <w:color w:val="auto"/>
        </w:rPr>
        <w:t>SCHEDULE 13G</w:t>
      </w:r>
    </w:p>
    <w:p>
      <w:pPr>
        <w:spacing w:after="0" w:line="312" w:lineRule="exact"/>
        <w:rPr>
          <w:sz w:val="20"/>
          <w:szCs w:val="20"/>
          <w:color w:val="auto"/>
        </w:rPr>
      </w:pPr>
    </w:p>
    <w:p>
      <w:pPr>
        <w:ind w:left="66"/>
        <w:spacing w:after="0"/>
        <w:rPr>
          <w:sz w:val="20"/>
          <w:szCs w:val="20"/>
          <w:color w:val="auto"/>
        </w:rPr>
      </w:pPr>
      <w:r>
        <w:rPr>
          <w:rFonts w:ascii="Arial" w:cs="Arial" w:eastAsia="Arial" w:hAnsi="Arial"/>
          <w:sz w:val="19"/>
          <w:szCs w:val="19"/>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180" w:hanging="650"/>
        <w:spacing w:after="0" w:line="336" w:lineRule="auto"/>
        <w:tabs>
          <w:tab w:leader="none" w:pos="1106"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 Montreux Equity Partners IV, L.P.</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135" w:lineRule="exact"/>
        <w:rPr>
          <w:rFonts w:ascii="Arial" w:cs="Arial" w:eastAsia="Arial" w:hAnsi="Arial"/>
          <w:sz w:val="18"/>
          <w:szCs w:val="18"/>
          <w:color w:val="auto"/>
        </w:rPr>
      </w:pPr>
    </w:p>
    <w:p>
      <w:pPr>
        <w:ind w:left="2346" w:hanging="1234"/>
        <w:spacing w:after="0"/>
        <w:tabs>
          <w:tab w:leader="none" w:pos="2346" w:val="left"/>
        </w:tabs>
        <w:numPr>
          <w:ilvl w:val="1"/>
          <w:numId w:val="2"/>
        </w:numPr>
        <w:rPr>
          <w:rFonts w:ascii="Arial" w:cs="Arial" w:eastAsia="Arial" w:hAnsi="Arial"/>
          <w:sz w:val="19"/>
          <w:szCs w:val="19"/>
          <w:color w:val="auto"/>
        </w:rPr>
      </w:pPr>
      <w:r>
        <w:rPr>
          <w:rFonts w:ascii="Arial" w:cs="Arial" w:eastAsia="Arial" w:hAnsi="Arial"/>
          <w:sz w:val="19"/>
          <w:szCs w:val="19"/>
          <w:color w:val="auto"/>
        </w:rPr>
        <w:t>x</w:t>
      </w:r>
    </w:p>
    <w:p>
      <w:pPr>
        <w:spacing w:after="0" w:line="138" w:lineRule="exact"/>
        <w:rPr>
          <w:rFonts w:ascii="Arial" w:cs="Arial" w:eastAsia="Arial" w:hAnsi="Arial"/>
          <w:sz w:val="19"/>
          <w:szCs w:val="19"/>
          <w:color w:val="auto"/>
        </w:rPr>
      </w:pPr>
    </w:p>
    <w:p>
      <w:pPr>
        <w:ind w:left="2346" w:hanging="1234"/>
        <w:spacing w:after="0"/>
        <w:tabs>
          <w:tab w:leader="none" w:pos="2346" w:val="left"/>
        </w:tabs>
        <w:numPr>
          <w:ilvl w:val="1"/>
          <w:numId w:val="2"/>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7940" w:hanging="650"/>
        <w:spacing w:after="0" w:line="275" w:lineRule="auto"/>
        <w:tabs>
          <w:tab w:leader="none" w:pos="1106"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-996315</wp:posOffset>
            </wp:positionV>
            <wp:extent cx="6176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-1223010</wp:posOffset>
            </wp:positionV>
            <wp:extent cx="6176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4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1,733,494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302,320(1)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1,733,494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302,320(1)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86" w:space="720"/>
            <w:col w:w="8980"/>
          </w:cols>
          <w:pgMar w:left="114" w:top="207" w:right="240" w:bottom="54" w:gutter="0" w:footer="0" w:header="0"/>
          <w:type w:val="continuous"/>
        </w:sectPr>
      </w:pPr>
    </w:p>
    <w:p>
      <w:pPr>
        <w:spacing w:after="0" w:line="253" w:lineRule="exact"/>
        <w:rPr>
          <w:sz w:val="20"/>
          <w:szCs w:val="20"/>
          <w:color w:val="auto"/>
        </w:rPr>
      </w:pPr>
    </w:p>
    <w:p>
      <w:pPr>
        <w:ind w:left="1106" w:right="5640" w:hanging="650"/>
        <w:spacing w:after="0" w:line="275" w:lineRule="auto"/>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2,035,814(1)</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8.37% (2)</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86" w:hanging="686"/>
        <w:spacing w:after="0" w:line="271" w:lineRule="auto"/>
        <w:tabs>
          <w:tab w:leader="none" w:pos="694"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Montreux Equity Partners IV, L.P. (“MEP IV”) is a California limited partnership whose principal business is making investments in the securities of other entities. Montreux IV Associates, L.L.C. (“Associates”) is a California limited liability company whose principal business is making investments in the securities of other entities. Montreux IV Associates IV, L.L.C. (“Associates IV”) is a California limited liability company whose principal business is making investments in the securities of other entities. Montreux Equity Management IV, L.L.C. (“MEM IV”) is a California limited liability company, the sole general partner of MEP IV and the manager of Associates and Associates IV. Daniel K. Turner, III is an individual and citizen of the United States of America and sole manager of MEM IV. Each of MEM IV and Mr. Turner disclaim beneficial ownership of such securities, except to the extent of their respective pecuniary interests therein.</w:t>
      </w:r>
    </w:p>
    <w:p>
      <w:pPr>
        <w:spacing w:after="0" w:line="189" w:lineRule="exact"/>
        <w:rPr>
          <w:rFonts w:ascii="Arial" w:cs="Arial" w:eastAsia="Arial" w:hAnsi="Arial"/>
          <w:sz w:val="18"/>
          <w:szCs w:val="18"/>
          <w:color w:val="auto"/>
        </w:rPr>
      </w:pPr>
    </w:p>
    <w:p>
      <w:pPr>
        <w:ind w:left="686" w:hanging="686"/>
        <w:spacing w:after="0" w:line="275" w:lineRule="auto"/>
        <w:tabs>
          <w:tab w:leader="none" w:pos="694" w:val="left"/>
        </w:tabs>
        <w:numPr>
          <w:ilvl w:val="0"/>
          <w:numId w:val="4"/>
        </w:numPr>
        <w:rPr>
          <w:rFonts w:ascii="Arial" w:cs="Arial" w:eastAsia="Arial" w:hAnsi="Arial"/>
          <w:sz w:val="19"/>
          <w:szCs w:val="19"/>
          <w:color w:val="auto"/>
        </w:rPr>
      </w:pPr>
      <w:r>
        <w:rPr>
          <w:rFonts w:ascii="Arial" w:cs="Arial" w:eastAsia="Arial" w:hAnsi="Arial"/>
          <w:sz w:val="19"/>
          <w:szCs w:val="19"/>
          <w:color w:val="auto"/>
        </w:rPr>
        <w:t>Based upon 24,335,690 shares of the Common Stock of the Issuer outstanding as of November 28, 2018 as reported by the Issuer on its Form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-1775460</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-2354580</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-2934335</wp:posOffset>
            </wp:positionV>
            <wp:extent cx="6955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-3369310</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1929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10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type w:val="continuous"/>
        </w:sectPr>
      </w:pPr>
    </w:p>
    <w:bookmarkStart w:id="2" w:name="page3"/>
    <w:bookmarkEnd w:id="2"/>
    <w:p>
      <w:pPr>
        <w:jc w:val="center"/>
        <w:ind w:right="-125"/>
        <w:spacing w:after="0"/>
        <w:rPr>
          <w:sz w:val="20"/>
          <w:szCs w:val="20"/>
          <w:color w:val="auto"/>
        </w:rPr>
      </w:pPr>
      <w:r>
        <w:rPr>
          <w:rFonts w:ascii="Arial" w:cs="Arial" w:eastAsia="Arial" w:hAnsi="Arial"/>
          <w:sz w:val="18"/>
          <w:szCs w:val="18"/>
          <w:b w:val="1"/>
          <w:bCs w:val="1"/>
          <w:color w:val="auto"/>
        </w:rPr>
        <w:t>SCHEDULE 13G</w:t>
      </w:r>
    </w:p>
    <w:p>
      <w:pPr>
        <w:spacing w:after="0" w:line="312" w:lineRule="exact"/>
        <w:rPr>
          <w:sz w:val="20"/>
          <w:szCs w:val="20"/>
          <w:color w:val="auto"/>
        </w:rPr>
      </w:pPr>
    </w:p>
    <w:p>
      <w:pPr>
        <w:ind w:left="66"/>
        <w:spacing w:after="0"/>
        <w:rPr>
          <w:sz w:val="20"/>
          <w:szCs w:val="20"/>
          <w:color w:val="auto"/>
        </w:rPr>
      </w:pPr>
      <w:r>
        <w:rPr>
          <w:rFonts w:ascii="Arial" w:cs="Arial" w:eastAsia="Arial" w:hAnsi="Arial"/>
          <w:sz w:val="19"/>
          <w:szCs w:val="19"/>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320" w:hanging="650"/>
        <w:spacing w:after="0" w:line="336" w:lineRule="auto"/>
        <w:tabs>
          <w:tab w:leader="none" w:pos="1106"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Reporting Person: Montreux IV Associates, L.L.C.</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135" w:lineRule="exact"/>
        <w:rPr>
          <w:rFonts w:ascii="Arial" w:cs="Arial" w:eastAsia="Arial" w:hAnsi="Arial"/>
          <w:sz w:val="18"/>
          <w:szCs w:val="18"/>
          <w:color w:val="auto"/>
        </w:rPr>
      </w:pPr>
    </w:p>
    <w:p>
      <w:pPr>
        <w:ind w:left="2346" w:hanging="1234"/>
        <w:spacing w:after="0"/>
        <w:tabs>
          <w:tab w:leader="none" w:pos="2346" w:val="left"/>
        </w:tabs>
        <w:numPr>
          <w:ilvl w:val="1"/>
          <w:numId w:val="5"/>
        </w:numPr>
        <w:rPr>
          <w:rFonts w:ascii="Arial" w:cs="Arial" w:eastAsia="Arial" w:hAnsi="Arial"/>
          <w:sz w:val="19"/>
          <w:szCs w:val="19"/>
          <w:color w:val="auto"/>
        </w:rPr>
      </w:pPr>
      <w:r>
        <w:rPr>
          <w:rFonts w:ascii="Arial" w:cs="Arial" w:eastAsia="Arial" w:hAnsi="Arial"/>
          <w:sz w:val="19"/>
          <w:szCs w:val="19"/>
          <w:color w:val="auto"/>
        </w:rPr>
        <w:t>x</w:t>
      </w:r>
    </w:p>
    <w:p>
      <w:pPr>
        <w:spacing w:after="0" w:line="138" w:lineRule="exact"/>
        <w:rPr>
          <w:rFonts w:ascii="Arial" w:cs="Arial" w:eastAsia="Arial" w:hAnsi="Arial"/>
          <w:sz w:val="19"/>
          <w:szCs w:val="19"/>
          <w:color w:val="auto"/>
        </w:rPr>
      </w:pPr>
    </w:p>
    <w:p>
      <w:pPr>
        <w:ind w:left="2346" w:hanging="1234"/>
        <w:spacing w:after="0"/>
        <w:tabs>
          <w:tab w:leader="none" w:pos="2346" w:val="left"/>
        </w:tabs>
        <w:numPr>
          <w:ilvl w:val="1"/>
          <w:numId w:val="5"/>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7940" w:hanging="650"/>
        <w:spacing w:after="0" w:line="275" w:lineRule="auto"/>
        <w:tabs>
          <w:tab w:leader="none" w:pos="1106" w:val="left"/>
        </w:tabs>
        <w:numPr>
          <w:ilvl w:val="0"/>
          <w:numId w:val="5"/>
        </w:numPr>
        <w:rPr>
          <w:rFonts w:ascii="Arial" w:cs="Arial" w:eastAsia="Arial" w:hAnsi="Arial"/>
          <w:sz w:val="19"/>
          <w:szCs w:val="19"/>
          <w:color w:val="auto"/>
        </w:rPr>
      </w:pPr>
      <w:r>
        <w:rPr>
          <w:rFonts w:ascii="Arial" w:cs="Arial" w:eastAsia="Arial" w:hAnsi="Arial"/>
          <w:sz w:val="19"/>
          <w:szCs w:val="19"/>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-996315</wp:posOffset>
            </wp:positionV>
            <wp:extent cx="6176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-1223010</wp:posOffset>
            </wp:positionV>
            <wp:extent cx="617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4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130,391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1,905,423(1)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130,391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1,905,423(1)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86" w:space="720"/>
            <w:col w:w="8980"/>
          </w:cols>
          <w:pgMar w:left="114" w:top="207" w:right="240" w:bottom="54" w:gutter="0" w:footer="0" w:header="0"/>
          <w:type w:val="continuous"/>
        </w:sectPr>
      </w:pPr>
    </w:p>
    <w:p>
      <w:pPr>
        <w:spacing w:after="0" w:line="253" w:lineRule="exact"/>
        <w:rPr>
          <w:sz w:val="20"/>
          <w:szCs w:val="20"/>
          <w:color w:val="auto"/>
        </w:rPr>
      </w:pPr>
    </w:p>
    <w:p>
      <w:pPr>
        <w:ind w:left="1106" w:right="5640" w:hanging="650"/>
        <w:spacing w:after="0" w:line="275" w:lineRule="auto"/>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2,035,814(1)</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8.37% (2)</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CO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86" w:hanging="686"/>
        <w:spacing w:after="0" w:line="271" w:lineRule="auto"/>
        <w:tabs>
          <w:tab w:leader="none" w:pos="694"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Montreux Equity Partners IV, L.P. (“MEP IV”) is a California limited partnership whose principal business is making investments in the securities of other entities. Montreux IV Associates, L.L.C. (“Associates”) is a California limited liability company whose principal business is making investments in the securities of other entities. Montreux IV Associates IV, L.L.C. (“Associates IV”) is a California limited liability company whose principal business is making investments in the securities of other entities. Montreux Equity Management IV, L.L.C. (“MEM IV”) is a California limited liability company, the sole general partner of MEP IV and the manager of Associates and Associates IV. Daniel K. Turner, III is an individual and citizen of the United States of America and sole manager of MEM IV. Each of MEM IV and Mr. Turner disclaim beneficial ownership of such securities, except to the extent of their respective pecuniary interests therein.</w:t>
      </w:r>
    </w:p>
    <w:p>
      <w:pPr>
        <w:spacing w:after="0" w:line="189" w:lineRule="exact"/>
        <w:rPr>
          <w:rFonts w:ascii="Arial" w:cs="Arial" w:eastAsia="Arial" w:hAnsi="Arial"/>
          <w:sz w:val="18"/>
          <w:szCs w:val="18"/>
          <w:color w:val="auto"/>
        </w:rPr>
      </w:pPr>
    </w:p>
    <w:p>
      <w:pPr>
        <w:ind w:left="686" w:hanging="686"/>
        <w:spacing w:after="0" w:line="275" w:lineRule="auto"/>
        <w:tabs>
          <w:tab w:leader="none" w:pos="694" w:val="left"/>
        </w:tabs>
        <w:numPr>
          <w:ilvl w:val="0"/>
          <w:numId w:val="7"/>
        </w:numPr>
        <w:rPr>
          <w:rFonts w:ascii="Arial" w:cs="Arial" w:eastAsia="Arial" w:hAnsi="Arial"/>
          <w:sz w:val="19"/>
          <w:szCs w:val="19"/>
          <w:color w:val="auto"/>
        </w:rPr>
      </w:pPr>
      <w:r>
        <w:rPr>
          <w:rFonts w:ascii="Arial" w:cs="Arial" w:eastAsia="Arial" w:hAnsi="Arial"/>
          <w:sz w:val="19"/>
          <w:szCs w:val="19"/>
          <w:color w:val="auto"/>
        </w:rPr>
        <w:t>Based upon 24,335,690 shares of the Common Stock of the Issuer outstanding as of November 28, 2018 as reported by the Issuer on its Form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-1775460</wp:posOffset>
            </wp:positionV>
            <wp:extent cx="6955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-2354580</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-2934335</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-3369310</wp:posOffset>
            </wp:positionV>
            <wp:extent cx="6955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1929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10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type w:val="continuous"/>
        </w:sectPr>
      </w:pPr>
    </w:p>
    <w:bookmarkStart w:id="3" w:name="page4"/>
    <w:bookmarkEnd w:id="3"/>
    <w:p>
      <w:pPr>
        <w:jc w:val="center"/>
        <w:ind w:right="-125"/>
        <w:spacing w:after="0"/>
        <w:rPr>
          <w:sz w:val="20"/>
          <w:szCs w:val="20"/>
          <w:color w:val="auto"/>
        </w:rPr>
      </w:pPr>
      <w:r>
        <w:rPr>
          <w:rFonts w:ascii="Arial" w:cs="Arial" w:eastAsia="Arial" w:hAnsi="Arial"/>
          <w:sz w:val="18"/>
          <w:szCs w:val="18"/>
          <w:b w:val="1"/>
          <w:bCs w:val="1"/>
          <w:color w:val="auto"/>
        </w:rPr>
        <w:t>SCHEDULE 13G</w:t>
      </w:r>
    </w:p>
    <w:p>
      <w:pPr>
        <w:spacing w:after="0" w:line="312" w:lineRule="exact"/>
        <w:rPr>
          <w:sz w:val="20"/>
          <w:szCs w:val="20"/>
          <w:color w:val="auto"/>
        </w:rPr>
      </w:pPr>
    </w:p>
    <w:p>
      <w:pPr>
        <w:ind w:left="66"/>
        <w:spacing w:after="0"/>
        <w:rPr>
          <w:sz w:val="20"/>
          <w:szCs w:val="20"/>
          <w:color w:val="auto"/>
        </w:rPr>
      </w:pPr>
      <w:r>
        <w:rPr>
          <w:rFonts w:ascii="Arial" w:cs="Arial" w:eastAsia="Arial" w:hAnsi="Arial"/>
          <w:sz w:val="19"/>
          <w:szCs w:val="19"/>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100" w:hanging="650"/>
        <w:spacing w:after="0" w:line="336" w:lineRule="auto"/>
        <w:tabs>
          <w:tab w:leader="none" w:pos="1106"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 of Reporting Person: Montreux IV Associates IV, L.L.C.</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135" w:lineRule="exact"/>
        <w:rPr>
          <w:rFonts w:ascii="Arial" w:cs="Arial" w:eastAsia="Arial" w:hAnsi="Arial"/>
          <w:sz w:val="18"/>
          <w:szCs w:val="18"/>
          <w:color w:val="auto"/>
        </w:rPr>
      </w:pPr>
    </w:p>
    <w:p>
      <w:pPr>
        <w:ind w:left="2346" w:hanging="1234"/>
        <w:spacing w:after="0"/>
        <w:tabs>
          <w:tab w:leader="none" w:pos="2346" w:val="left"/>
        </w:tabs>
        <w:numPr>
          <w:ilvl w:val="1"/>
          <w:numId w:val="8"/>
        </w:numPr>
        <w:rPr>
          <w:rFonts w:ascii="Arial" w:cs="Arial" w:eastAsia="Arial" w:hAnsi="Arial"/>
          <w:sz w:val="19"/>
          <w:szCs w:val="19"/>
          <w:color w:val="auto"/>
        </w:rPr>
      </w:pPr>
      <w:r>
        <w:rPr>
          <w:rFonts w:ascii="Arial" w:cs="Arial" w:eastAsia="Arial" w:hAnsi="Arial"/>
          <w:sz w:val="19"/>
          <w:szCs w:val="19"/>
          <w:color w:val="auto"/>
        </w:rPr>
        <w:t>x</w:t>
      </w:r>
    </w:p>
    <w:p>
      <w:pPr>
        <w:spacing w:after="0" w:line="138" w:lineRule="exact"/>
        <w:rPr>
          <w:rFonts w:ascii="Arial" w:cs="Arial" w:eastAsia="Arial" w:hAnsi="Arial"/>
          <w:sz w:val="19"/>
          <w:szCs w:val="19"/>
          <w:color w:val="auto"/>
        </w:rPr>
      </w:pPr>
    </w:p>
    <w:p>
      <w:pPr>
        <w:ind w:left="2346" w:hanging="1234"/>
        <w:spacing w:after="0"/>
        <w:tabs>
          <w:tab w:leader="none" w:pos="2346" w:val="left"/>
        </w:tabs>
        <w:numPr>
          <w:ilvl w:val="1"/>
          <w:numId w:val="8"/>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7940" w:hanging="650"/>
        <w:spacing w:after="0" w:line="275" w:lineRule="auto"/>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-996315</wp:posOffset>
            </wp:positionV>
            <wp:extent cx="61760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-1223010</wp:posOffset>
            </wp:positionV>
            <wp:extent cx="6176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4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171,929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1,863,885(1)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171,929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1,863,885(1)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86" w:space="720"/>
            <w:col w:w="8980"/>
          </w:cols>
          <w:pgMar w:left="114" w:top="207" w:right="240" w:bottom="54" w:gutter="0" w:footer="0" w:header="0"/>
          <w:type w:val="continuous"/>
        </w:sectPr>
      </w:pPr>
    </w:p>
    <w:p>
      <w:pPr>
        <w:spacing w:after="0" w:line="253" w:lineRule="exact"/>
        <w:rPr>
          <w:sz w:val="20"/>
          <w:szCs w:val="20"/>
          <w:color w:val="auto"/>
        </w:rPr>
      </w:pPr>
    </w:p>
    <w:p>
      <w:pPr>
        <w:ind w:left="1106" w:right="5640" w:hanging="650"/>
        <w:spacing w:after="0" w:line="275" w:lineRule="auto"/>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2,035,814(1)</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8.37% (2)</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CO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86" w:hanging="686"/>
        <w:spacing w:after="0" w:line="271" w:lineRule="auto"/>
        <w:tabs>
          <w:tab w:leader="none" w:pos="6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Montreux Equity Partners IV, L.P. (“MEP IV”) is a California limited partnership whose principal business is making investments in the securities of other entities. Montreux IV Associates, L.L.C. (“Associates”) is a California limited liability company whose principal business is making investments in the securities of other entities. Montreux IV Associates IV, L.L.C. (“Associates IV”) is a California limited liability company whose principal business is making investments in the securities of other entities. Montreux Equity Management IV, L.L.C. (“MEM IV”) is a California limited liability company, the sole general partner of MEP IV and the manager of Associates and Associates IV. Daniel K. Turner, III is an individual and citizen of the United States of America and sole manager of MEM IV. Each of MEM IV and Mr. Turner disclaim beneficial ownership of such securities, except to the extent of their respective pecuniary interests therein.</w:t>
      </w:r>
    </w:p>
    <w:p>
      <w:pPr>
        <w:spacing w:after="0" w:line="189" w:lineRule="exact"/>
        <w:rPr>
          <w:rFonts w:ascii="Arial" w:cs="Arial" w:eastAsia="Arial" w:hAnsi="Arial"/>
          <w:sz w:val="18"/>
          <w:szCs w:val="18"/>
          <w:color w:val="auto"/>
        </w:rPr>
      </w:pPr>
    </w:p>
    <w:p>
      <w:pPr>
        <w:ind w:left="686" w:hanging="686"/>
        <w:spacing w:after="0" w:line="275" w:lineRule="auto"/>
        <w:tabs>
          <w:tab w:leader="none" w:pos="694" w:val="left"/>
        </w:tabs>
        <w:numPr>
          <w:ilvl w:val="0"/>
          <w:numId w:val="10"/>
        </w:numPr>
        <w:rPr>
          <w:rFonts w:ascii="Arial" w:cs="Arial" w:eastAsia="Arial" w:hAnsi="Arial"/>
          <w:sz w:val="19"/>
          <w:szCs w:val="19"/>
          <w:color w:val="auto"/>
        </w:rPr>
      </w:pPr>
      <w:r>
        <w:rPr>
          <w:rFonts w:ascii="Arial" w:cs="Arial" w:eastAsia="Arial" w:hAnsi="Arial"/>
          <w:sz w:val="19"/>
          <w:szCs w:val="19"/>
          <w:color w:val="auto"/>
        </w:rPr>
        <w:t>Based upon 24,335,690 shares of the Common Stock of the Issuer outstanding as of November 28, 2018 as reported by the Issuer on its Form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-1775460</wp:posOffset>
            </wp:positionV>
            <wp:extent cx="6955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-2354580</wp:posOffset>
            </wp:positionV>
            <wp:extent cx="6955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-2934335</wp:posOffset>
            </wp:positionV>
            <wp:extent cx="6955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-3369310</wp:posOffset>
            </wp:positionV>
            <wp:extent cx="6955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1929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10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type w:val="continuous"/>
        </w:sectPr>
      </w:pPr>
    </w:p>
    <w:bookmarkStart w:id="4" w:name="page5"/>
    <w:bookmarkEnd w:id="4"/>
    <w:p>
      <w:pPr>
        <w:jc w:val="center"/>
        <w:ind w:right="-125"/>
        <w:spacing w:after="0"/>
        <w:rPr>
          <w:sz w:val="20"/>
          <w:szCs w:val="20"/>
          <w:color w:val="auto"/>
        </w:rPr>
      </w:pPr>
      <w:r>
        <w:rPr>
          <w:rFonts w:ascii="Arial" w:cs="Arial" w:eastAsia="Arial" w:hAnsi="Arial"/>
          <w:sz w:val="18"/>
          <w:szCs w:val="18"/>
          <w:b w:val="1"/>
          <w:bCs w:val="1"/>
          <w:color w:val="auto"/>
        </w:rPr>
        <w:t>SCHEDULE 13G</w:t>
      </w:r>
    </w:p>
    <w:p>
      <w:pPr>
        <w:spacing w:after="0" w:line="312" w:lineRule="exact"/>
        <w:rPr>
          <w:sz w:val="20"/>
          <w:szCs w:val="20"/>
          <w:color w:val="auto"/>
        </w:rPr>
      </w:pPr>
    </w:p>
    <w:p>
      <w:pPr>
        <w:ind w:left="66"/>
        <w:spacing w:after="0"/>
        <w:rPr>
          <w:sz w:val="20"/>
          <w:szCs w:val="20"/>
          <w:color w:val="auto"/>
        </w:rPr>
      </w:pPr>
      <w:r>
        <w:rPr>
          <w:rFonts w:ascii="Arial" w:cs="Arial" w:eastAsia="Arial" w:hAnsi="Arial"/>
          <w:sz w:val="19"/>
          <w:szCs w:val="19"/>
          <w:color w:val="auto"/>
        </w:rPr>
        <w:t>CUSIP No.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680" w:hanging="650"/>
        <w:spacing w:after="0" w:line="336" w:lineRule="auto"/>
        <w:tabs>
          <w:tab w:leader="none" w:pos="1106" w:val="left"/>
        </w:tabs>
        <w:numPr>
          <w:ilvl w:val="0"/>
          <w:numId w:val="11"/>
        </w:numPr>
        <w:rPr>
          <w:rFonts w:ascii="Arial" w:cs="Arial" w:eastAsia="Arial" w:hAnsi="Arial"/>
          <w:sz w:val="17"/>
          <w:szCs w:val="17"/>
          <w:color w:val="auto"/>
        </w:rPr>
      </w:pPr>
      <w:r>
        <w:rPr>
          <w:rFonts w:ascii="Arial" w:cs="Arial" w:eastAsia="Arial" w:hAnsi="Arial"/>
          <w:sz w:val="17"/>
          <w:szCs w:val="17"/>
          <w:color w:val="auto"/>
        </w:rPr>
        <w:t>Name of Reporting Person: Daniel K. Turner, III</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135" w:lineRule="exact"/>
        <w:rPr>
          <w:rFonts w:ascii="Arial" w:cs="Arial" w:eastAsia="Arial" w:hAnsi="Arial"/>
          <w:sz w:val="18"/>
          <w:szCs w:val="18"/>
          <w:color w:val="auto"/>
        </w:rPr>
      </w:pPr>
    </w:p>
    <w:p>
      <w:pPr>
        <w:ind w:left="2346" w:hanging="1234"/>
        <w:spacing w:after="0"/>
        <w:tabs>
          <w:tab w:leader="none" w:pos="2346" w:val="left"/>
        </w:tabs>
        <w:numPr>
          <w:ilvl w:val="1"/>
          <w:numId w:val="11"/>
        </w:numPr>
        <w:rPr>
          <w:rFonts w:ascii="Arial" w:cs="Arial" w:eastAsia="Arial" w:hAnsi="Arial"/>
          <w:sz w:val="19"/>
          <w:szCs w:val="19"/>
          <w:color w:val="auto"/>
        </w:rPr>
      </w:pPr>
      <w:r>
        <w:rPr>
          <w:rFonts w:ascii="Arial" w:cs="Arial" w:eastAsia="Arial" w:hAnsi="Arial"/>
          <w:sz w:val="19"/>
          <w:szCs w:val="19"/>
          <w:color w:val="auto"/>
        </w:rPr>
        <w:t>x</w:t>
      </w:r>
    </w:p>
    <w:p>
      <w:pPr>
        <w:spacing w:after="0" w:line="138" w:lineRule="exact"/>
        <w:rPr>
          <w:rFonts w:ascii="Arial" w:cs="Arial" w:eastAsia="Arial" w:hAnsi="Arial"/>
          <w:sz w:val="19"/>
          <w:szCs w:val="19"/>
          <w:color w:val="auto"/>
        </w:rPr>
      </w:pPr>
    </w:p>
    <w:p>
      <w:pPr>
        <w:ind w:left="2346" w:hanging="1234"/>
        <w:spacing w:after="0"/>
        <w:tabs>
          <w:tab w:leader="none" w:pos="2346" w:val="left"/>
        </w:tabs>
        <w:numPr>
          <w:ilvl w:val="1"/>
          <w:numId w:val="11"/>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7940" w:hanging="650"/>
        <w:spacing w:after="0" w:line="275" w:lineRule="auto"/>
        <w:tabs>
          <w:tab w:leader="none" w:pos="11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-996315</wp:posOffset>
            </wp:positionV>
            <wp:extent cx="6176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-1223010</wp:posOffset>
            </wp:positionV>
            <wp:extent cx="6176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4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2,035,814(1)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2,035,814(1)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86" w:space="720"/>
            <w:col w:w="8980"/>
          </w:cols>
          <w:pgMar w:left="114" w:top="207" w:right="240" w:bottom="54" w:gutter="0" w:footer="0" w:header="0"/>
          <w:type w:val="continuous"/>
        </w:sectPr>
      </w:pPr>
    </w:p>
    <w:p>
      <w:pPr>
        <w:spacing w:after="0" w:line="253" w:lineRule="exact"/>
        <w:rPr>
          <w:sz w:val="20"/>
          <w:szCs w:val="20"/>
          <w:color w:val="auto"/>
        </w:rPr>
      </w:pPr>
    </w:p>
    <w:p>
      <w:pPr>
        <w:ind w:left="1106" w:right="5640" w:hanging="650"/>
        <w:spacing w:after="0" w:line="275" w:lineRule="auto"/>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2,035,814(1)</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8.37% (2)</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Type of Reporting Person:</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86" w:hanging="686"/>
        <w:spacing w:after="0" w:line="271" w:lineRule="auto"/>
        <w:tabs>
          <w:tab w:leader="none" w:pos="6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Montreux Equity Partners IV, L.P. (“MEP IV”) is a California limited partnership whose principal business is making investments in the securities of other entities. Montreux IV Associates, L.L.C. (“Associates”) is a California limited liability company whose principal business is making investments in the securities of other entities. Montreux IV Associates IV, L.L.C. (“Associates IV”) is a California limited liability company whose principal business is making investments in the securities of other entities. Montreux Equity Management IV, L.L.C. (“MEM IV”) is a California limited liability company, the sole general partner of MEP IV and the manager of Associates and Associates IV. Daniel K. Turner, III is an individual and citizen of the United States of America and sole manager of MEM IV. Each of MEM IV and Mr. Turner disclaim beneficial ownership of such securities, except to the extent of their respective pecuniary interests therein.</w:t>
      </w:r>
    </w:p>
    <w:p>
      <w:pPr>
        <w:spacing w:after="0" w:line="189" w:lineRule="exact"/>
        <w:rPr>
          <w:rFonts w:ascii="Arial" w:cs="Arial" w:eastAsia="Arial" w:hAnsi="Arial"/>
          <w:sz w:val="18"/>
          <w:szCs w:val="18"/>
          <w:color w:val="auto"/>
        </w:rPr>
      </w:pPr>
    </w:p>
    <w:p>
      <w:pPr>
        <w:ind w:left="686" w:hanging="686"/>
        <w:spacing w:after="0" w:line="275" w:lineRule="auto"/>
        <w:tabs>
          <w:tab w:leader="none" w:pos="694" w:val="left"/>
        </w:tabs>
        <w:numPr>
          <w:ilvl w:val="0"/>
          <w:numId w:val="13"/>
        </w:numPr>
        <w:rPr>
          <w:rFonts w:ascii="Arial" w:cs="Arial" w:eastAsia="Arial" w:hAnsi="Arial"/>
          <w:sz w:val="19"/>
          <w:szCs w:val="19"/>
          <w:color w:val="auto"/>
        </w:rPr>
      </w:pPr>
      <w:r>
        <w:rPr>
          <w:rFonts w:ascii="Arial" w:cs="Arial" w:eastAsia="Arial" w:hAnsi="Arial"/>
          <w:sz w:val="19"/>
          <w:szCs w:val="19"/>
          <w:color w:val="auto"/>
        </w:rPr>
        <w:t>Based upon 24,335,690 shares of the Common Stock of the Issuer outstanding as of November 28, 2018 as reported by the Issuer on its Form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-1775460</wp:posOffset>
            </wp:positionV>
            <wp:extent cx="6955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-2354580</wp:posOffset>
            </wp:positionV>
            <wp:extent cx="6955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-2934335</wp:posOffset>
            </wp:positionV>
            <wp:extent cx="6955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-3369310</wp:posOffset>
            </wp:positionV>
            <wp:extent cx="6955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1929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10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6"/>
          </w:cols>
          <w:pgMar w:left="114" w:top="207" w:right="240" w:bottom="54"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9"/>
          <w:szCs w:val="19"/>
          <w:b w:val="1"/>
          <w:bCs w:val="1"/>
          <w:color w:val="auto"/>
        </w:rPr>
        <w:t>Item 1.</w:t>
      </w:r>
    </w:p>
    <w:p>
      <w:pPr>
        <w:spacing w:after="0" w:line="130" w:lineRule="exact"/>
        <w:rPr>
          <w:sz w:val="20"/>
          <w:szCs w:val="20"/>
          <w:color w:val="auto"/>
        </w:rPr>
      </w:pPr>
    </w:p>
    <w:p>
      <w:pPr>
        <w:ind w:left="1600" w:right="9240" w:hanging="536"/>
        <w:spacing w:after="0" w:line="372" w:lineRule="auto"/>
        <w:tabs>
          <w:tab w:leader="none" w:pos="1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Issuer: SI-BONE, Inc.</w:t>
      </w:r>
    </w:p>
    <w:p>
      <w:pPr>
        <w:spacing w:after="0" w:line="14" w:lineRule="exact"/>
        <w:rPr>
          <w:rFonts w:ascii="Arial" w:cs="Arial" w:eastAsia="Arial" w:hAnsi="Arial"/>
          <w:sz w:val="16"/>
          <w:szCs w:val="16"/>
          <w:color w:val="auto"/>
        </w:rPr>
      </w:pPr>
    </w:p>
    <w:p>
      <w:pPr>
        <w:ind w:left="1600" w:hanging="536"/>
        <w:spacing w:after="0"/>
        <w:tabs>
          <w:tab w:leader="none" w:pos="16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Address of Issuer’s Principal Executive Offices:</w:t>
      </w:r>
    </w:p>
    <w:p>
      <w:pPr>
        <w:spacing w:after="0" w:line="22" w:lineRule="exact"/>
        <w:rPr>
          <w:rFonts w:ascii="Arial" w:cs="Arial" w:eastAsia="Arial" w:hAnsi="Arial"/>
          <w:sz w:val="19"/>
          <w:szCs w:val="19"/>
          <w:color w:val="auto"/>
        </w:rPr>
      </w:pPr>
    </w:p>
    <w:p>
      <w:pPr>
        <w:ind w:left="1600"/>
        <w:spacing w:after="0"/>
        <w:rPr>
          <w:rFonts w:ascii="Arial" w:cs="Arial" w:eastAsia="Arial" w:hAnsi="Arial"/>
          <w:sz w:val="19"/>
          <w:szCs w:val="19"/>
          <w:color w:val="auto"/>
        </w:rPr>
      </w:pPr>
      <w:r>
        <w:rPr>
          <w:rFonts w:ascii="Arial" w:cs="Arial" w:eastAsia="Arial" w:hAnsi="Arial"/>
          <w:sz w:val="19"/>
          <w:szCs w:val="19"/>
          <w:color w:val="auto"/>
        </w:rPr>
        <w:t>471 El Camino Real, Suite 101,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43180</wp:posOffset>
            </wp:positionV>
            <wp:extent cx="6647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4718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-327660</wp:posOffset>
            </wp:positionV>
            <wp:extent cx="6647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Item 2.</w:t>
      </w:r>
    </w:p>
    <w:p>
      <w:pPr>
        <w:spacing w:after="0" w:line="130" w:lineRule="exact"/>
        <w:rPr>
          <w:sz w:val="20"/>
          <w:szCs w:val="20"/>
          <w:color w:val="auto"/>
        </w:rPr>
      </w:pPr>
    </w:p>
    <w:p>
      <w:pPr>
        <w:ind w:left="1600" w:right="7780" w:hanging="536"/>
        <w:spacing w:after="0" w:line="256" w:lineRule="auto"/>
        <w:tabs>
          <w:tab w:leader="none" w:pos="16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Name of Person Filing: Montreux Equity Partners IV, L.P. Montreux IV Associates, L.L.C. Montreux IV Associates IV, L.L.C. Daniel K. Turner, III</w:t>
      </w:r>
    </w:p>
    <w:p>
      <w:pPr>
        <w:spacing w:after="0" w:line="103" w:lineRule="exact"/>
        <w:rPr>
          <w:rFonts w:ascii="Arial" w:cs="Arial" w:eastAsia="Arial" w:hAnsi="Arial"/>
          <w:sz w:val="19"/>
          <w:szCs w:val="19"/>
          <w:color w:val="auto"/>
        </w:rPr>
      </w:pPr>
    </w:p>
    <w:p>
      <w:pPr>
        <w:ind w:left="1600" w:right="5880" w:hanging="536"/>
        <w:spacing w:after="0" w:line="257" w:lineRule="auto"/>
        <w:tabs>
          <w:tab w:leader="none" w:pos="16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Address or Principal Business Office or, if none, Residence: Four Embarcadero Center, Suite 3720</w:t>
      </w:r>
    </w:p>
    <w:p>
      <w:pPr>
        <w:spacing w:after="0" w:line="1" w:lineRule="exact"/>
        <w:rPr>
          <w:rFonts w:ascii="Arial" w:cs="Arial" w:eastAsia="Arial" w:hAnsi="Arial"/>
          <w:sz w:val="19"/>
          <w:szCs w:val="19"/>
          <w:color w:val="auto"/>
        </w:rPr>
      </w:pPr>
    </w:p>
    <w:p>
      <w:pPr>
        <w:ind w:left="1600"/>
        <w:spacing w:after="0"/>
        <w:rPr>
          <w:rFonts w:ascii="Arial" w:cs="Arial" w:eastAsia="Arial" w:hAnsi="Arial"/>
          <w:sz w:val="19"/>
          <w:szCs w:val="19"/>
          <w:color w:val="auto"/>
        </w:rPr>
      </w:pPr>
      <w:r>
        <w:rPr>
          <w:rFonts w:ascii="Arial" w:cs="Arial" w:eastAsia="Arial" w:hAnsi="Arial"/>
          <w:sz w:val="19"/>
          <w:szCs w:val="19"/>
          <w:color w:val="auto"/>
        </w:rPr>
        <w:t>San Francisco, CA 94111</w:t>
      </w:r>
    </w:p>
    <w:p>
      <w:pPr>
        <w:spacing w:after="0" w:line="124" w:lineRule="exact"/>
        <w:rPr>
          <w:rFonts w:ascii="Arial" w:cs="Arial" w:eastAsia="Arial" w:hAnsi="Arial"/>
          <w:sz w:val="19"/>
          <w:szCs w:val="19"/>
          <w:color w:val="auto"/>
        </w:rPr>
      </w:pPr>
    </w:p>
    <w:p>
      <w:pPr>
        <w:ind w:left="1600" w:hanging="536"/>
        <w:spacing w:after="0"/>
        <w:tabs>
          <w:tab w:leader="none" w:pos="16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2" w:lineRule="exact"/>
        <w:rPr>
          <w:rFonts w:ascii="Arial" w:cs="Arial" w:eastAsia="Arial" w:hAnsi="Arial"/>
          <w:sz w:val="19"/>
          <w:szCs w:val="19"/>
          <w:color w:val="auto"/>
        </w:rPr>
      </w:pPr>
    </w:p>
    <w:p>
      <w:pPr>
        <w:ind w:left="1600"/>
        <w:spacing w:after="0"/>
        <w:rPr>
          <w:rFonts w:ascii="Arial" w:cs="Arial" w:eastAsia="Arial" w:hAnsi="Arial"/>
          <w:sz w:val="19"/>
          <w:szCs w:val="19"/>
          <w:color w:val="auto"/>
        </w:rPr>
      </w:pPr>
      <w:r>
        <w:rPr>
          <w:rFonts w:ascii="Arial" w:cs="Arial" w:eastAsia="Arial" w:hAnsi="Arial"/>
          <w:sz w:val="19"/>
          <w:szCs w:val="19"/>
          <w:color w:val="auto"/>
        </w:rPr>
        <w:t>MEP IV, Associates, Associates IV and MEM IV: California.</w:t>
      </w:r>
    </w:p>
    <w:p>
      <w:pPr>
        <w:spacing w:after="0" w:line="9" w:lineRule="exact"/>
        <w:rPr>
          <w:rFonts w:ascii="Arial" w:cs="Arial" w:eastAsia="Arial" w:hAnsi="Arial"/>
          <w:sz w:val="19"/>
          <w:szCs w:val="19"/>
          <w:color w:val="auto"/>
        </w:rPr>
      </w:pPr>
    </w:p>
    <w:p>
      <w:pPr>
        <w:ind w:left="1600"/>
        <w:spacing w:after="0"/>
        <w:rPr>
          <w:rFonts w:ascii="Arial" w:cs="Arial" w:eastAsia="Arial" w:hAnsi="Arial"/>
          <w:sz w:val="19"/>
          <w:szCs w:val="19"/>
          <w:color w:val="auto"/>
        </w:rPr>
      </w:pPr>
      <w:r>
        <w:rPr>
          <w:rFonts w:ascii="Arial" w:cs="Arial" w:eastAsia="Arial" w:hAnsi="Arial"/>
          <w:sz w:val="19"/>
          <w:szCs w:val="19"/>
          <w:color w:val="auto"/>
        </w:rPr>
        <w:t>Daniel K. Turner, III: United States of America</w:t>
      </w:r>
    </w:p>
    <w:p>
      <w:pPr>
        <w:spacing w:after="0" w:line="124" w:lineRule="exact"/>
        <w:rPr>
          <w:rFonts w:ascii="Arial" w:cs="Arial" w:eastAsia="Arial" w:hAnsi="Arial"/>
          <w:sz w:val="19"/>
          <w:szCs w:val="19"/>
          <w:color w:val="auto"/>
        </w:rPr>
      </w:pPr>
    </w:p>
    <w:p>
      <w:pPr>
        <w:ind w:left="1600" w:right="8380" w:hanging="536"/>
        <w:spacing w:after="0" w:line="336" w:lineRule="auto"/>
        <w:tabs>
          <w:tab w:leader="none" w:pos="1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Title of Class of Securities: Common Stock</w:t>
      </w:r>
    </w:p>
    <w:p>
      <w:pPr>
        <w:spacing w:after="0" w:line="37" w:lineRule="exact"/>
        <w:rPr>
          <w:rFonts w:ascii="Arial" w:cs="Arial" w:eastAsia="Arial" w:hAnsi="Arial"/>
          <w:sz w:val="17"/>
          <w:szCs w:val="17"/>
          <w:color w:val="auto"/>
        </w:rPr>
      </w:pPr>
    </w:p>
    <w:p>
      <w:pPr>
        <w:ind w:left="1600" w:right="9180" w:hanging="536"/>
        <w:spacing w:after="0" w:line="336" w:lineRule="auto"/>
        <w:tabs>
          <w:tab w:leader="none" w:pos="1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CUSIP Number: 825704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-12065</wp:posOffset>
            </wp:positionV>
            <wp:extent cx="6647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718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-382905</wp:posOffset>
            </wp:positionV>
            <wp:extent cx="6647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4718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-754380</wp:posOffset>
            </wp:positionV>
            <wp:extent cx="6647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4718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-1270635</wp:posOffset>
            </wp:positionV>
            <wp:extent cx="6647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4718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-1786890</wp:posOffset>
            </wp:positionV>
            <wp:extent cx="6647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33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§§240.13d-1(b) or 240.13d-2(b) or (c), check whether the person filing is a:</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gridSpan w:val="2"/>
          </w:tcPr>
          <w:p>
            <w:pPr>
              <w:spacing w:after="0"/>
              <w:rPr>
                <w:sz w:val="20"/>
                <w:szCs w:val="20"/>
                <w:color w:val="auto"/>
              </w:rPr>
            </w:pPr>
            <w:r>
              <w:rPr>
                <w:rFonts w:ascii="Arial" w:cs="Arial" w:eastAsia="Arial" w:hAnsi="Arial"/>
                <w:sz w:val="19"/>
                <w:szCs w:val="19"/>
                <w:color w:val="auto"/>
              </w:rPr>
              <w:t>(a) Amount beneficially owned</w:t>
            </w:r>
          </w:p>
        </w:tc>
        <w:tc>
          <w:tcPr>
            <w:tcW w:w="34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3400" w:type="dxa"/>
            <w:vAlign w:val="bottom"/>
            <w:shd w:val="clear" w:color="auto" w:fill="CCEEFF"/>
          </w:tcPr>
          <w:p>
            <w:pPr>
              <w:jc w:val="right"/>
              <w:ind w:right="145"/>
              <w:spacing w:after="0"/>
              <w:rPr>
                <w:sz w:val="20"/>
                <w:szCs w:val="20"/>
                <w:color w:val="auto"/>
              </w:rPr>
            </w:pPr>
            <w:r>
              <w:rPr>
                <w:rFonts w:ascii="Arial" w:cs="Arial" w:eastAsia="Arial" w:hAnsi="Arial"/>
                <w:sz w:val="19"/>
                <w:szCs w:val="19"/>
                <w:color w:val="auto"/>
              </w:rPr>
              <w:t>2,035,814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2,035,814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2,035,814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2,035,814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160" w:type="dxa"/>
            <w:vAlign w:val="bottom"/>
            <w:gridSpan w:val="2"/>
          </w:tcPr>
          <w:p>
            <w:pPr>
              <w:spacing w:after="0"/>
              <w:rPr>
                <w:sz w:val="20"/>
                <w:szCs w:val="20"/>
                <w:color w:val="auto"/>
              </w:rPr>
            </w:pPr>
            <w:r>
              <w:rPr>
                <w:rFonts w:ascii="Arial" w:cs="Arial" w:eastAsia="Arial" w:hAnsi="Arial"/>
                <w:sz w:val="19"/>
                <w:szCs w:val="19"/>
                <w:color w:val="auto"/>
              </w:rPr>
              <w:t>(b) Percent of class</w:t>
            </w:r>
          </w:p>
        </w:tc>
        <w:tc>
          <w:tcPr>
            <w:tcW w:w="34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8.37%</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8.37%</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8.37%</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34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8.37%</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0" w:type="dxa"/>
            <w:vAlign w:val="bottom"/>
          </w:tcPr>
          <w:p>
            <w:pPr>
              <w:jc w:val="right"/>
              <w:ind w:right="1425"/>
              <w:spacing w:after="0"/>
              <w:rPr>
                <w:sz w:val="20"/>
                <w:szCs w:val="20"/>
                <w:color w:val="auto"/>
              </w:rPr>
            </w:pPr>
            <w:r>
              <w:rPr>
                <w:rFonts w:ascii="Arial" w:cs="Arial" w:eastAsia="Arial" w:hAnsi="Arial"/>
                <w:sz w:val="19"/>
                <w:szCs w:val="19"/>
                <w:color w:val="auto"/>
              </w:rPr>
              <w:t>6</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808080"/>
            </w:tcBorders>
          </w:tcPr>
          <w:p>
            <w:pPr>
              <w:spacing w:after="0"/>
              <w:rPr>
                <w:sz w:val="12"/>
                <w:szCs w:val="12"/>
                <w:color w:val="auto"/>
              </w:rPr>
            </w:pPr>
          </w:p>
        </w:tc>
        <w:tc>
          <w:tcPr>
            <w:tcW w:w="4140" w:type="dxa"/>
            <w:vAlign w:val="bottom"/>
            <w:tcBorders>
              <w:bottom w:val="single" w:sz="8" w:color="808080"/>
            </w:tcBorders>
          </w:tcPr>
          <w:p>
            <w:pPr>
              <w:spacing w:after="0"/>
              <w:rPr>
                <w:sz w:val="12"/>
                <w:szCs w:val="12"/>
                <w:color w:val="auto"/>
              </w:rPr>
            </w:pPr>
          </w:p>
        </w:tc>
        <w:tc>
          <w:tcPr>
            <w:tcW w:w="3400" w:type="dxa"/>
            <w:vAlign w:val="bottom"/>
            <w:tcBorders>
              <w:bottom w:val="single" w:sz="8" w:color="808080"/>
            </w:tcBorders>
          </w:tcPr>
          <w:p>
            <w:pPr>
              <w:spacing w:after="0"/>
              <w:rPr>
                <w:sz w:val="12"/>
                <w:szCs w:val="12"/>
                <w:color w:val="auto"/>
              </w:rPr>
            </w:pPr>
          </w:p>
        </w:tc>
        <w:tc>
          <w:tcPr>
            <w:tcW w:w="44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64" w:right="8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6500" w:type="dxa"/>
            <w:vAlign w:val="bottom"/>
            <w:gridSpan w:val="2"/>
          </w:tcPr>
          <w:p>
            <w:pPr>
              <w:spacing w:after="0"/>
              <w:rPr>
                <w:sz w:val="20"/>
                <w:szCs w:val="20"/>
                <w:color w:val="auto"/>
              </w:rPr>
            </w:pPr>
            <w:r>
              <w:rPr>
                <w:rFonts w:ascii="Arial" w:cs="Arial" w:eastAsia="Arial" w:hAnsi="Arial"/>
                <w:sz w:val="19"/>
                <w:szCs w:val="19"/>
                <w:color w:val="auto"/>
                <w:w w:val="91"/>
              </w:rPr>
              <w:t>(c)(i) Number of shares to which the person has sole power to vote or direct the vote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w w:val="99"/>
              </w:rPr>
              <w:t>1,733,494</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130,391</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171,929</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55"/>
        </w:trPr>
        <w:tc>
          <w:tcPr>
            <w:tcW w:w="7560" w:type="dxa"/>
            <w:vAlign w:val="bottom"/>
            <w:gridSpan w:val="3"/>
          </w:tcPr>
          <w:p>
            <w:pPr>
              <w:spacing w:after="0"/>
              <w:rPr>
                <w:sz w:val="20"/>
                <w:szCs w:val="20"/>
                <w:color w:val="auto"/>
              </w:rPr>
            </w:pPr>
            <w:r>
              <w:rPr>
                <w:rFonts w:ascii="Arial" w:cs="Arial" w:eastAsia="Arial" w:hAnsi="Arial"/>
                <w:sz w:val="19"/>
                <w:szCs w:val="19"/>
                <w:color w:val="auto"/>
              </w:rPr>
              <w:t>(c)(ii) Number of shares to which the person has shared power to vote or direct the vote</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302,320</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w w:val="99"/>
              </w:rPr>
              <w:t>1,905,423</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w w:val="99"/>
              </w:rPr>
              <w:t>1,863,885</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w w:val="99"/>
              </w:rPr>
              <w:t>2,035,814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(c)(iii) Number of shares to which the person has sole power to dispose or direct the disposition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34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1,733,494</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34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130,391</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34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171,929</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34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(c)(iv) Number of shares to which the person has shared power to dispose or direct the disposition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9"/>
                <w:szCs w:val="19"/>
                <w:color w:val="auto"/>
              </w:rPr>
              <w:t>MEP IV</w:t>
            </w:r>
          </w:p>
        </w:tc>
        <w:tc>
          <w:tcPr>
            <w:tcW w:w="38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302,320</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9"/>
                <w:szCs w:val="19"/>
                <w:color w:val="auto"/>
              </w:rPr>
              <w:t>Associates</w:t>
            </w:r>
          </w:p>
        </w:tc>
        <w:tc>
          <w:tcPr>
            <w:tcW w:w="38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1,905,423</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9"/>
                <w:szCs w:val="19"/>
                <w:color w:val="auto"/>
              </w:rPr>
              <w:t>Associates IV</w:t>
            </w:r>
          </w:p>
        </w:tc>
        <w:tc>
          <w:tcPr>
            <w:tcW w:w="38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1,863,885</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9"/>
                <w:szCs w:val="19"/>
                <w:color w:val="auto"/>
              </w:rPr>
              <w:t>Daniel K. Turner, III</w:t>
            </w:r>
          </w:p>
        </w:tc>
        <w:tc>
          <w:tcPr>
            <w:tcW w:w="38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2,035,814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0" w:type="dxa"/>
            <w:vAlign w:val="bottom"/>
          </w:tcPr>
          <w:p>
            <w:pPr>
              <w:jc w:val="right"/>
              <w:ind w:right="1425"/>
              <w:spacing w:after="0"/>
              <w:rPr>
                <w:sz w:val="20"/>
                <w:szCs w:val="20"/>
                <w:color w:val="auto"/>
              </w:rPr>
            </w:pPr>
            <w:r>
              <w:rPr>
                <w:rFonts w:ascii="Arial" w:cs="Arial" w:eastAsia="Arial" w:hAnsi="Arial"/>
                <w:sz w:val="19"/>
                <w:szCs w:val="19"/>
                <w:color w:val="auto"/>
              </w:rPr>
              <w:t>7</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808080"/>
            </w:tcBorders>
          </w:tcPr>
          <w:p>
            <w:pPr>
              <w:spacing w:after="0"/>
              <w:rPr>
                <w:sz w:val="12"/>
                <w:szCs w:val="12"/>
                <w:color w:val="auto"/>
              </w:rPr>
            </w:pPr>
          </w:p>
        </w:tc>
        <w:tc>
          <w:tcPr>
            <w:tcW w:w="3740" w:type="dxa"/>
            <w:vAlign w:val="bottom"/>
            <w:tcBorders>
              <w:bottom w:val="single" w:sz="8" w:color="808080"/>
            </w:tcBorders>
          </w:tcPr>
          <w:p>
            <w:pPr>
              <w:spacing w:after="0"/>
              <w:rPr>
                <w:sz w:val="12"/>
                <w:szCs w:val="12"/>
                <w:color w:val="auto"/>
              </w:rPr>
            </w:pPr>
          </w:p>
        </w:tc>
        <w:tc>
          <w:tcPr>
            <w:tcW w:w="3800" w:type="dxa"/>
            <w:vAlign w:val="bottom"/>
            <w:tcBorders>
              <w:bottom w:val="single" w:sz="8" w:color="808080"/>
            </w:tcBorders>
          </w:tcPr>
          <w:p>
            <w:pPr>
              <w:spacing w:after="0"/>
              <w:rPr>
                <w:sz w:val="12"/>
                <w:szCs w:val="12"/>
                <w:color w:val="auto"/>
              </w:rPr>
            </w:pPr>
          </w:p>
        </w:tc>
        <w:tc>
          <w:tcPr>
            <w:tcW w:w="44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7" w:name="page8"/>
    <w:bookmarkEnd w:id="7"/>
    <w:p>
      <w:pPr>
        <w:spacing w:after="0"/>
        <w:tabs>
          <w:tab w:leader="none" w:pos="114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ind w:left="1160" w:hanging="1168"/>
        <w:spacing w:after="0" w:line="282" w:lineRule="auto"/>
        <w:tabs>
          <w:tab w:leader="none" w:pos="114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0"/>
          </w:cols>
          <w:pgMar w:left="180" w:top="293" w:right="180" w:bottom="1440" w:gutter="0" w:footer="0" w:header="0"/>
        </w:sectPr>
      </w:pPr>
    </w:p>
    <w:bookmarkStart w:id="8" w:name="page9"/>
    <w:bookmarkEnd w:id="8"/>
    <w:p>
      <w:pPr>
        <w:ind w:left="60"/>
        <w:spacing w:after="0"/>
        <w:tabs>
          <w:tab w:leader="none" w:pos="120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9"/>
          <w:szCs w:val="19"/>
          <w:color w:val="auto"/>
        </w:rPr>
        <w:t>Not applicable.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14,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MONTREUX EQUITY PARTNERS IV, LP</w:t>
      </w:r>
    </w:p>
    <w:p>
      <w:pPr>
        <w:spacing w:after="0" w:line="238"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r>
        <w:trPr>
          <w:trHeight w:val="442"/>
        </w:trPr>
        <w:tc>
          <w:tcPr>
            <w:tcW w:w="5980" w:type="dxa"/>
            <w:vAlign w:val="bottom"/>
            <w:gridSpan w:val="2"/>
          </w:tcPr>
          <w:p>
            <w:pPr>
              <w:spacing w:after="0"/>
              <w:rPr>
                <w:sz w:val="20"/>
                <w:szCs w:val="20"/>
                <w:color w:val="auto"/>
              </w:rPr>
            </w:pPr>
            <w:r>
              <w:rPr>
                <w:rFonts w:ascii="Arial" w:cs="Arial" w:eastAsia="Arial" w:hAnsi="Arial"/>
                <w:sz w:val="19"/>
                <w:szCs w:val="19"/>
                <w:color w:val="auto"/>
              </w:rPr>
              <w:t>MONTREUX IV ASSOCIATES, L.L.C.</w:t>
            </w:r>
          </w:p>
        </w:tc>
      </w:tr>
      <w:tr>
        <w:trPr>
          <w:trHeight w:val="456"/>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r>
        <w:trPr>
          <w:trHeight w:val="442"/>
        </w:trPr>
        <w:tc>
          <w:tcPr>
            <w:tcW w:w="5980" w:type="dxa"/>
            <w:vAlign w:val="bottom"/>
            <w:gridSpan w:val="2"/>
          </w:tcPr>
          <w:p>
            <w:pPr>
              <w:spacing w:after="0"/>
              <w:rPr>
                <w:sz w:val="20"/>
                <w:szCs w:val="20"/>
                <w:color w:val="auto"/>
              </w:rPr>
            </w:pPr>
            <w:r>
              <w:rPr>
                <w:rFonts w:ascii="Arial" w:cs="Arial" w:eastAsia="Arial" w:hAnsi="Arial"/>
                <w:sz w:val="19"/>
                <w:szCs w:val="19"/>
                <w:color w:val="auto"/>
              </w:rPr>
              <w:t>MONTREUX IV ASSOCIATES IV, L.L.C.</w:t>
            </w:r>
          </w:p>
        </w:tc>
      </w:tr>
      <w:tr>
        <w:trPr>
          <w:trHeight w:val="456"/>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r>
        <w:trPr>
          <w:trHeight w:val="443"/>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Issuer: SI-BONE,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64" w:right="120" w:bottom="1440" w:gutter="0" w:footer="0" w:header="0"/>
        </w:sectPr>
      </w:pPr>
    </w:p>
    <w:bookmarkStart w:id="9" w:name="page10"/>
    <w:bookmarkEnd w:id="9"/>
    <w:p>
      <w:pPr>
        <w:jc w:val="right"/>
        <w:ind w:right="3940"/>
        <w:spacing w:after="0"/>
        <w:rPr>
          <w:sz w:val="20"/>
          <w:szCs w:val="20"/>
          <w:color w:val="auto"/>
        </w:rPr>
      </w:pPr>
      <w:r>
        <w:rPr>
          <w:rFonts w:ascii="Arial" w:cs="Arial" w:eastAsia="Arial" w:hAnsi="Arial"/>
          <w:sz w:val="19"/>
          <w:szCs w:val="19"/>
          <w:b w:val="1"/>
          <w:bCs w:val="1"/>
          <w:color w:val="auto"/>
        </w:rPr>
        <w:t>EXHIBIT INDEX</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Exhibit I — Joint Filing Agreement</w:t>
      </w:r>
    </w:p>
    <w:p>
      <w:pPr>
        <w:spacing w:after="0" w:line="238"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07"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EXHIBIT 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Joint Filing Agreement</w:t>
      </w:r>
    </w:p>
    <w:p>
      <w:pPr>
        <w:spacing w:after="0" w:line="244" w:lineRule="exact"/>
        <w:rPr>
          <w:sz w:val="20"/>
          <w:szCs w:val="20"/>
          <w:color w:val="auto"/>
        </w:rPr>
      </w:pPr>
    </w:p>
    <w:p>
      <w:pPr>
        <w:ind w:right="120" w:firstLine="685"/>
        <w:spacing w:after="0" w:line="259" w:lineRule="auto"/>
        <w:rPr>
          <w:sz w:val="20"/>
          <w:szCs w:val="20"/>
          <w:color w:val="auto"/>
        </w:rPr>
      </w:pPr>
      <w:r>
        <w:rPr>
          <w:rFonts w:ascii="Arial" w:cs="Arial" w:eastAsia="Arial" w:hAnsi="Arial"/>
          <w:sz w:val="19"/>
          <w:szCs w:val="19"/>
          <w:color w:val="auto"/>
        </w:rPr>
        <w:t>THIS JOINT FILING AGREEMENT is entered into as of February 14, 2019, by and among the parties signatories hereto. The undersigned hereby agree that the Statement on Schedule 13G with respect to the shares of Common Stock, par value $0.0001 per share, of SI-BONE, Inc. is, and any amendment thereafter signed by each of the undersigned shall be, filed on behalf of each undersigned pursuant to and in accordance with the provisions of Rule 13d-1(k) under the Securities Exchange Act of 1934, as amended.</w:t>
      </w:r>
    </w:p>
    <w:p>
      <w:pPr>
        <w:spacing w:after="0" w:line="200" w:lineRule="exact"/>
        <w:rPr>
          <w:sz w:val="20"/>
          <w:szCs w:val="20"/>
          <w:color w:val="auto"/>
        </w:rPr>
      </w:pPr>
    </w:p>
    <w:p>
      <w:pPr>
        <w:spacing w:after="0" w:line="226"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MONTREUX EQUITY PARTNERS IV, LP</w:t>
      </w:r>
    </w:p>
    <w:p>
      <w:pPr>
        <w:spacing w:after="0" w:line="238"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r>
        <w:trPr>
          <w:trHeight w:val="442"/>
        </w:trPr>
        <w:tc>
          <w:tcPr>
            <w:tcW w:w="5980" w:type="dxa"/>
            <w:vAlign w:val="bottom"/>
            <w:gridSpan w:val="2"/>
          </w:tcPr>
          <w:p>
            <w:pPr>
              <w:spacing w:after="0"/>
              <w:rPr>
                <w:sz w:val="20"/>
                <w:szCs w:val="20"/>
                <w:color w:val="auto"/>
              </w:rPr>
            </w:pPr>
            <w:r>
              <w:rPr>
                <w:rFonts w:ascii="Arial" w:cs="Arial" w:eastAsia="Arial" w:hAnsi="Arial"/>
                <w:sz w:val="19"/>
                <w:szCs w:val="19"/>
                <w:color w:val="auto"/>
              </w:rPr>
              <w:t>MONTREUX IV ASSOCIATES, L.L.C.</w:t>
            </w:r>
          </w:p>
        </w:tc>
      </w:tr>
      <w:tr>
        <w:trPr>
          <w:trHeight w:val="456"/>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r>
        <w:trPr>
          <w:trHeight w:val="442"/>
        </w:trPr>
        <w:tc>
          <w:tcPr>
            <w:tcW w:w="5980" w:type="dxa"/>
            <w:vAlign w:val="bottom"/>
            <w:gridSpan w:val="2"/>
          </w:tcPr>
          <w:p>
            <w:pPr>
              <w:spacing w:after="0"/>
              <w:rPr>
                <w:sz w:val="20"/>
                <w:szCs w:val="20"/>
                <w:color w:val="auto"/>
              </w:rPr>
            </w:pPr>
            <w:r>
              <w:rPr>
                <w:rFonts w:ascii="Arial" w:cs="Arial" w:eastAsia="Arial" w:hAnsi="Arial"/>
                <w:sz w:val="19"/>
                <w:szCs w:val="19"/>
                <w:color w:val="auto"/>
              </w:rPr>
              <w:t>MONTREUX IV ASSOCIATES IV, L.L.C.</w:t>
            </w:r>
          </w:p>
        </w:tc>
      </w:tr>
      <w:tr>
        <w:trPr>
          <w:trHeight w:val="456"/>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Pr>
          <w:p>
            <w:pPr>
              <w:spacing w:after="0"/>
              <w:rPr>
                <w:sz w:val="20"/>
                <w:szCs w:val="20"/>
                <w:color w:val="auto"/>
              </w:rPr>
            </w:pPr>
            <w:r>
              <w:rPr>
                <w:rFonts w:ascii="Arial" w:cs="Arial" w:eastAsia="Arial" w:hAnsi="Arial"/>
                <w:sz w:val="19"/>
                <w:szCs w:val="19"/>
                <w:color w:val="auto"/>
              </w:rPr>
              <w:t>Montreux Equity Management IV, L.L.C., its General Partner</w:t>
            </w:r>
          </w:p>
        </w:tc>
      </w:tr>
      <w:tr>
        <w:trPr>
          <w:trHeight w:val="457"/>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K. Turner, III</w:t>
            </w:r>
          </w:p>
        </w:tc>
      </w:tr>
      <w:tr>
        <w:trPr>
          <w:trHeight w:val="236"/>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Daniel K. Turner, III, Managing Member</w:t>
            </w:r>
          </w:p>
        </w:tc>
      </w:tr>
    </w:tbl>
    <w:p>
      <w:pPr>
        <w:spacing w:after="0" w:line="201"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/s/ Daniel K. Turner,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15240</wp:posOffset>
            </wp:positionV>
            <wp:extent cx="34232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3285" cy="8890"/>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Daniel K. Turner, III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207"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1"/>
    </w:lvl>
    <w:lvl w:ilvl="1">
      <w:lvlJc w:val="left"/>
      <w:lvlText w:val="%2."/>
      <w:numFmt w:val="decimal"/>
      <w:start w:val="9"/>
    </w:lvl>
  </w:abstractNum>
  <w:abstractNum w:abstractNumId="3">
    <w:nsid w:val="12200854"/>
    <w:multiLevelType w:val="hybridMultilevel"/>
    <w:lvl w:ilvl="0">
      <w:lvlJc w:val="left"/>
      <w:lvlText w:val="(%1)"/>
      <w:numFmt w:val="decimal"/>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lvl w:ilvl="1">
      <w:lvlJc w:val="left"/>
      <w:lvlText w:val="(%2)"/>
      <w:numFmt w:val="lowerLetter"/>
      <w:start w:val="1"/>
    </w:lvl>
  </w:abstractNum>
  <w:abstractNum w:abstractNumId="5">
    <w:nsid w:val="216231B"/>
    <w:multiLevelType w:val="hybridMultilevel"/>
    <w:lvl w:ilvl="0">
      <w:lvlJc w:val="left"/>
      <w:lvlText w:val="%1"/>
      <w:numFmt w:val="decimal"/>
      <w:start w:val="1"/>
    </w:lvl>
    <w:lvl w:ilvl="1">
      <w:lvlJc w:val="left"/>
      <w:lvlText w:val="%2."/>
      <w:numFmt w:val="decimal"/>
      <w:start w:val="9"/>
    </w:lvl>
  </w:abstractNum>
  <w:abstractNum w:abstractNumId="6">
    <w:nsid w:val="1F16E9E8"/>
    <w:multiLevelType w:val="hybridMultilevel"/>
    <w:lvl w:ilvl="0">
      <w:lvlJc w:val="left"/>
      <w:lvlText w:val="(%1)"/>
      <w:numFmt w:val="decimal"/>
      <w:start w:val="1"/>
    </w:lvl>
    <w:lvl w:ilvl="1">
      <w:lvlJc w:val="left"/>
      <w:lvlText w:val="%2"/>
      <w:numFmt w:val="decimal"/>
      <w:start w:val="1"/>
    </w:lvl>
  </w:abstractNum>
  <w:abstractNum w:abstractNumId="7">
    <w:nsid w:val="1190CDE7"/>
    <w:multiLevelType w:val="hybridMultilevel"/>
    <w:lvl w:ilvl="0">
      <w:lvlJc w:val="left"/>
      <w:lvlText w:val="%1."/>
      <w:numFmt w:val="decimal"/>
      <w:start w:val="1"/>
    </w:lvl>
    <w:lvl w:ilvl="1">
      <w:lvlJc w:val="left"/>
      <w:lvlText w:val="(%2)"/>
      <w:numFmt w:val="lowerLetter"/>
      <w:start w:val="1"/>
    </w:lvl>
  </w:abstractNum>
  <w:abstractNum w:abstractNumId="8">
    <w:nsid w:val="66EF438D"/>
    <w:multiLevelType w:val="hybridMultilevel"/>
    <w:lvl w:ilvl="0">
      <w:lvlJc w:val="left"/>
      <w:lvlText w:val="%1"/>
      <w:numFmt w:val="decimal"/>
      <w:start w:val="1"/>
    </w:lvl>
    <w:lvl w:ilvl="1">
      <w:lvlJc w:val="left"/>
      <w:lvlText w:val="%2."/>
      <w:numFmt w:val="decimal"/>
      <w:start w:val="9"/>
    </w:lvl>
  </w:abstractNum>
  <w:abstractNum w:abstractNumId="9">
    <w:nsid w:val="140E0F76"/>
    <w:multiLevelType w:val="hybridMultilevel"/>
    <w:lvl w:ilvl="0">
      <w:lvlJc w:val="left"/>
      <w:lvlText w:val="(%1)"/>
      <w:numFmt w:val="decimal"/>
      <w:start w:val="1"/>
    </w:lvl>
    <w:lvl w:ilvl="1">
      <w:lvlJc w:val="left"/>
      <w:lvlText w:val="%2"/>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decimal"/>
      <w:start w:val="9"/>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2019-11-24T23:00:44Z</dcterms:created>
  <dcterms:modified xsi:type="dcterms:W3CDTF">2019-11-24T23:00:44Z</dcterms:modified>
</cp:coreProperties>
</file>