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reported):August 12, 2021</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48"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29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8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4"/>
              </w:rPr>
              <w:t>(Commission</w:t>
            </w:r>
          </w:p>
        </w:tc>
        <w:tc>
          <w:tcPr>
            <w:tcW w:w="1720" w:type="dxa"/>
            <w:vAlign w:val="bottom"/>
          </w:tcPr>
          <w:p>
            <w:pPr>
              <w:jc w:val="center"/>
              <w:ind w:left="41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2340" w:type="dxa"/>
            <w:vAlign w:val="bottom"/>
          </w:tcPr>
          <w:p>
            <w:pPr>
              <w:jc w:val="center"/>
              <w:ind w:right="299"/>
              <w:spacing w:after="0"/>
              <w:rPr>
                <w:sz w:val="20"/>
                <w:szCs w:val="20"/>
                <w:color w:val="auto"/>
              </w:rPr>
            </w:pPr>
            <w:r>
              <w:rPr>
                <w:rFonts w:ascii="Arial" w:cs="Arial" w:eastAsia="Arial" w:hAnsi="Arial"/>
                <w:sz w:val="16"/>
                <w:szCs w:val="16"/>
                <w:color w:val="auto"/>
                <w:w w:val="94"/>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20" w:type="dxa"/>
            <w:vAlign w:val="bottom"/>
          </w:tcPr>
          <w:p>
            <w:pPr>
              <w:jc w:val="center"/>
              <w:ind w:left="419"/>
              <w:spacing w:after="0"/>
              <w:rPr>
                <w:sz w:val="20"/>
                <w:szCs w:val="20"/>
                <w:color w:val="auto"/>
              </w:rPr>
            </w:pPr>
            <w:r>
              <w:rPr>
                <w:rFonts w:ascii="Arial" w:cs="Arial" w:eastAsia="Arial" w:hAnsi="Arial"/>
                <w:sz w:val="16"/>
                <w:szCs w:val="16"/>
                <w:color w:val="auto"/>
                <w:w w:val="97"/>
              </w:rPr>
              <w:t>Identification No.)</w:t>
            </w:r>
          </w:p>
        </w:tc>
      </w:tr>
      <w:tr>
        <w:trPr>
          <w:trHeight w:val="519"/>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193"/>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6"/>
                <w:szCs w:val="16"/>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ind w:left="860"/>
              <w:spacing w:after="0"/>
              <w:rPr>
                <w:sz w:val="20"/>
                <w:szCs w:val="20"/>
                <w:color w:val="auto"/>
              </w:rPr>
            </w:pPr>
            <w:r>
              <w:rPr>
                <w:rFonts w:ascii="Arial" w:cs="Arial" w:eastAsia="Arial" w:hAnsi="Arial"/>
                <w:sz w:val="16"/>
                <w:szCs w:val="16"/>
                <w:color w:val="auto"/>
              </w:rPr>
              <w:t>(Address of principal executive offices) (Zip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3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1300480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12, 2021, SI-BONE,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entered into a Loan and Security Agreement (the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with Silicon Valley Bank., a California corporation (“</w:t>
      </w:r>
      <w:r>
        <w:rPr>
          <w:rFonts w:ascii="Arial" w:cs="Arial" w:eastAsia="Arial" w:hAnsi="Arial"/>
          <w:sz w:val="18"/>
          <w:szCs w:val="18"/>
          <w:b w:val="1"/>
          <w:bCs w:val="1"/>
          <w:i w:val="1"/>
          <w:iCs w:val="1"/>
          <w:color w:val="auto"/>
        </w:rPr>
        <w:t>SVB</w:t>
      </w:r>
      <w:r>
        <w:rPr>
          <w:rFonts w:ascii="Arial" w:cs="Arial" w:eastAsia="Arial" w:hAnsi="Arial"/>
          <w:sz w:val="18"/>
          <w:szCs w:val="18"/>
          <w:color w:val="auto"/>
        </w:rPr>
        <w: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entry into the Loan Agreement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the Company borrowed $35.0 million pursuant to a term loan (the “</w:t>
      </w:r>
      <w:r>
        <w:rPr>
          <w:rFonts w:ascii="Arial" w:cs="Arial" w:eastAsia="Arial" w:hAnsi="Arial"/>
          <w:sz w:val="18"/>
          <w:szCs w:val="18"/>
          <w:b w:val="1"/>
          <w:bCs w:val="1"/>
          <w:i w:val="1"/>
          <w:iCs w:val="1"/>
          <w:color w:val="auto"/>
        </w:rPr>
        <w:t>SVB Term Loan</w:t>
      </w:r>
      <w:r>
        <w:rPr>
          <w:rFonts w:ascii="Arial" w:cs="Arial" w:eastAsia="Arial" w:hAnsi="Arial"/>
          <w:sz w:val="18"/>
          <w:szCs w:val="18"/>
          <w:color w:val="auto"/>
        </w:rPr>
        <w:t>”). The Company used the proceeds of the SVB Term Loan to repay in full and terminate the Company’s existing credit facility with Solar Capital Ltd. as collateral agent (the “</w:t>
      </w:r>
      <w:r>
        <w:rPr>
          <w:rFonts w:ascii="Arial" w:cs="Arial" w:eastAsia="Arial" w:hAnsi="Arial"/>
          <w:sz w:val="18"/>
          <w:szCs w:val="18"/>
          <w:b w:val="1"/>
          <w:bCs w:val="1"/>
          <w:i w:val="1"/>
          <w:iCs w:val="1"/>
          <w:color w:val="auto"/>
        </w:rPr>
        <w:t>Solar Term Loan</w:t>
      </w:r>
      <w:r>
        <w:rPr>
          <w:rFonts w:ascii="Arial" w:cs="Arial" w:eastAsia="Arial" w:hAnsi="Arial"/>
          <w:sz w:val="18"/>
          <w:szCs w:val="18"/>
          <w:color w:val="auto"/>
        </w:rPr>
        <w:t>”).</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SVB Term Loan matures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on either (a) August 1, 2025 or (b) August 1, 2026 dependent on the Company’s achievement of a certain financial performance milestone as of December 31, 2022, as set forth in the Loan Agreement. Interest on the SVB Term Loan will be payable monthly at an annual rate set at the greater of (a) 5.75% and (b) prime rate as published in the Wall Street Journal plus 2.5%. Commencing on September 1, 2023, the Company will be required to make monthly principal amortization payments.</w:t>
      </w:r>
    </w:p>
    <w:p>
      <w:pPr>
        <w:spacing w:after="0" w:line="202"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The Company may elect to prepay the SVB Term Loan prior to the Maturity Date subject to a prepayment fee equal to 1% if the prepayment occurs prior to the second anniversary of the Effective Date and 0% if the prepayment occurs on or at any time after the second anniversary of the Effective Date.</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SVB Term Loan is secured by substantially all the Company's assets other than the Company's intellectual property. The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contains customary events of default, including bankruptcy, the failure to make payments when due, the occurrence of a material impairment on SVB's security interest over the collateral, a material adverse change, the occurrence of a default under certain other indebtedness of the Company and its subsidiaries, the rendering of certain types of judgments against the Company and its subsidiaries, the revocation of certain government approvals, violation of covenants, and incorrectness of representations and warranties in any material respect.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43"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Simultaneously with the Company’s entry into the Loan Agreement, on August 12, 2021, the Company prepaid in full all outstanding obligations under, and terminated, the Solar Term Loan, made pursuant to the Loan Agreement, dated May 29, 2020, between SI-BONE and Solar Capital Ltd. as collateral agent (the “</w:t>
      </w:r>
      <w:r>
        <w:rPr>
          <w:rFonts w:ascii="Arial" w:cs="Arial" w:eastAsia="Arial" w:hAnsi="Arial"/>
          <w:sz w:val="17"/>
          <w:szCs w:val="17"/>
          <w:b w:val="1"/>
          <w:bCs w:val="1"/>
          <w:i w:val="1"/>
          <w:iCs w:val="1"/>
          <w:color w:val="auto"/>
        </w:rPr>
        <w:t>Solar Agreement</w:t>
      </w:r>
      <w:r>
        <w:rPr>
          <w:rFonts w:ascii="Arial" w:cs="Arial" w:eastAsia="Arial" w:hAnsi="Arial"/>
          <w:sz w:val="17"/>
          <w:szCs w:val="17"/>
          <w:color w:val="auto"/>
        </w:rPr>
        <w:t>”). For a further description of the Solar Term Loan, see the Company’s Annual Report on Form 10-K for the year ended December 31, 2020 under the caption Item 7. Management’s Discussion and Analysis of Financial Condition and Results of Operations – Liquidity and Capital Resources – Term Loan". In connection with this prepayment, the Company paid total consideration of approximately $41.7 million, which consisted of (i) $41.0 million of remaining principal amount outstanding and final fee, (ii) approximately $0.1 million of accrued and unpaid interest, and (iii) approximately $0.6 million in prepayment fees and transaction expenses.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is incorporated by reference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860" w:type="dxa"/>
            <w:vAlign w:val="bottom"/>
            <w:gridSpan w:val="2"/>
          </w:tcPr>
          <w:p>
            <w:pPr>
              <w:ind w:left="132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740" w:type="dxa"/>
            <w:vAlign w:val="bottom"/>
          </w:tcPr>
          <w:p>
            <w:pPr>
              <w:ind w:left="200"/>
              <w:spacing w:after="0"/>
              <w:rPr>
                <w:sz w:val="20"/>
                <w:szCs w:val="20"/>
                <w:color w:val="auto"/>
              </w:rPr>
            </w:pPr>
            <w:r>
              <w:rPr>
                <w:rFonts w:ascii="Arial" w:cs="Arial" w:eastAsia="Arial" w:hAnsi="Arial"/>
                <w:sz w:val="18"/>
                <w:szCs w:val="18"/>
                <w:color w:val="auto"/>
              </w:rPr>
              <w:t>August 13, 2021</w:t>
            </w:r>
          </w:p>
        </w:tc>
        <w:tc>
          <w:tcPr>
            <w:tcW w:w="2040" w:type="dxa"/>
            <w:vAlign w:val="bottom"/>
          </w:tcPr>
          <w:p>
            <w:pPr>
              <w:ind w:left="132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4"/>
        </w:trPr>
        <w:tc>
          <w:tcPr>
            <w:tcW w:w="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Anshul Maheshwari</w:t>
            </w:r>
          </w:p>
        </w:tc>
      </w:tr>
    </w:tbl>
    <w:p>
      <w:pPr>
        <w:ind w:left="54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2021-08-13T15:25:48Z</dcterms:created>
  <dcterms:modified xsi:type="dcterms:W3CDTF">2021-08-13T15:25:48Z</dcterms:modified>
</cp:coreProperties>
</file>