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 xml:space="preserve">For the quarterly period ended </w:t>
      </w:r>
      <w:r>
        <w:rPr>
          <w:rFonts w:ascii="Times New Roman;serif" w:hAnsi="Times New Roman;serif"/>
          <w:b w:val="false"/>
          <w:color w:val="000000"/>
          <w:sz w:val="20"/>
        </w:rPr>
        <w:t>September 30, 2025</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SI-BONE, INC. </w:t>
      </w:r>
    </w:p>
    <w:p>
      <w:pPr>
        <w:pStyle w:val="TextBody"/>
        <w:bidi w:val="0"/>
        <w:spacing w:lineRule="auto" w:line="288" w:before="0" w:after="6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60" w:after="283"/>
        <w:jc w:val="center"/>
        <w:rPr/>
      </w:pPr>
      <w:r>
        <w:rPr>
          <w:color w:val="000000"/>
        </w:rPr>
        <w:t> </w:t>
      </w:r>
      <w:r>
        <w:rPr>
          <w:rFonts w:ascii="Times New Roman;serif" w:hAnsi="Times New Roman;serif"/>
          <w:b/>
          <w:color w:val="000000"/>
          <w:sz w:val="16"/>
        </w:rPr>
        <w:t>Registrant's telephone number, including area code</w:t>
      </w:r>
      <w:r>
        <w:rPr>
          <w:rFonts w:ascii="Times New Roman;serif" w:hAnsi="Times New Roman;serif"/>
          <w:b w:val="false"/>
          <w:color w:val="000000"/>
          <w:sz w:val="16"/>
        </w:rPr>
        <w:t xml:space="preserve">: </w:t>
      </w:r>
      <w:r>
        <w:rPr>
          <w:rFonts w:ascii="Times New Roman;serif" w:hAnsi="Times New Roman;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outstanding of the registrant’s Common Stock was 43,391,254 as of November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3">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3">
              <w:r>
                <w:rPr>
                  <w:rStyle w:val="InternetLink"/>
                  <w:rFonts w:ascii="Times New Roman;serif" w:hAnsi="Times New Roman;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3">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6">
              <w:r>
                <w:rPr>
                  <w:rStyle w:val="InternetLink"/>
                  <w:rFonts w:ascii="Times New Roman;serif" w:hAnsi="Times New Roman;serif"/>
                  <w:b w:val="false"/>
                  <w:color w:val="0000FF"/>
                  <w:sz w:val="20"/>
                  <w:u w:val="single"/>
                </w:rPr>
                <w:t>Condensed Consolidated Balance Sheets</w:t>
              </w:r>
            </w:hyperlink>
            <w:r>
              <w:rPr>
                <w:color w:val="000000"/>
              </w:rPr>
              <w:t xml:space="preserve"> </w:t>
            </w:r>
            <w:hyperlink w:anchor="i0e9b3b017d194cd4a3c3219e8d5f598a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6">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0e9b3b017d194cd4a3c3219e8d5f598a_19">
              <w:r>
                <w:rPr>
                  <w:rStyle w:val="InternetLink"/>
                  <w:rFonts w:ascii="Times New Roman;serif" w:hAnsi="Times New Roman;serif"/>
                  <w:b w:val="false"/>
                  <w:color w:val="0000FF"/>
                  <w:sz w:val="20"/>
                  <w:u w:val="single"/>
                </w:rPr>
                <w:t>Condensed Consolidated Statements of Operations and Comprehensive Loss</w:t>
              </w:r>
            </w:hyperlink>
            <w:r>
              <w:rPr>
                <w:color w:val="000000"/>
              </w:rPr>
              <w:t xml:space="preserve"> </w:t>
            </w:r>
            <w:hyperlink w:anchor="i0e9b3b017d194cd4a3c3219e8d5f598a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9">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22">
              <w:r>
                <w:rPr>
                  <w:rStyle w:val="InternetLink"/>
                  <w:rFonts w:ascii="Times New Roman;serif" w:hAnsi="Times New Roman;serif"/>
                  <w:b w:val="false"/>
                  <w:color w:val="0000FF"/>
                  <w:sz w:val="20"/>
                  <w:u w:val="single"/>
                </w:rPr>
                <w:t>Condensed Consolidated Statements of Changes in Stockholders' Equity</w:t>
              </w:r>
            </w:hyperlink>
            <w:r>
              <w:rPr>
                <w:color w:val="000000"/>
              </w:rPr>
              <w:t xml:space="preserve"> </w:t>
            </w:r>
            <w:hyperlink w:anchor="i0e9b3b017d194cd4a3c3219e8d5f598a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22">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25">
              <w:r>
                <w:rPr>
                  <w:rStyle w:val="InternetLink"/>
                  <w:rFonts w:ascii="Times New Roman;serif" w:hAnsi="Times New Roman;serif"/>
                  <w:b w:val="false"/>
                  <w:color w:val="0000FF"/>
                  <w:sz w:val="20"/>
                  <w:u w:val="single"/>
                </w:rPr>
                <w:t>Condensed Consolidated Statements of Cash Flows</w:t>
              </w:r>
            </w:hyperlink>
            <w:r>
              <w:rPr>
                <w:color w:val="000000"/>
              </w:rPr>
              <w:t xml:space="preserve"> </w:t>
            </w:r>
            <w:hyperlink w:anchor="i0e9b3b017d194cd4a3c3219e8d5f598a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25">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28">
              <w:r>
                <w:rPr>
                  <w:rStyle w:val="InternetLink"/>
                  <w:rFonts w:ascii="Times New Roman;serif" w:hAnsi="Times New Roman;serif"/>
                  <w:b w:val="false"/>
                  <w:color w:val="0000FF"/>
                  <w:sz w:val="20"/>
                  <w:u w:val="single"/>
                </w:rPr>
                <w:t>Notes to Condensed Consolidated Financial Statements</w:t>
              </w:r>
            </w:hyperlink>
            <w:r>
              <w:rPr>
                <w:color w:val="000000"/>
              </w:rPr>
              <w:t xml:space="preserve"> </w:t>
            </w:r>
            <w:hyperlink w:anchor="i0e9b3b017d194cd4a3c3219e8d5f598a_13">
              <w:r>
                <w:rPr>
                  <w:rStyle w:val="InternetLink"/>
                  <w:rFonts w:ascii="Times New Roman;serif" w:hAnsi="Times New Roman;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28">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67">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67">
              <w:r>
                <w:rPr>
                  <w:rStyle w:val="InternetLink"/>
                  <w:rFonts w:ascii="Times New Roman;serif" w:hAnsi="Times New Roman;serif"/>
                  <w:b w:val="false"/>
                  <w:color w:val="0000FF"/>
                  <w:sz w:val="20"/>
                  <w:u w:val="single"/>
                </w:rPr>
                <w:t>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0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0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03">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0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0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06">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2">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2">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12">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5">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15">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8">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1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18">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1">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1">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21">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4">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4">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24">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7">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2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27">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36">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36">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36">
              <w:r>
                <w:rPr>
                  <w:rStyle w:val="InternetLink"/>
                  <w:rFonts w:ascii="Times New Roman;serif" w:hAnsi="Times New Roman;serif"/>
                  <w:b w:val="false"/>
                  <w:color w:val="0000FF"/>
                  <w:sz w:val="20"/>
                  <w:u w:val="single"/>
                </w:rPr>
                <w:t>40</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e9b3b017d194cd4a3c3219e8d5f598a_139">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9b3b017d194cd4a3c3219e8d5f598a_139">
              <w:r>
                <w:rPr>
                  <w:rStyle w:val="InternetLink"/>
                  <w:rFonts w:ascii="Times New Roman;serif" w:hAnsi="Times New Roman;serif"/>
                  <w:b w:val="false"/>
                  <w:color w:val="0000FF"/>
                  <w:sz w:val="20"/>
                  <w:u w:val="single"/>
                </w:rPr>
                <w:t>42</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government shutdown,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expectation that a significant portion of our revenue will be derived from sales of similar products addressing the sacropelvic anatomy;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retain and grow our sales team, including our third-party sales agents, based on the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and results from our clinical trials and other studies;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of the benefits of our products to patients, providers, and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proposed tariffs on our business, including the impact on gross margins related to our international product sales and the impact of resulting economic uncertainty on demand for our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our ability to retain and recruit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attract and retain employees, including those with specialized skills and experience;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Factors that may cause actual results to differ materially from current expectations include, among other things, those listed under “Risk Factors”</w:t>
      </w:r>
      <w:r>
        <w:rPr>
          <w:color w:val="000000"/>
        </w:rPr>
        <w:t xml:space="preserve"> </w:t>
      </w:r>
      <w:r>
        <w:rPr>
          <w:rFonts w:ascii="Times New Roman;serif" w:hAnsi="Times New Roman;serif"/>
          <w:b w:val="false"/>
          <w:color w:val="000000"/>
          <w:sz w:val="20"/>
        </w:rPr>
        <w:t>in our Annual Report on Form 10-K for the year ended December 31, 2024,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76"/>
        <w:gridCol w:w="2183"/>
        <w:gridCol w:w="2106"/>
        <w:gridCol w:w="257"/>
        <w:gridCol w:w="1009"/>
        <w:gridCol w:w="132"/>
        <w:gridCol w:w="109"/>
        <w:gridCol w:w="109"/>
        <w:gridCol w:w="109"/>
        <w:gridCol w:w="249"/>
        <w:gridCol w:w="979"/>
        <w:gridCol w:w="187"/>
      </w:tblGrid>
      <w:tr>
        <w:trPr/>
        <w:tc>
          <w:tcPr>
            <w:tcW w:w="277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$985 and $588, respectively</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234,273 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 shares issued and outstanding</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 shares authorized; 43,273,382 and 42,086,477 shares issued and outstanding, respectively</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234,273 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28"/>
        <w:gridCol w:w="1042"/>
        <w:gridCol w:w="964"/>
        <w:gridCol w:w="244"/>
        <w:gridCol w:w="837"/>
        <w:gridCol w:w="109"/>
        <w:gridCol w:w="109"/>
        <w:gridCol w:w="109"/>
        <w:gridCol w:w="109"/>
        <w:gridCol w:w="244"/>
        <w:gridCol w:w="837"/>
        <w:gridCol w:w="109"/>
        <w:gridCol w:w="109"/>
        <w:gridCol w:w="109"/>
        <w:gridCol w:w="109"/>
        <w:gridCol w:w="109"/>
        <w:gridCol w:w="109"/>
        <w:gridCol w:w="145"/>
        <w:gridCol w:w="145"/>
        <w:gridCol w:w="312"/>
        <w:gridCol w:w="1105"/>
        <w:gridCol w:w="145"/>
        <w:gridCol w:w="109"/>
        <w:gridCol w:w="109"/>
        <w:gridCol w:w="109"/>
        <w:gridCol w:w="219"/>
        <w:gridCol w:w="862"/>
        <w:gridCol w:w="159"/>
      </w:tblGrid>
      <w:tr>
        <w:trPr/>
        <w:tc>
          <w:tcPr>
            <w:tcW w:w="152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67" w:type="dxa"/>
            <w:gridSpan w:val="6"/>
            <w:tcBorders/>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43,188,524 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41,717,505 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42,775,206 </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41,324,614 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841"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75"/>
        <w:gridCol w:w="856"/>
        <w:gridCol w:w="195"/>
        <w:gridCol w:w="203"/>
        <w:gridCol w:w="203"/>
        <w:gridCol w:w="109"/>
        <w:gridCol w:w="211"/>
        <w:gridCol w:w="896"/>
        <w:gridCol w:w="109"/>
        <w:gridCol w:w="109"/>
        <w:gridCol w:w="109"/>
        <w:gridCol w:w="109"/>
        <w:gridCol w:w="229"/>
        <w:gridCol w:w="913"/>
        <w:gridCol w:w="119"/>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42,086,477 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42,479,600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167,264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43,014,093</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170,343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43,273,382</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619,964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772</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172,126</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435"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26"/>
        <w:gridCol w:w="109"/>
        <w:gridCol w:w="109"/>
        <w:gridCol w:w="109"/>
        <w:gridCol w:w="278"/>
        <w:gridCol w:w="358"/>
        <w:gridCol w:w="145"/>
        <w:gridCol w:w="109"/>
        <w:gridCol w:w="109"/>
        <w:gridCol w:w="109"/>
        <w:gridCol w:w="211"/>
        <w:gridCol w:w="841"/>
        <w:gridCol w:w="109"/>
        <w:gridCol w:w="109"/>
        <w:gridCol w:w="109"/>
        <w:gridCol w:w="109"/>
        <w:gridCol w:w="375"/>
        <w:gridCol w:w="856"/>
        <w:gridCol w:w="195"/>
        <w:gridCol w:w="109"/>
        <w:gridCol w:w="109"/>
        <w:gridCol w:w="109"/>
        <w:gridCol w:w="211"/>
        <w:gridCol w:w="896"/>
        <w:gridCol w:w="109"/>
        <w:gridCol w:w="109"/>
        <w:gridCol w:w="109"/>
        <w:gridCol w:w="109"/>
        <w:gridCol w:w="228"/>
        <w:gridCol w:w="910"/>
        <w:gridCol w:w="168"/>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Paid-in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 xml:space="preserve">Comprehensive </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40" w:after="40"/>
              <w:jc w:val="center"/>
              <w:rPr>
                <w:rFonts w:ascii="Times New Roman;serif" w:hAnsi="Times New Roman;serif"/>
                <w:b/>
                <w:color w:val="000000"/>
                <w:sz w:val="20"/>
              </w:rPr>
            </w:pPr>
            <w:r>
              <w:rPr>
                <w:rFonts w:ascii="Times New Roman;serif" w:hAnsi="Times New Roman;serif"/>
                <w:b/>
                <w:color w:val="000000"/>
                <w:sz w:val="20"/>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40,693,299 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41,078,762</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(411,345)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165,537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41,510,811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(420,284)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164,733</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41,790,410</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591,247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164,974</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SI-BONE,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109" w:type="dxa"/>
        <w:jc w:val="left"/>
        <w:tblInd w:w="0" w:type="dxa"/>
        <w:tblLayout w:type="fixed"/>
        <w:tblCellMar>
          <w:top w:w="28" w:type="dxa"/>
          <w:left w:w="28" w:type="dxa"/>
          <w:bottom w:w="28" w:type="dxa"/>
          <w:right w:w="28" w:type="dxa"/>
        </w:tblCellMar>
      </w:tblPr>
      <w:tblGrid>
        <w:gridCol w:w="2061"/>
        <w:gridCol w:w="1808"/>
        <w:gridCol w:w="1816"/>
        <w:gridCol w:w="196"/>
        <w:gridCol w:w="721"/>
        <w:gridCol w:w="109"/>
        <w:gridCol w:w="109"/>
        <w:gridCol w:w="109"/>
        <w:gridCol w:w="109"/>
        <w:gridCol w:w="196"/>
        <w:gridCol w:w="721"/>
        <w:gridCol w:w="154"/>
      </w:tblGrid>
      <w:tr>
        <w:trPr/>
        <w:tc>
          <w:tcPr>
            <w:tcW w:w="206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and premium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reserve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the exercise of stock options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and cash equivalents at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Supplemental disclosure of non-cash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Unpaid purchases of property and equipment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The Company and Nature of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Company’s products include a series of patented titanium implants and the instruments used to implant them, as well as implantable bone products. Since launching its first generation iFuse in 2009, the Company has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In Europe, iFuse, iFuse-3D and iFuse TORQ are approved for applications in sacroiliac fusion, adult spinal deformity and pelvic fracture fixation.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2024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2025 are not necessarily indicative of the results to be expected for the year ending December 31, 2025 or for any other interim period or for any other future year.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should be read in conjunction with the audited financial statements and related notes thereto for the year ended December 31, 2024 contained in the Company’s Annual Report on Form 10-K filed with the SEC on February 25, 2025 (the “2024 Annual Report”).</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disclosed in the 2024 Annual Report. There have been no material changes to these accounting policies.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administrative at the consolidated level. Other segment items within net loss include interest income, interest expense, and other income (expense), 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Substantially all of the segment revenue is derived from sales to customers in the U.S. Description of segment products are included in </w:t>
      </w:r>
      <w:hyperlink w:anchor="i0e9b3b017d194cd4a3c3219e8d5f598a_31">
        <w:r>
          <w:rPr>
            <w:rStyle w:val="InternetLink"/>
            <w:rFonts w:ascii="Times New Roman;serif" w:hAnsi="Times New Roman;serif"/>
            <w:b w:val="false"/>
            <w:strike w:val="false"/>
            <w:dstrike w:val="false"/>
            <w:color w:val="000000"/>
            <w:sz w:val="20"/>
            <w:u w:val="none"/>
            <w:effect w:val="none"/>
          </w:rPr>
          <w:t>Note 1. The Company and Nature of Business</w:t>
        </w:r>
      </w:hyperlink>
      <w:r>
        <w:rPr>
          <w:rFonts w:ascii="Times New Roman;serif" w:hAnsi="Times New Roman;serif"/>
          <w:b w:val="false"/>
          <w:color w:val="000000"/>
          <w:sz w:val="20"/>
        </w:rPr>
        <w:t>.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tbl>
      <w:tblPr>
        <w:tblW w:w="8851" w:type="dxa"/>
        <w:jc w:val="left"/>
        <w:tblInd w:w="0" w:type="dxa"/>
        <w:tblLayout w:type="fixed"/>
        <w:tblCellMar>
          <w:top w:w="28" w:type="dxa"/>
          <w:left w:w="28" w:type="dxa"/>
          <w:bottom w:w="28" w:type="dxa"/>
          <w:right w:w="28" w:type="dxa"/>
        </w:tblCellMar>
      </w:tblPr>
      <w:tblGrid>
        <w:gridCol w:w="435"/>
        <w:gridCol w:w="381"/>
        <w:gridCol w:w="383"/>
        <w:gridCol w:w="253"/>
        <w:gridCol w:w="866"/>
        <w:gridCol w:w="131"/>
        <w:gridCol w:w="131"/>
        <w:gridCol w:w="131"/>
        <w:gridCol w:w="131"/>
        <w:gridCol w:w="253"/>
        <w:gridCol w:w="866"/>
        <w:gridCol w:w="131"/>
        <w:gridCol w:w="109"/>
        <w:gridCol w:w="109"/>
        <w:gridCol w:w="109"/>
        <w:gridCol w:w="109"/>
        <w:gridCol w:w="224"/>
        <w:gridCol w:w="224"/>
        <w:gridCol w:w="434"/>
        <w:gridCol w:w="1699"/>
        <w:gridCol w:w="224"/>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875" w:type="dxa"/>
            <w:gridSpan w:val="9"/>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impacts of ASU 2023-09 on its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2025-05, Financial Instruments - Credit Loss (Topic 326) - Measurement of Credit Losses for Account Receivable and Contract Assets (“ASU 2025-05”). ASU 2025-05 addresses the measurement of credit losses for accounts receivable and contract assets. This update introduces a practical expedient that allows entities to assume that current conditions will remain unchanged until the maturity of the asset, simplifying the estimation of expected credit losses. ASU 2025-05 is effective for annual reporting periods beginning after December 15, 2025, and for interim periods thereafter, requiring prospective application to estimates of expected credit losses post-adoption. The Company is currently evaluating the impact of ASU 2025-05 on its financial statements and disclosures.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Goodwill and Other-Internal-Use Software (Subtopic 350-40) - Targeted Improvements to the Accounting for Internal-Use Software (“ASU 2025-06”). ASU 2025-06 makes targeted improvements to the accounting for internal-use software. ASU 2025-06 is effective for fiscal years beginning after December 15, 2027 and for interim periods within fiscal years beginning after December 15, 2027. The Company is currently evaluating the impact of ASU 2024-03 on its accounting for internal developed software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September 30, 2025 and December 31, 2024,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September 30, 2025 and December 31,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elected to present accrued interest receivable separately from short-term investments on its condensed consolidated balance sheets. Accrued interest receivable were $0.5 million and $0.3 million as of September 30, 2025 and December 31, 2024, respectively,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nine months ended September 30, 2025 or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fair value of the Company’s marketable securities measured at fair value on a recurring basis based on the three-tier fair value hierarchy:</w:t>
      </w:r>
    </w:p>
    <w:tbl>
      <w:tblPr>
        <w:tblW w:w="7289"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inventory consisted of finished goods of $31.2 million and work-in-progress and components of $4.5 million. As of December 31, 2024, inventory consisted of finished goods of $24.0 million and work-in-progress and components of $3.1 million.</w:t>
      </w:r>
    </w:p>
    <w:p>
      <w:pPr>
        <w:pStyle w:val="TextBody"/>
        <w:bidi w:val="0"/>
        <w:spacing w:lineRule="auto" w:line="288" w:before="120" w:after="283"/>
        <w:ind w:left="0" w:right="0" w:firstLine="540"/>
        <w:jc w:val="left"/>
        <w:rPr/>
      </w:pPr>
      <w:r>
        <w:rPr>
          <w:rFonts w:ascii="Times New Roman;serif" w:hAnsi="Times New Roman;serif"/>
          <w:b/>
          <w:i/>
          <w:color w:val="000000"/>
          <w:sz w:val="20"/>
        </w:rPr>
        <w:t>Property and Equipment, net:</w:t>
      </w:r>
      <w:r>
        <w:rPr>
          <w:color w:val="000000"/>
        </w:rPr>
        <w:t>    </w:t>
      </w:r>
    </w:p>
    <w:tbl>
      <w:tblPr>
        <w:tblW w:w="7677" w:type="dxa"/>
        <w:jc w:val="left"/>
        <w:tblInd w:w="0" w:type="dxa"/>
        <w:tblLayout w:type="fixed"/>
        <w:tblCellMar>
          <w:top w:w="28" w:type="dxa"/>
          <w:left w:w="28" w:type="dxa"/>
          <w:bottom w:w="28" w:type="dxa"/>
          <w:right w:w="28" w:type="dxa"/>
        </w:tblCellMar>
      </w:tblPr>
      <w:tblGrid>
        <w:gridCol w:w="1504"/>
        <w:gridCol w:w="1321"/>
        <w:gridCol w:w="1330"/>
        <w:gridCol w:w="325"/>
        <w:gridCol w:w="1112"/>
        <w:gridCol w:w="168"/>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 trays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construction in progress pertains to the cost of individual components of an instrument tray used for surgical placement of the Company's products that have not yet been placed into service of $6.3 million and software costs of $0.3 million. 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$1.5 million and $1.1 million for the three months ended September 30, 2025 and 2024, respectively. Depreciation expense was $4.1 million and $3.2 million for the nine months ended September 30, 2025 and 2024, respectively.</w:t>
      </w:r>
    </w:p>
    <w:p>
      <w:pPr>
        <w:pStyle w:val="TextBody"/>
        <w:bidi w:val="0"/>
        <w:spacing w:lineRule="auto" w:line="288" w:before="120" w:after="283"/>
        <w:ind w:left="0" w:right="0" w:firstLine="540"/>
        <w:jc w:val="left"/>
        <w:rPr/>
      </w:pPr>
      <w:r>
        <w:rPr>
          <w:rFonts w:ascii="Times New Roman;serif" w:hAnsi="Times New Roman;serif"/>
          <w:b/>
          <w:i/>
          <w:color w:val="000000"/>
          <w:sz w:val="20"/>
        </w:rPr>
        <w:t>Accrued Liabilities and Other</w:t>
      </w:r>
      <w:r>
        <w:rPr>
          <w:rFonts w:ascii="Times New Roman;serif" w:hAnsi="Times New Roman;serif"/>
          <w:b w:val="false"/>
          <w:color w:val="000000"/>
          <w:sz w:val="20"/>
        </w:rPr>
        <w:t>:</w:t>
      </w:r>
    </w:p>
    <w:tbl>
      <w:tblPr>
        <w:tblW w:w="7227" w:type="dxa"/>
        <w:jc w:val="left"/>
        <w:tblInd w:w="0" w:type="dxa"/>
        <w:tblLayout w:type="fixed"/>
        <w:tblCellMar>
          <w:top w:w="28" w:type="dxa"/>
          <w:left w:w="28" w:type="dxa"/>
          <w:bottom w:w="28" w:type="dxa"/>
          <w:right w:w="28" w:type="dxa"/>
        </w:tblCellMar>
      </w:tblPr>
      <w:tblGrid>
        <w:gridCol w:w="1343"/>
        <w:gridCol w:w="1178"/>
        <w:gridCol w:w="1184"/>
        <w:gridCol w:w="325"/>
        <w:gridCol w:w="1112"/>
        <w:gridCol w:w="168"/>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erif" w:hAnsi="Times New Roman;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Accrued professional services </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movement in the allowance for credit losses was as follows:</w:t>
      </w:r>
    </w:p>
    <w:tbl>
      <w:tblPr>
        <w:tblW w:w="6160" w:type="dxa"/>
        <w:jc w:val="left"/>
        <w:tblInd w:w="0" w:type="dxa"/>
        <w:tblLayout w:type="fixed"/>
        <w:tblCellMar>
          <w:top w:w="28" w:type="dxa"/>
          <w:left w:w="28" w:type="dxa"/>
          <w:bottom w:w="28" w:type="dxa"/>
          <w:right w:w="28" w:type="dxa"/>
        </w:tblCellMar>
      </w:tblPr>
      <w:tblGrid>
        <w:gridCol w:w="956"/>
        <w:gridCol w:w="840"/>
        <w:gridCol w:w="843"/>
        <w:gridCol w:w="429"/>
        <w:gridCol w:w="950"/>
        <w:gridCol w:w="225"/>
        <w:gridCol w:w="109"/>
        <w:gridCol w:w="109"/>
        <w:gridCol w:w="109"/>
        <w:gridCol w:w="342"/>
        <w:gridCol w:w="999"/>
        <w:gridCol w:w="24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July 31, 2026.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non-cancelable leases for a building used for research and development and warehouse space in Santa Clara, California which expires in October 2026, and office building space in Gallarate, Italy which expires in August 2027.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vehicles under operating lease arrangements for certain of its personnel in Europe which expire at various times throughout 2025 to 2028. </w:t>
      </w:r>
    </w:p>
    <w:p>
      <w:pPr>
        <w:pStyle w:val="TextBody"/>
        <w:bidi w:val="0"/>
        <w:spacing w:lineRule="auto" w:line="288" w:before="180" w:after="283"/>
        <w:ind w:left="0" w:right="0" w:firstLine="495"/>
        <w:jc w:val="both"/>
        <w:rPr/>
      </w:pPr>
      <w:r>
        <w:rPr>
          <w:rFonts w:ascii="Times New Roman;serif" w:hAnsi="Times New Roman;serif"/>
          <w:b w:val="false"/>
          <w:color w:val="000000"/>
          <w:sz w:val="20"/>
          <w:shd w:fill="FFFFFF" w:val="clear"/>
        </w:rPr>
        <w:t>Supplemental information related to lease expense and valuation of the lease assets and lease liabilit</w:t>
      </w:r>
      <w:r>
        <w:rPr>
          <w:rFonts w:ascii="Times New Roman;serif" w:hAnsi="Times New Roman;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7"/>
        <w:gridCol w:w="1302"/>
        <w:gridCol w:w="1310"/>
        <w:gridCol w:w="665"/>
        <w:gridCol w:w="344"/>
        <w:gridCol w:w="295"/>
        <w:gridCol w:w="196"/>
        <w:gridCol w:w="196"/>
        <w:gridCol w:w="196"/>
        <w:gridCol w:w="622"/>
        <w:gridCol w:w="336"/>
        <w:gridCol w:w="286"/>
        <w:gridCol w:w="109"/>
        <w:gridCol w:w="109"/>
        <w:gridCol w:w="109"/>
        <w:gridCol w:w="381"/>
        <w:gridCol w:w="341"/>
        <w:gridCol w:w="242"/>
        <w:gridCol w:w="188"/>
        <w:gridCol w:w="188"/>
        <w:gridCol w:w="188"/>
        <w:gridCol w:w="381"/>
        <w:gridCol w:w="255"/>
        <w:gridCol w:w="369"/>
      </w:tblGrid>
      <w:tr>
        <w:trPr/>
        <w:tc>
          <w:tcPr>
            <w:tcW w:w="159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6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September 30, 2025 was as follows: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no operating lease liabilities that had not commenced.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Purchase Commitments and Obligations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enforceable or legally binding. These outstanding commitments amounted to $3.5 million and $0.4 million as of September 30, 2025 and December 31, 2024, respectively.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its business. Except with regards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Borrowings</w:t>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8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borrowings from the term loan as of periods presented:</w:t>
      </w:r>
    </w:p>
    <w:tbl>
      <w:tblPr>
        <w:tblW w:w="10205" w:type="dxa"/>
        <w:jc w:val="left"/>
        <w:tblInd w:w="0" w:type="dxa"/>
        <w:tblLayout w:type="fixed"/>
        <w:tblCellMar>
          <w:top w:w="28" w:type="dxa"/>
          <w:left w:w="28" w:type="dxa"/>
          <w:bottom w:w="28" w:type="dxa"/>
          <w:right w:w="28" w:type="dxa"/>
        </w:tblCellMar>
      </w:tblPr>
      <w:tblGrid>
        <w:gridCol w:w="2443"/>
        <w:gridCol w:w="2148"/>
        <w:gridCol w:w="2155"/>
        <w:gridCol w:w="318"/>
        <w:gridCol w:w="1088"/>
        <w:gridCol w:w="164"/>
        <w:gridCol w:w="109"/>
        <w:gridCol w:w="109"/>
        <w:gridCol w:w="109"/>
        <w:gridCol w:w="303"/>
        <w:gridCol w:w="1035"/>
        <w:gridCol w:w="224"/>
      </w:tblGrid>
      <w:tr>
        <w:trPr/>
        <w:tc>
          <w:tcPr>
            <w:tcW w:w="244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lender fees</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debt, net of debt issuance costs and unaccreted value of final payment fee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5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6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35,540 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SVB provided a term loan in the aggregate principal amount of $35.0 million to the Company (the “Original Term Loan”).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2023, the Company entered into a First Amendment to Loan and Security Agreement with SVB pursuant to which the Company received a new term loan facility in an aggregate principal amount of $36.0 million (the “First Amendment” and together with the Original Loan Agreement, collectively the “Amended Loan Agreement”). Upon entry into the Amended Loan Agreement, the Company borrowed $36.0 million pursuant to the term loan (the “First Amendment Term Loan”), which was substantially used to repay in full the $35.0 million Original Term Loan outstanding under the Original Loan Agreement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Company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which amended the Company's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entered into a Third Amendment to the Loan and Security Agreement with First-Citizens (the “Third Amendment” and together with the Second Amended Loan Agreement, collectively, the “Third Amended Loan Agreement”), pursuant to which a new term loan in the original aggregate principal amount of $36.0 million was extended by First-Citizens to the Company (the “Third Amendment Term Loan”), which was substantially used to refinance and repay in full the then-outstanding $36.0 million existing First Amendment Term Loan. The Company also paid a final payment fee of $0.7 million due relative to such prior First Amendment Term Loan. The Third Amendment sets the maturity date for the Third Amendment Term Loan as September 1, 2029 (the “Third Amendment Term Loan Maturity Date”),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September 25, 2025, the Company entered into a Fourth Amendment to Loan and Security Agreement with First-Citizens which amended the Company's Third Amended Loan Agreement (the “Fourth Amendment” and together with the Third Amended Loan Agreement, collectively, the “Fourth Amended Loan Agreement”). The Fourth Amendment revised the periods in which the financial covenants applied.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interest rate for the three and nine months ended September 30, 2025 was 7.3%. The effective interest rate for the three and nine months ended September 30, 2024 was 9.2% and 9.3%, respectively. </w:t>
      </w:r>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future principal payments under the Fourth Amended Loan Agreement as of September 30, 2025:</w:t>
      </w:r>
    </w:p>
    <w:tbl>
      <w:tblPr>
        <w:tblW w:w="3434" w:type="dxa"/>
        <w:jc w:val="left"/>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Fourth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September 30, 2025, the Company was in compliance with all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stock option activity for the nine months ended September 30, 2025:</w:t>
      </w:r>
    </w:p>
    <w:tbl>
      <w:tblPr>
        <w:tblW w:w="10205" w:type="dxa"/>
        <w:jc w:val="left"/>
        <w:tblInd w:w="0" w:type="dxa"/>
        <w:tblLayout w:type="fixed"/>
        <w:tblCellMar>
          <w:top w:w="28" w:type="dxa"/>
          <w:left w:w="28" w:type="dxa"/>
          <w:bottom w:w="28" w:type="dxa"/>
          <w:right w:w="28" w:type="dxa"/>
        </w:tblCellMar>
      </w:tblPr>
      <w:tblGrid>
        <w:gridCol w:w="840"/>
        <w:gridCol w:w="738"/>
        <w:gridCol w:w="740"/>
        <w:gridCol w:w="109"/>
        <w:gridCol w:w="109"/>
        <w:gridCol w:w="109"/>
        <w:gridCol w:w="488"/>
        <w:gridCol w:w="488"/>
        <w:gridCol w:w="276"/>
        <w:gridCol w:w="109"/>
        <w:gridCol w:w="109"/>
        <w:gridCol w:w="109"/>
        <w:gridCol w:w="211"/>
        <w:gridCol w:w="617"/>
        <w:gridCol w:w="109"/>
        <w:gridCol w:w="109"/>
        <w:gridCol w:w="109"/>
        <w:gridCol w:w="109"/>
        <w:gridCol w:w="807"/>
        <w:gridCol w:w="807"/>
        <w:gridCol w:w="809"/>
        <w:gridCol w:w="109"/>
        <w:gridCol w:w="109"/>
        <w:gridCol w:w="109"/>
        <w:gridCol w:w="308"/>
        <w:gridCol w:w="1427"/>
        <w:gridCol w:w="232"/>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Contractual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 (in thousands)</w:t>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1,041,131 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910,018 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exercisable,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910,018 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910,018 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5,359,000 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is no unrecognized compensation cost related to stock options.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options granted during the three and nine months ended September 30, 2025 and 2024.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061"/>
        <w:gridCol w:w="895"/>
        <w:gridCol w:w="897"/>
        <w:gridCol w:w="109"/>
        <w:gridCol w:w="109"/>
        <w:gridCol w:w="109"/>
        <w:gridCol w:w="109"/>
        <w:gridCol w:w="109"/>
        <w:gridCol w:w="109"/>
        <w:gridCol w:w="468"/>
        <w:gridCol w:w="271"/>
        <w:gridCol w:w="483"/>
        <w:gridCol w:w="217"/>
        <w:gridCol w:w="588"/>
        <w:gridCol w:w="217"/>
        <w:gridCol w:w="217"/>
        <w:gridCol w:w="217"/>
        <w:gridCol w:w="253"/>
        <w:gridCol w:w="217"/>
        <w:gridCol w:w="217"/>
        <w:gridCol w:w="109"/>
        <w:gridCol w:w="109"/>
        <w:gridCol w:w="109"/>
        <w:gridCol w:w="234"/>
        <w:gridCol w:w="234"/>
        <w:gridCol w:w="222"/>
        <w:gridCol w:w="109"/>
        <w:gridCol w:w="109"/>
        <w:gridCol w:w="109"/>
        <w:gridCol w:w="195"/>
        <w:gridCol w:w="195"/>
        <w:gridCol w:w="196"/>
        <w:gridCol w:w="109"/>
        <w:gridCol w:w="109"/>
        <w:gridCol w:w="109"/>
        <w:gridCol w:w="195"/>
        <w:gridCol w:w="195"/>
        <w:gridCol w:w="196"/>
        <w:gridCol w:w="109"/>
        <w:gridCol w:w="109"/>
        <w:gridCol w:w="109"/>
        <w:gridCol w:w="163"/>
      </w:tblGrid>
      <w:tr>
        <w:trPr/>
        <w:tc>
          <w:tcPr>
            <w:tcW w:w="10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333" w:type="dxa"/>
            <w:gridSpan w:val="22"/>
            <w:tcBorders/>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403" w:type="dxa"/>
            <w:gridSpan w:val="1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RSU and PSU activity for the nine months ended September 30, 2025:</w:t>
      </w:r>
    </w:p>
    <w:tbl>
      <w:tblPr>
        <w:tblW w:w="10205" w:type="dxa"/>
        <w:jc w:val="left"/>
        <w:tblInd w:w="0" w:type="dxa"/>
        <w:tblLayout w:type="fixed"/>
        <w:tblCellMar>
          <w:top w:w="28" w:type="dxa"/>
          <w:left w:w="28" w:type="dxa"/>
          <w:bottom w:w="28" w:type="dxa"/>
          <w:right w:w="28" w:type="dxa"/>
        </w:tblCellMar>
      </w:tblPr>
      <w:tblGrid>
        <w:gridCol w:w="816"/>
        <w:gridCol w:w="717"/>
        <w:gridCol w:w="719"/>
        <w:gridCol w:w="109"/>
        <w:gridCol w:w="109"/>
        <w:gridCol w:w="109"/>
        <w:gridCol w:w="467"/>
        <w:gridCol w:w="380"/>
        <w:gridCol w:w="381"/>
        <w:gridCol w:w="109"/>
        <w:gridCol w:w="109"/>
        <w:gridCol w:w="109"/>
        <w:gridCol w:w="696"/>
        <w:gridCol w:w="696"/>
        <w:gridCol w:w="698"/>
        <w:gridCol w:w="109"/>
        <w:gridCol w:w="109"/>
        <w:gridCol w:w="109"/>
        <w:gridCol w:w="423"/>
        <w:gridCol w:w="380"/>
        <w:gridCol w:w="381"/>
        <w:gridCol w:w="109"/>
        <w:gridCol w:w="109"/>
        <w:gridCol w:w="109"/>
        <w:gridCol w:w="624"/>
        <w:gridCol w:w="624"/>
        <w:gridCol w:w="895"/>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PSUs</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$16.47</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1,305,384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337,110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(801,104)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15.75</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19.50</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2,169,574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ESPP shares is estimated using the Black-Scholes option pricing model, which is being amortized over the requisite service period. As of September 30, 2025 and December 31, 2024, total accumulated ESPP related employee payroll deductions amounted to $0.6 million and $0.3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detail of stock-based compensation expense amounts included in the condensed consolidated statements of operations:</w:t>
      </w:r>
    </w:p>
    <w:tbl>
      <w:tblPr>
        <w:tblW w:w="76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 warrant holder exercised warrants, and the Company issued 694 net shares of common stock through a cashless exercise of the warrants in accordance with the exercise terms. The table below summarizes common stock warrants activity for the nine months ended September 30, 2025:</w:t>
      </w:r>
    </w:p>
    <w:tbl>
      <w:tblPr>
        <w:tblW w:w="10205" w:type="dxa"/>
        <w:jc w:val="left"/>
        <w:tblInd w:w="0" w:type="dxa"/>
        <w:tblLayout w:type="fixed"/>
        <w:tblCellMar>
          <w:top w:w="28" w:type="dxa"/>
          <w:left w:w="28" w:type="dxa"/>
          <w:bottom w:w="28" w:type="dxa"/>
          <w:right w:w="28" w:type="dxa"/>
        </w:tblCellMar>
      </w:tblPr>
      <w:tblGrid>
        <w:gridCol w:w="300"/>
        <w:gridCol w:w="263"/>
        <w:gridCol w:w="265"/>
        <w:gridCol w:w="109"/>
        <w:gridCol w:w="109"/>
        <w:gridCol w:w="109"/>
        <w:gridCol w:w="315"/>
        <w:gridCol w:w="315"/>
        <w:gridCol w:w="316"/>
        <w:gridCol w:w="109"/>
        <w:gridCol w:w="109"/>
        <w:gridCol w:w="109"/>
        <w:gridCol w:w="393"/>
        <w:gridCol w:w="392"/>
        <w:gridCol w:w="393"/>
        <w:gridCol w:w="109"/>
        <w:gridCol w:w="109"/>
        <w:gridCol w:w="109"/>
        <w:gridCol w:w="219"/>
        <w:gridCol w:w="642"/>
        <w:gridCol w:w="113"/>
        <w:gridCol w:w="109"/>
        <w:gridCol w:w="109"/>
        <w:gridCol w:w="109"/>
        <w:gridCol w:w="306"/>
        <w:gridCol w:w="306"/>
        <w:gridCol w:w="307"/>
        <w:gridCol w:w="109"/>
        <w:gridCol w:w="109"/>
        <w:gridCol w:w="109"/>
        <w:gridCol w:w="308"/>
        <w:gridCol w:w="308"/>
        <w:gridCol w:w="309"/>
        <w:gridCol w:w="109"/>
        <w:gridCol w:w="109"/>
        <w:gridCol w:w="109"/>
        <w:gridCol w:w="285"/>
        <w:gridCol w:w="285"/>
        <w:gridCol w:w="286"/>
        <w:gridCol w:w="109"/>
        <w:gridCol w:w="109"/>
        <w:gridCol w:w="109"/>
        <w:gridCol w:w="413"/>
        <w:gridCol w:w="357"/>
        <w:gridCol w:w="520"/>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Balance at</w:t>
            </w:r>
          </w:p>
        </w:tc>
      </w:tr>
      <w:tr>
        <w:trPr/>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Net Loss Per Share of Common Stock</w:t>
      </w:r>
    </w:p>
    <w:p>
      <w:pPr>
        <w:pStyle w:val="TextBody"/>
        <w:bidi w:val="0"/>
        <w:spacing w:lineRule="auto" w:line="288" w:before="240" w:after="2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544"/>
        <w:gridCol w:w="1355"/>
        <w:gridCol w:w="1358"/>
        <w:gridCol w:w="260"/>
        <w:gridCol w:w="838"/>
        <w:gridCol w:w="123"/>
        <w:gridCol w:w="123"/>
        <w:gridCol w:w="123"/>
        <w:gridCol w:w="123"/>
        <w:gridCol w:w="260"/>
        <w:gridCol w:w="838"/>
        <w:gridCol w:w="123"/>
        <w:gridCol w:w="109"/>
        <w:gridCol w:w="109"/>
        <w:gridCol w:w="109"/>
        <w:gridCol w:w="231"/>
        <w:gridCol w:w="861"/>
        <w:gridCol w:w="114"/>
        <w:gridCol w:w="114"/>
        <w:gridCol w:w="114"/>
        <w:gridCol w:w="114"/>
        <w:gridCol w:w="231"/>
        <w:gridCol w:w="861"/>
        <w:gridCol w:w="170"/>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net loss per share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43,188,524 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41,717,505 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42,775,206 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41,324,614 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1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9544" w:type="dxa"/>
        <w:jc w:val="left"/>
        <w:tblInd w:w="0" w:type="dxa"/>
        <w:tblLayout w:type="fixed"/>
        <w:tblCellMar>
          <w:top w:w="28" w:type="dxa"/>
          <w:left w:w="28" w:type="dxa"/>
          <w:bottom w:w="28" w:type="dxa"/>
          <w:right w:w="28" w:type="dxa"/>
        </w:tblCellMar>
      </w:tblPr>
      <w:tblGrid>
        <w:gridCol w:w="748"/>
        <w:gridCol w:w="659"/>
        <w:gridCol w:w="662"/>
        <w:gridCol w:w="488"/>
        <w:gridCol w:w="488"/>
        <w:gridCol w:w="321"/>
        <w:gridCol w:w="321"/>
        <w:gridCol w:w="321"/>
        <w:gridCol w:w="321"/>
        <w:gridCol w:w="488"/>
        <w:gridCol w:w="488"/>
        <w:gridCol w:w="321"/>
        <w:gridCol w:w="109"/>
        <w:gridCol w:w="109"/>
        <w:gridCol w:w="109"/>
        <w:gridCol w:w="488"/>
        <w:gridCol w:w="488"/>
        <w:gridCol w:w="302"/>
        <w:gridCol w:w="302"/>
        <w:gridCol w:w="302"/>
        <w:gridCol w:w="302"/>
        <w:gridCol w:w="678"/>
        <w:gridCol w:w="302"/>
        <w:gridCol w:w="427"/>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910,018</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910,018</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1,042,956 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2,955,031</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2,955,031</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2,809,346 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45,023</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33,552</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3,943,624 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4,001,428 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3,943,624 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4,001,428 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2025 and 2024. The Company continues to maintain a full valuation allowance against its net deferred tax assets due to the uncertainty surrounding realization of such assets.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compared to December 31, 2024.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its impact to the financial statements. The impacts of OBBBA are not expected to be material to the 2025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7060"/>
                <wp:effectExtent l="0" t="0" r="0" b="0"/>
                <wp:wrapNone/>
                <wp:docPr id="22" name="Frame2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erif" w:hAnsi="Times New Roman;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of our Annual Report on Form 10-K filed on February 25, 2025,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In Europe, iFuse, iFuse-3D and iFuse TORQ are approved for applications in sacroiliac fusion, adult spinal deformity and pelvic fracture fixation.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September 30, 2025, over 130,000 procedures have been performed using our products by over 4,800 physicians in the United States and 38 other countries since we introduced iFuse in 2009.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Expand Access to Solutions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U.S. sales force consisted of 88 territory sales managers and 83 clinical support specialists directly employed by us and 302 third-party sales agents, compared to 82 territory sales managers and 76 clinical support specialists directly employed by us and 227 third-party sales agents as of September 30, 2024. As of September 30, 2025 and September 30, 2024, our international sales force consisted of 11 sales representatives directly employed by us and a total of 29 third-party sales agents and resellers. </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quarter ended September 30, 2025, over 30 percent of our procedures for sacroiliac joint dysfunction were performed at ambulatory surgery centers (ASCs) or Office-Based Labs (OBLs). With the steady increase in the numbers of minimally invasive procedures, including sacroiliac joint fusion procedures, being performed at ASCs or OBLs,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24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Physician Engagement</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currently targeting over 12,000 U.S. physicians, including over 8,000 orthopedic and neurological spine surgeons and approximately 4,500 interventional spine physicians, to perform our procedures. As of September 30, 2025 and 2024, in the United States more than 3,700 and 3,000 physicians, respectively, have been trained on our products and have treated at least one patient. Outside the United States, as of September 30, 2025 and 2024, more than 1,100 physicians have been trained on our product and have treated at least one patient. Since launching our academic training program in August 2018, we have trained residents and fellows in over 300 academic programs in the United States, resulting in the training of approximately 2,100 surgical residents and fellows.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Expand Addressable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 TORQ, iFuse Bedrock Granite and iFuse TORQ TNT, we believe that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in addressing sacroiliac joint dysfunction.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Demonstrating the safe and effective use of our implants in post-market clinical trials, including their use in ways that may not yet be part of standard-of-care practice, is an important component of our market-building strategy. In June 2022, we completed enrollment in SILVIA, a two-year prospective international multi-center randomized controlled trial comparing pelvic fixation with and without the addition of an iFuse-3D implant. iFuse-3D is used to provide sacroiliac fusion as part of multilevel spinal fusion procedures, both to improve the stability of the pelvic fixation construct and to decrease the incidence of new-onset postoperative SI joint pain. Data analysis from SILVIA showed that the study’s primary clinical endpoint was met, namely that placement of iFuse-3D implants adjacent to pelvic fixation screws in these procedures reduced the incidence of new-onset SI joint pain following the procedure. A manuscript describing these findings is currently under review.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2022, we began enrolling patients in our SAFFRON study, a prospective randomized controlled trial of surgery using our iFuse TORQ device compared to non-surgical management in patients with debilitating sacral fragility or insufficiency fractures. The study was completed using available data. Results from SAFFRON were published in May 2025 and showed a higher rate of recovery of mobility after surgical treatment using iFuse TORQ compared to non-surgical treatment.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STACI is a prospective study on the use of iFuse TORQ in patients with sacroiliac joint dysfunction. The purpose of STACI is to provide information on the safety and effectiveness of minimally invasive sacroiliac joint fusion performed by interventional physicians using iFuse TORQ. Study enrollment completed in November 2024. Early results from STACI were published in June 2025 and showed that placement of iFuse TORQ by interventional pain management physician was associated with a low adverse event rate and early improvement in pain and function.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nine months ended September 30, 2025, we spent $13.1 million on research and development, equating to 9% of our revenue. During the nine months ended September 30, 2024, we spent $12.7 million on research and development, equating to 11% of our revenue.</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Enhance Employee Experience and Engagement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recruit, develop and retain highly skilled talent is a significant determinant of our success. To attract, develop and retain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fostering an inclusive workplace and ensuring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Gain Operational Efficiency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September 30, 2025, our trailing twelve month average revenue per territory sales manager has increased to approximately $2.1 million from $1.8 million as of September 30, 2024.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erif" w:hAnsi="Times New Roman;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firstLine="495"/>
        <w:jc w:val="both"/>
        <w:rPr/>
      </w:pPr>
      <w:r>
        <w:rPr>
          <w:rFonts w:ascii="Times New Roman;serif" w:hAnsi="Times New Roman;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erif" w:hAnsi="Times New Roman;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540"/>
        <w:jc w:val="both"/>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is primarily related to borrowings, amortization of debt issuance costs, and accretion of final fees on the First-Citizens Fourth Amended Loan Agreement. </w:t>
      </w:r>
    </w:p>
    <w:p>
      <w:pPr>
        <w:pStyle w:val="TextBody"/>
        <w:bidi w:val="0"/>
        <w:spacing w:lineRule="auto" w:line="288"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Comparison of the Three Months Ended September 30, 2025 and 2024 </w:t>
      </w:r>
    </w:p>
    <w:p>
      <w:pPr>
        <w:pStyle w:val="TextBody"/>
        <w:bidi w:val="0"/>
        <w:spacing w:lineRule="auto" w:line="288" w:before="240" w:after="240"/>
        <w:jc w:val="left"/>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207" w:type="dxa"/>
        <w:jc w:val="left"/>
        <w:tblInd w:w="0" w:type="dxa"/>
        <w:tblLayout w:type="fixed"/>
        <w:tblCellMar>
          <w:top w:w="28" w:type="dxa"/>
          <w:left w:w="28" w:type="dxa"/>
          <w:bottom w:w="28" w:type="dxa"/>
          <w:right w:w="28" w:type="dxa"/>
        </w:tblCellMar>
      </w:tblPr>
      <w:tblGrid>
        <w:gridCol w:w="591"/>
        <w:gridCol w:w="521"/>
        <w:gridCol w:w="523"/>
        <w:gridCol w:w="223"/>
        <w:gridCol w:w="764"/>
        <w:gridCol w:w="287"/>
        <w:gridCol w:w="115"/>
        <w:gridCol w:w="115"/>
        <w:gridCol w:w="115"/>
        <w:gridCol w:w="223"/>
        <w:gridCol w:w="764"/>
        <w:gridCol w:w="287"/>
        <w:gridCol w:w="109"/>
        <w:gridCol w:w="109"/>
        <w:gridCol w:w="109"/>
        <w:gridCol w:w="211"/>
        <w:gridCol w:w="616"/>
        <w:gridCol w:w="109"/>
        <w:gridCol w:w="109"/>
        <w:gridCol w:w="109"/>
        <w:gridCol w:w="109"/>
        <w:gridCol w:w="255"/>
        <w:gridCol w:w="256"/>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the majority of our revenue from sales to customers in the U.S. Revenue by geography is based on billing address of the customer. The table below summarizes our revenue by geography: </w:t>
      </w:r>
    </w:p>
    <w:p>
      <w:pPr>
        <w:pStyle w:val="TextBody"/>
        <w:bidi w:val="0"/>
        <w:spacing w:before="0" w:after="0"/>
        <w:ind w:left="0" w:right="0" w:firstLine="540"/>
        <w:jc w:val="left"/>
        <w:rPr/>
      </w:pPr>
      <w:r>
        <w:rPr/>
      </w:r>
    </w:p>
    <w:tbl>
      <w:tblPr>
        <w:tblW w:w="9042"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271"/>
        <w:gridCol w:w="109"/>
        <w:gridCol w:w="109"/>
        <w:gridCol w:w="109"/>
        <w:gridCol w:w="211"/>
        <w:gridCol w:w="616"/>
        <w:gridCol w:w="109"/>
        <w:gridCol w:w="109"/>
        <w:gridCol w:w="109"/>
        <w:gridCol w:w="109"/>
        <w:gridCol w:w="255"/>
        <w:gridCol w:w="256"/>
        <w:gridCol w:w="57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75" w:type="dxa"/>
            <w:gridSpan w:val="30"/>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40"/>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three months ended September 30, 2025 as compared to the three months ended September 30, 2024 was primarily driven by a $8.1 million increase in our U.S. revenue from increased case volumes due to our expanded product portfolio.</w:t>
      </w:r>
    </w:p>
    <w:p>
      <w:pPr>
        <w:pStyle w:val="TextBody"/>
        <w:bidi w:val="0"/>
        <w:spacing w:lineRule="auto" w:line="268" w:before="0" w:after="0"/>
        <w:ind w:left="0" w:right="0" w:firstLine="540"/>
        <w:jc w:val="both"/>
        <w:rPr/>
      </w:pPr>
      <w:r>
        <w:rPr>
          <w:rFonts w:ascii="Times New Roman;serif" w:hAnsi="Times New Roman;serif"/>
          <w:b w:val="false"/>
          <w:i/>
          <w:color w:val="000000"/>
          <w:sz w:val="20"/>
        </w:rPr>
        <w:t>Gross Profit and Gross Margin.</w:t>
      </w:r>
      <w:r>
        <w:rPr>
          <w:color w:val="000000"/>
        </w:rPr>
        <w:t xml:space="preserve"> </w:t>
      </w:r>
      <w:r>
        <w:rPr>
          <w:rFonts w:ascii="Times New Roman;serif" w:hAnsi="Times New Roman;serif"/>
          <w:b w:val="false"/>
          <w:color w:val="000000"/>
          <w:sz w:val="20"/>
        </w:rPr>
        <w:t>Gross profit increased $6.9 million for the three months ended September 30, 2025 as compared to the three months ended September 30, 2024, mainly driven by higher revenue. The gross margin was 79.8% for the three months ended September 30, 2025 compared to a gross margin of 79.1% for the three months ended September 30, 2024 due to lower product costs, partially offset by higher royalties and reserves.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i/>
          <w:color w:val="000000"/>
          <w:sz w:val="20"/>
        </w:rPr>
        <w:t>Operating Expenses</w:t>
      </w:r>
      <w:r>
        <w:rPr>
          <w:rFonts w:ascii="Times New Roman;serif" w:hAnsi="Times New Roman;serif"/>
          <w:b w:val="false"/>
          <w:color w:val="000000"/>
          <w:sz w:val="20"/>
        </w:rPr>
        <w:t>:</w:t>
      </w:r>
    </w:p>
    <w:tbl>
      <w:tblPr>
        <w:tblW w:w="7882" w:type="dxa"/>
        <w:jc w:val="left"/>
        <w:tblInd w:w="0" w:type="dxa"/>
        <w:tblLayout w:type="fixed"/>
        <w:tblCellMar>
          <w:top w:w="28" w:type="dxa"/>
          <w:left w:w="28" w:type="dxa"/>
          <w:bottom w:w="28" w:type="dxa"/>
          <w:right w:w="28" w:type="dxa"/>
        </w:tblCellMar>
      </w:tblPr>
      <w:tblGrid>
        <w:gridCol w:w="836"/>
        <w:gridCol w:w="736"/>
        <w:gridCol w:w="738"/>
        <w:gridCol w:w="253"/>
        <w:gridCol w:w="866"/>
        <w:gridCol w:w="131"/>
        <w:gridCol w:w="131"/>
        <w:gridCol w:w="131"/>
        <w:gridCol w:w="131"/>
        <w:gridCol w:w="253"/>
        <w:gridCol w:w="866"/>
        <w:gridCol w:w="131"/>
        <w:gridCol w:w="109"/>
        <w:gridCol w:w="109"/>
        <w:gridCol w:w="109"/>
        <w:gridCol w:w="211"/>
        <w:gridCol w:w="616"/>
        <w:gridCol w:w="109"/>
        <w:gridCol w:w="109"/>
        <w:gridCol w:w="109"/>
        <w:gridCol w:w="109"/>
        <w:gridCol w:w="255"/>
        <w:gridCol w:w="256"/>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44,229 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39,536 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Sales and Marketing Expenses. </w:t>
      </w:r>
      <w:r>
        <w:rPr>
          <w:rFonts w:ascii="Times New Roman;serif" w:hAnsi="Times New Roman;serif"/>
          <w:b w:val="false"/>
          <w:color w:val="000000"/>
          <w:sz w:val="20"/>
        </w:rPr>
        <w:t>The increase in sales and marketing expenses for the three months ended September 30, 2025 as compared to the three months ended September 30, 2024 was primarily due to a $3.2 million increase in commissions and personnel cost driven by higher revenues and increase in headcount, partially offset by a decrease of $0.7 million related to travel, stock-based compensation and consulting.</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research and development expenses for the three months ended September 30, 2025 is consistent with research and development expenses for the three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three months ended September 30, 2025 compared to the three months ended September 30, 2024 was primarily due to a $1.1 million increase in personnel costs and stock-based compensation associated with an increase in headcount within general and administrative departments and a $0.8 million increase in legal and consulting.</w:t>
      </w:r>
    </w:p>
    <w:p>
      <w:pPr>
        <w:pStyle w:val="TextBody"/>
        <w:bidi w:val="0"/>
        <w:spacing w:lineRule="auto" w:line="288" w:before="300" w:after="240"/>
        <w:jc w:val="left"/>
        <w:rPr/>
      </w:pPr>
      <w:r>
        <w:rPr>
          <w:rFonts w:ascii="Times New Roman;serif" w:hAnsi="Times New Roman;serif"/>
          <w:b/>
          <w:i/>
          <w:color w:val="000000"/>
          <w:sz w:val="20"/>
        </w:rPr>
        <w:t>Interest and Other Income (Expense), Net</w:t>
      </w:r>
      <w:r>
        <w:rPr>
          <w:rFonts w:ascii="Times New Roman;serif" w:hAnsi="Times New Roman;serif"/>
          <w:b w:val="false"/>
          <w:color w:val="000000"/>
          <w:sz w:val="20"/>
        </w:rPr>
        <w:t>:</w:t>
      </w:r>
    </w:p>
    <w:tbl>
      <w:tblPr>
        <w:tblW w:w="8733" w:type="dxa"/>
        <w:jc w:val="left"/>
        <w:tblInd w:w="0" w:type="dxa"/>
        <w:tblLayout w:type="fixed"/>
        <w:tblCellMar>
          <w:top w:w="28" w:type="dxa"/>
          <w:left w:w="28" w:type="dxa"/>
          <w:bottom w:w="28" w:type="dxa"/>
          <w:right w:w="28" w:type="dxa"/>
        </w:tblCellMar>
      </w:tblPr>
      <w:tblGrid>
        <w:gridCol w:w="1108"/>
        <w:gridCol w:w="974"/>
        <w:gridCol w:w="977"/>
        <w:gridCol w:w="277"/>
        <w:gridCol w:w="811"/>
        <w:gridCol w:w="143"/>
        <w:gridCol w:w="143"/>
        <w:gridCol w:w="143"/>
        <w:gridCol w:w="143"/>
        <w:gridCol w:w="277"/>
        <w:gridCol w:w="811"/>
        <w:gridCol w:w="143"/>
        <w:gridCol w:w="109"/>
        <w:gridCol w:w="109"/>
        <w:gridCol w:w="109"/>
        <w:gridCol w:w="211"/>
        <w:gridCol w:w="541"/>
        <w:gridCol w:w="109"/>
        <w:gridCol w:w="109"/>
        <w:gridCol w:w="109"/>
        <w:gridCol w:w="109"/>
        <w:gridCol w:w="344"/>
        <w:gridCol w:w="346"/>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495"/>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three months ended September 30, 2025 as compared to the three months ended September 30, 2024 was primarily due to lower interest rates on our investment balances.</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three months ended September 30, 2025 as compared to the three months ended September 30, 2024 was due to lower interest rates associated with the First-Citizens Fourth Amended Loan Agreement.</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The change in other income (expense), net for the three months ended September 30, 2025 as compared to the three months ended September 30, 2024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erif" w:hAnsi="Times New Roman;serif"/>
          <w:b/>
          <w:color w:val="000000"/>
          <w:sz w:val="20"/>
        </w:rPr>
      </w:pPr>
      <w:r>
        <w:rPr>
          <w:rFonts w:ascii="Times New Roman;serif" w:hAnsi="Times New Roman;serif"/>
          <w:b/>
          <w:color w:val="000000"/>
          <w:sz w:val="20"/>
        </w:rPr>
        <w:t xml:space="preserve">Comparison of the Nine Months Ended September 30, 2025 and 2024 </w:t>
      </w:r>
    </w:p>
    <w:p>
      <w:pPr>
        <w:pStyle w:val="TextBody"/>
        <w:bidi w:val="0"/>
        <w:spacing w:lineRule="auto" w:line="288" w:before="240" w:after="240"/>
        <w:jc w:val="left"/>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362" w:type="dxa"/>
        <w:jc w:val="left"/>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the majority of our revenue from sales to customers in the U.S. Revenue by geography is based on billing address of the customer. The table below summarizes our revenue by geography:</w:t>
      </w:r>
    </w:p>
    <w:p>
      <w:pPr>
        <w:pStyle w:val="TextBody"/>
        <w:bidi w:val="0"/>
        <w:spacing w:before="0" w:after="0"/>
        <w:ind w:left="0" w:right="0" w:firstLine="540"/>
        <w:jc w:val="left"/>
        <w:rPr/>
      </w:pPr>
      <w:r>
        <w:rPr/>
      </w:r>
    </w:p>
    <w:tbl>
      <w:tblPr>
        <w:tblW w:w="9357"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721"/>
        <w:gridCol w:w="109"/>
        <w:gridCol w:w="109"/>
        <w:gridCol w:w="109"/>
        <w:gridCol w:w="109"/>
        <w:gridCol w:w="255"/>
        <w:gridCol w:w="256"/>
        <w:gridCol w:w="578"/>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685" w:type="dxa"/>
            <w:gridSpan w:val="30"/>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nine months ended September 30, 2025 as compared to the nine months ended September 30, 2024 was primarily driven by a $26.1 million increase in our U.S. revenue due to the increase in case volumes due to our expanded product portfolio.</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i/>
          <w:color w:val="000000"/>
          <w:sz w:val="20"/>
        </w:rPr>
        <w:t>Gross Profit and Gross Margin.</w:t>
      </w:r>
      <w:r>
        <w:rPr>
          <w:color w:val="000000"/>
        </w:rPr>
        <w:t xml:space="preserve"> </w:t>
      </w:r>
      <w:r>
        <w:rPr>
          <w:rFonts w:ascii="Times New Roman;serif" w:hAnsi="Times New Roman;serif"/>
          <w:b w:val="false"/>
          <w:color w:val="000000"/>
          <w:sz w:val="20"/>
        </w:rPr>
        <w:t>Gross profit increased $22.0 million for the nine months ended September 30, 2025 as compared to the nine months ended September 30, 2024, mainly driven by higher revenue. The gross margin was 79.8% for the nine months ended September 30, 2025 as compared to 79.0% for the nine months ended September 30, 2024. Gross margin increased in the nine months ended September 30, 2025 as compared to the nine months ended September 30, 2024, primarily due to changes in procedure and product mix, partially offset by higher royalties and reserves.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40"/>
        <w:jc w:val="left"/>
        <w:rPr/>
      </w:pPr>
      <w:r>
        <w:rPr>
          <w:rFonts w:ascii="Times New Roman;serif" w:hAnsi="Times New Roman;serif"/>
          <w:b/>
          <w:i/>
          <w:color w:val="000000"/>
          <w:sz w:val="20"/>
        </w:rPr>
        <w:t>Operating Expenses</w:t>
      </w:r>
      <w:r>
        <w:rPr>
          <w:rFonts w:ascii="Times New Roman;serif" w:hAnsi="Times New Roman;serif"/>
          <w:b w:val="false"/>
          <w:color w:val="000000"/>
          <w:sz w:val="20"/>
        </w:rPr>
        <w:t>:</w:t>
      </w:r>
    </w:p>
    <w:tbl>
      <w:tblPr>
        <w:tblW w:w="7894" w:type="dxa"/>
        <w:jc w:val="left"/>
        <w:tblInd w:w="0" w:type="dxa"/>
        <w:tblLayout w:type="fixed"/>
        <w:tblCellMar>
          <w:top w:w="28" w:type="dxa"/>
          <w:left w:w="28" w:type="dxa"/>
          <w:bottom w:w="28" w:type="dxa"/>
          <w:right w:w="28" w:type="dxa"/>
        </w:tblCellMar>
      </w:tblPr>
      <w:tblGrid>
        <w:gridCol w:w="836"/>
        <w:gridCol w:w="736"/>
        <w:gridCol w:w="738"/>
        <w:gridCol w:w="226"/>
        <w:gridCol w:w="884"/>
        <w:gridCol w:w="116"/>
        <w:gridCol w:w="116"/>
        <w:gridCol w:w="116"/>
        <w:gridCol w:w="116"/>
        <w:gridCol w:w="226"/>
        <w:gridCol w:w="884"/>
        <w:gridCol w:w="116"/>
        <w:gridCol w:w="109"/>
        <w:gridCol w:w="109"/>
        <w:gridCol w:w="109"/>
        <w:gridCol w:w="211"/>
        <w:gridCol w:w="721"/>
        <w:gridCol w:w="109"/>
        <w:gridCol w:w="109"/>
        <w:gridCol w:w="109"/>
        <w:gridCol w:w="109"/>
        <w:gridCol w:w="255"/>
        <w:gridCol w:w="256"/>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Sales and Marketing Expenses. </w:t>
      </w:r>
      <w:r>
        <w:rPr>
          <w:rFonts w:ascii="Times New Roman;serif" w:hAnsi="Times New Roman;serif"/>
          <w:b w:val="false"/>
          <w:color w:val="000000"/>
          <w:sz w:val="20"/>
        </w:rPr>
        <w:t>The increase in sales and marketing expenses for the nine months ended September 30, 2025 as compared to the nine months ended September 30, 2024 was primarily due to a $7.8 million increase in commissions and personnel costs driven by higher revenues, partially offset by $2.2 million decrease in travel costs and stock-based compensation.</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research and development expenses for the nine months ended September 30, 2025 is consistent as compared to the research and development expenses for the nine months ended September 30, 2024.</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nine months ended September 30, 2025 as compared to the nine months ended September 30, 2024 was primarily due to a $3.1 million increase in personnel costs and stock-based compensation associated with an increase in headcount within general and administrative departments, and a $3.0 million increase in legal, consulting, and bad debt expense.</w:t>
      </w:r>
    </w:p>
    <w:p>
      <w:pPr>
        <w:pStyle w:val="TextBody"/>
        <w:bidi w:val="0"/>
        <w:spacing w:lineRule="auto" w:line="288" w:before="300" w:after="240"/>
        <w:jc w:val="left"/>
        <w:rPr/>
      </w:pPr>
      <w:r>
        <w:rPr>
          <w:rFonts w:ascii="Times New Roman;serif" w:hAnsi="Times New Roman;serif"/>
          <w:b/>
          <w:i/>
          <w:color w:val="000000"/>
          <w:sz w:val="20"/>
        </w:rPr>
        <w:t>Interest and Other Income (Expense), Net</w:t>
      </w:r>
      <w:r>
        <w:rPr>
          <w:rFonts w:ascii="Times New Roman;serif" w:hAnsi="Times New Roman;serif"/>
          <w:b w:val="false"/>
          <w:color w:val="000000"/>
          <w:sz w:val="20"/>
        </w:rPr>
        <w:t>:</w:t>
      </w:r>
    </w:p>
    <w:tbl>
      <w:tblPr>
        <w:tblW w:w="8693" w:type="dxa"/>
        <w:jc w:val="left"/>
        <w:tblInd w:w="0" w:type="dxa"/>
        <w:tblLayout w:type="fixed"/>
        <w:tblCellMar>
          <w:top w:w="28" w:type="dxa"/>
          <w:left w:w="28" w:type="dxa"/>
          <w:bottom w:w="28" w:type="dxa"/>
          <w:right w:w="28" w:type="dxa"/>
        </w:tblCellMar>
      </w:tblPr>
      <w:tblGrid>
        <w:gridCol w:w="1108"/>
        <w:gridCol w:w="971"/>
        <w:gridCol w:w="980"/>
        <w:gridCol w:w="269"/>
        <w:gridCol w:w="786"/>
        <w:gridCol w:w="139"/>
        <w:gridCol w:w="139"/>
        <w:gridCol w:w="139"/>
        <w:gridCol w:w="139"/>
        <w:gridCol w:w="269"/>
        <w:gridCol w:w="786"/>
        <w:gridCol w:w="139"/>
        <w:gridCol w:w="109"/>
        <w:gridCol w:w="109"/>
        <w:gridCol w:w="109"/>
        <w:gridCol w:w="211"/>
        <w:gridCol w:w="691"/>
        <w:gridCol w:w="109"/>
        <w:gridCol w:w="109"/>
        <w:gridCol w:w="109"/>
        <w:gridCol w:w="109"/>
        <w:gridCol w:w="293"/>
        <w:gridCol w:w="293"/>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495"/>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nine months ended September 30, 2025 as compared to the nine months ended September 30, 2024 was primarily due to lower interest rate on our investment balance.</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nine months ended September 30, 2025 as compared to the nine months ended September 30, 2024 was primarily due to lower interest rates associated with the First-Citizens Third Amendment Term Loan.</w:t>
      </w:r>
    </w:p>
    <w:p>
      <w:pPr>
        <w:pStyle w:val="TextBody"/>
        <w:bidi w:val="0"/>
        <w:spacing w:lineRule="auto" w:line="288" w:before="240" w:after="283"/>
        <w:ind w:left="0" w:right="0" w:firstLine="495"/>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The change in other income (expense), net for the nine months ended September 30, 2025 as compared to the nine months ended September 30, 2024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cash and marketable securities of $145.7 million as compared to $150.0 million as of December 31, 2024. We have financed our operations primarily through the sale of our common stock in our public offerings and debt financing arrangements. As of both September 30, 2025 and December 31, 2024, we had $35.5 million in outstanding debt.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an accumulated deficit of $448.6 million as compared to $431.4 million as of December 31, 2024. During the nine months ended September 30, 2025, we incurred a net loss of $17.3 million. During the years ended December 31, 2024 and 2023, we incurred a net loss of $30.9 million and $43.3 million, respectively, and expect to incur additional losses in the future. We have not achieved positive cash flow from operations for the nine months ended September 30, 2025 and all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our current operating plan, we believe that our existing cash and marketable securities will enable us to fund our operating expenses and capital expenditure requirements over the next 12 months from the filing of this Form 10-Q. However, the financial impact of a potential economic downturn or capital market disruptions pose risks to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 In addition, as we seek to deploy new product offerings, the need for additional capital to fund the purchase of inventories of implants and instrument trays may become more acute and may limit the number of revenue opportunities that we pursue. 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24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debt is related to a Loan and Security Agreement dated August 12, 2021 (the “Original Loan Agreement”), entered into by us and Silicon Valley Bank, a California corporation (“SVB”). Pursuant to the Original Loan Agreement, SVB provided us with a term loan in the aggregate principal amount of $35.0 million (the “Original Term Loan”).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2023, we entered into a First Amendment to Loan and Security Agreement with SVB (the “First Amendment” and together with the Original Loan Agreement, collectively the “Amended Loan Agreement”). Upon entry into the Amended Loan Agreement, we borrowed $36.0 million pursuant to a new term loan (the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we entered into a Second Amendment to Loan and Security Agreement with Silicon Valley Bank, a division of First-Citizens Bank &amp; Trust Company, as successor in interest to SVB (“First-Citizens”) which amended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8, 2024, we entered into a Third Amendment to Loan and Security Agreement with First-Citizens (the “Third Amendment” and together with the Second Amended Loan Agreement, collectively, the “Third Amended Loan Agreement”), relative to a new term loan in the original aggregate principal amount of $36.0 million extended by First-Citizens to the Company (the “Third Amendment Term Loan”), which was substantially used to refinance and repay in full the then-outstanding $36.0 million existing First Amendment Term Loan. We also paid a certain final payment fee due relative to such prior First Amendment Term Loan. The Third Amendment set the maturity date for the Third Amendment Term Loan to September 1, 2029 (the "Third Amendment Term Loan Maturity Date"), and set the first principal repayment due date relative to the Third Amendment Term Loan to October 1, 2027; provided that upon the achievement of the Performance Milestone (as defined in the Third Amendment), the first principal payment shall become due on October 1, 2028. Interest on the outstanding principal balance of the Third Amendment Term Loan is payable monthly at a floating rate per annum equal to the greater of 4.25% and the WSJ prime rate minus 0.5%. We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further revised certain provisions related to financial covenants and the periods in which such covenants apply, and we and First-Citizens also agreed to terminate the Revolving Line and an uncommitted accordion term loan provision.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September 25, 2025, we entered into a Fourth Amendment to Loan and Security Agreement with First-Citizens which amended the Third Amended Loan Agreement (the “Fourth Amendment” and together with the Third Amended Loan Agreement, collectively, the “Fourth Amended Loan Agreement”). The Fourth Amendment revised the periods in which the financial covenants applied.</w:t>
      </w:r>
    </w:p>
    <w:p>
      <w:pPr>
        <w:pStyle w:val="TextBody"/>
        <w:bidi w:val="0"/>
        <w:spacing w:lineRule="auto" w:line="276"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25, 2025. As of September 30, 2025, expected timing of those payments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tbl>
      <w:tblPr>
        <w:tblW w:w="9695"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307"/>
        <w:gridCol w:w="898"/>
        <w:gridCol w:w="159"/>
        <w:gridCol w:w="109"/>
        <w:gridCol w:w="109"/>
        <w:gridCol w:w="109"/>
        <w:gridCol w:w="211"/>
        <w:gridCol w:w="721"/>
        <w:gridCol w:w="109"/>
        <w:gridCol w:w="109"/>
        <w:gridCol w:w="109"/>
        <w:gridCol w:w="109"/>
        <w:gridCol w:w="211"/>
        <w:gridCol w:w="721"/>
        <w:gridCol w:w="109"/>
        <w:gridCol w:w="109"/>
        <w:gridCol w:w="109"/>
        <w:gridCol w:w="109"/>
        <w:gridCol w:w="423"/>
        <w:gridCol w:w="814"/>
        <w:gridCol w:w="308"/>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Principal obligations </w:t>
            </w:r>
            <w:r>
              <w:rPr>
                <w:rFonts w:ascii="Times New Roman;serif" w:hAnsi="Times New Roman;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Interest obligations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the principal obligations of our First-Citizens Fourth Amended Loan Agreement.</w:t>
      </w:r>
    </w:p>
    <w:p>
      <w:pPr>
        <w:pStyle w:val="TextBody"/>
        <w:bidi w:val="0"/>
        <w:spacing w:lineRule="auto" w:line="288" w:before="0" w:after="0"/>
        <w:ind w:left="0" w:right="0" w:hanging="360"/>
        <w:jc w:val="left"/>
        <w:rPr/>
      </w:pPr>
      <w:r>
        <w:rPr>
          <w:rFonts w:ascii="Times New Roman;serif" w:hAnsi="Times New Roman;serif"/>
          <w:b w:val="false"/>
          <w:color w:val="000000"/>
          <w:sz w:val="16"/>
        </w:rPr>
        <w:t>(2)Represents the future interest obligations on our First-Citizens Fourth Amended Loan Agreement estimated using an interest rate of 6.75%</w:t>
      </w:r>
      <w:r>
        <w:rPr>
          <w:color w:val="000000"/>
        </w:rPr>
        <w:t xml:space="preserve"> </w:t>
      </w:r>
      <w:r>
        <w:rPr>
          <w:rFonts w:ascii="Times New Roman;serif" w:hAnsi="Times New Roman;serif"/>
          <w:b w:val="false"/>
          <w:color w:val="000000"/>
          <w:sz w:val="16"/>
        </w:rPr>
        <w:t>as of September 30,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compares to $48.1 million of contractual obligations as of December 31,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9593" w:type="dxa"/>
        <w:jc w:val="left"/>
        <w:tblInd w:w="0" w:type="dxa"/>
        <w:tblLayout w:type="fixed"/>
        <w:tblCellMar>
          <w:top w:w="28" w:type="dxa"/>
          <w:left w:w="28" w:type="dxa"/>
          <w:bottom w:w="28" w:type="dxa"/>
          <w:right w:w="28" w:type="dxa"/>
        </w:tblCellMar>
      </w:tblPr>
      <w:tblGrid>
        <w:gridCol w:w="1864"/>
        <w:gridCol w:w="1644"/>
        <w:gridCol w:w="1652"/>
        <w:gridCol w:w="241"/>
        <w:gridCol w:w="790"/>
        <w:gridCol w:w="124"/>
        <w:gridCol w:w="124"/>
        <w:gridCol w:w="124"/>
        <w:gridCol w:w="124"/>
        <w:gridCol w:w="241"/>
        <w:gridCol w:w="910"/>
        <w:gridCol w:w="124"/>
        <w:gridCol w:w="109"/>
        <w:gridCol w:w="109"/>
        <w:gridCol w:w="109"/>
        <w:gridCol w:w="211"/>
        <w:gridCol w:w="721"/>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cash provided by (used in):</w:t>
            </w:r>
          </w:p>
        </w:tc>
        <w:tc>
          <w:tcPr>
            <w:tcW w:w="41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Used in Operating Activities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September 30, 2025 of $2.4 million resulted from cash outflows due to a net loss of $17.3 million, adjusted for $25.1 million of non-cash items, and cash outflows from net changes in operating assets and liabilities of $10.2 million. Net cash used in operating activities for the nine months ended September 30, 2024 of $13.6 million resulted from cash outflows due to a net loss of $26.4 million, adjusted for $21.0 million of non-cash items, and cash outflows from changes in operating assets and liabilities of $8.2 million. The decrease in net loss, net of non-cash items for the nine months ended September 30, 2025 as compared to the nine months ended September 30, 2024 was mainly due to increased revenues. Net cash outflows from changes in operating assets and liabilities for the nine months ended September 30, 2025 was primarily due to higher inventory build-up related to our new product introductions, higher accounts payable and lower accrued liabilities attributable to the normal course timing of expenses, offset by lower account receivable balance resulting from improved collections. Net cash outflows from changes in operating assets and liabilities for the nine months ended September 30, 2024 was primarily due to higher accounts receivable due to timing of collections, higher inventory build-up related to new product introductions, higher accounts payable and lower accrued liabilities attributable to the normal timing of expenses.</w:t>
      </w:r>
    </w:p>
    <w:p>
      <w:pPr>
        <w:pStyle w:val="TextBody"/>
        <w:bidi w:val="0"/>
        <w:spacing w:lineRule="auto" w:line="288" w:before="18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nine months ended September 30, 2025 was $8.9 million as compared to cash provided by investing activities of $8.3 million in the nine months ended September 30, 2024. Net cash used in investing activities for the nine months ended September 30, 2025 consisted of maturities of our marketable securities net of purchases of $1.7 million, and purchases of property and equipment of $7.1 million primarily related to individual components in instrument sets to support revenue growth. Net cash provided by investing activities for the nine months ended September 30, 2024 consisted of purchases of our marketable securities net of maturities of $16.5 million, and purchases of property and equipment of $8.2 million primarily related to individual components in instrument sets to support revenue growth.</w:t>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financing activities in the nine months ended September 30, 2025 and 2024 was $2.3 million and $2.0 million, respectively, resulting from the issuance of common stock under our stock-based incentive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2024 Annual Report.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24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and nine months ended September 30, 2025 and 2024 were not material. A hypothetical 100 basis point change in foreign exchange rates during any of the periods presented would not have had a material impact on our condensed consolidated financial statements.</w:t>
      </w:r>
    </w:p>
    <w:p>
      <w:pPr>
        <w:pStyle w:val="TextBody"/>
        <w:bidi w:val="0"/>
        <w:spacing w:lineRule="auto" w:line="288" w:before="24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With the execution of the Third Amendment with First-Citizens relative to the Third Amendment Term Loan, interest is payable monthly at a floating annual rate set at the greater of the prime rate as published in the Wall Street Journal minus 0.5% or 4.25%. Rising interest rates will increase the amount of interest paid on this debt. We believe that our exposure to interest rate risk is not significant due to the low risk profile of our investments and the amount of our Fourth Amended Term Loan, therefore a hypothetical 100 basis point change in market interest rates during any of the periods presented would not have had a material impact on our condensed consolidated financial statements.</w:t>
      </w:r>
    </w:p>
    <w:p>
      <w:pPr>
        <w:pStyle w:val="TextBody"/>
        <w:bidi w:val="0"/>
        <w:spacing w:before="24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September 30, 2025, our disclosure controls and procedures were effective at the reasonable assurance level. </w:t>
      </w:r>
    </w:p>
    <w:p>
      <w:pPr>
        <w:pStyle w:val="TextBody"/>
        <w:bidi w:val="0"/>
        <w:spacing w:lineRule="auto" w:line="288"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4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from the risk factors previously disclosed in Part I, Item 1A. “Risk Factors” of our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tariffs and retaliatory countermeasures, inflation or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r>
        <w:rPr>
          <w:color w:val="000000"/>
        </w:rPr>
        <w:t xml:space="preserve"> </w:t>
      </w:r>
      <w:r>
        <w:rPr>
          <w:rFonts w:ascii="Times New Roman;serif" w:hAnsi="Times New Roman;serif"/>
          <w:b w:val="false"/>
          <w:color w:val="000000"/>
          <w:sz w:val="20"/>
        </w:rPr>
        <w:t>The imposition of tariffs on titanium sourced from Canada or elsewhere could further exacerbate these challenges and increase the cost of our implants.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Various factors outside our direct control may adversely affect manufacturing, sterilization, and distribution of our products.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failure to complete sterilization on time or in compliance with the required regulatory standards;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transportation and import and export risk;</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delays in analytical results or failure of analytical techniques that we depend on for quality control and release of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large-scale epidemics of communicable diseases;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supply chain disruptions, including those caused by material and labor supply shortages, tariffs and retaliatory countermeasures, and prolonged inflation;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any of these risks were to materialize, our ability to provide our products to customers on a timely basis could be adversely impacted.</w:t>
      </w:r>
      <w:r>
        <w:rPr>
          <w:color w:val="000000"/>
        </w:rPr>
        <w:t xml:space="preserve"> </w:t>
      </w:r>
    </w:p>
    <w:p>
      <w:pPr>
        <w:pStyle w:val="TextBody"/>
        <w:bidi w:val="0"/>
        <w:spacing w:before="0" w:after="0"/>
        <w:ind w:left="0" w:right="0" w:firstLine="495"/>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may be volatile, and the value of an investment in our common stock could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before="0" w:after="0"/>
        <w:ind w:left="0" w:right="0" w:firstLine="495"/>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interest rates, tariff policy, investor risk appetite and other macroeconomic factors impacting the market for securities issued by medical device companies;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 of inflation, interest rate increases, economic downturn or instability and other macroeconomic factors impacting patients’ economic ability and likelihood of undergoing elective procedures, whether real or as perceived by investors;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infectious diseases, and measures taken to combat them, on our business;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results of our clinical trials and that of our competitors’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actions with respect to our products or our competitor’s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price and volume fluctuations in the overall stock market from time to time;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negative publicity;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whether our results of operations meet the expectations of securities analysts or investors or those expectations change;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developments in the United States, foreign countries, or both;</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lock-up releases and sales of large blocks of our common stock;</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or departures of key employees or scientific personnel;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economic conditions and trends.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disruptions or diminishment of the workforces of these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the U.S. government recently shut down on October 1, 2025, and in recent years, including for 35 days beginning on December 22, 2018, the U.S. government shut down several times; and during such shutdowns, certain regulatory agencies, such as the FDA, have in the past furloughed, and may in the future furlough critical employees and stop critical activities. Average review times at FDA have fluctuated in recent years as a result. In addition, funding of other government agencies on which our operations may rely is subject to the political process, which is inherently fluid and unpredictable.</w:t>
      </w:r>
      <w:r>
        <w:rPr>
          <w:color w:val="000000"/>
        </w:rPr>
        <w:t xml:space="preserve"> </w:t>
      </w:r>
      <w:r>
        <w:rPr>
          <w:rFonts w:ascii="Times New Roman;serif" w:hAnsi="Times New Roman;serif"/>
          <w:b w:val="false"/>
          <w:color w:val="000000"/>
          <w:sz w:val="20"/>
        </w:rPr>
        <w:t>More recently, the FDA and other governmental agencies in the U.S. have been subject to sudden and dramatic reductions in the workforces due to termination of probationary employees, broad-based offers of early retirement to government employees and other efforts led by the Department of Government Efficiency under the current presidential administration.</w:t>
      </w:r>
      <w:r>
        <w:rPr>
          <w:color w:val="000000"/>
        </w:rPr>
        <w:t xml:space="preserve"> </w:t>
      </w:r>
      <w:r>
        <w:rPr>
          <w:rFonts w:ascii="Times New Roman;serif" w:hAnsi="Times New Roman;serif"/>
          <w:b w:val="false"/>
          <w:color w:val="000000"/>
          <w:sz w:val="20"/>
        </w:rPr>
        <w:t>The impact of these reductions to the federal workforce remains to be seen.</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a prolonged government shutdown occurs, continued reductions in the U.S. governmental workforce, or if global health concerns or other political or world events prevent the FDA or other regulatory authorities from conducting their regular reviews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before="0" w:after="0"/>
        <w:ind w:left="0" w:right="0" w:firstLine="495"/>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tariff policy and potential trade wars,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September 25, 2025, we entered into a Fourth Amendment to Loan and Security Agreement (the “Fourth Amendment”) with Silicon Valley Bank, a division of First-Citizens Bank &amp; Trust Company (“First-Citizens”), which amends the Company’s Original Loan Agreement, as amended by the First Amendment, the Second Amendment and the Third Amendment. The Third Amendment Term Loan extended by First-Citizens to us pursuant to the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The Fourth Amendment revised the periods in which the financial covenants applied. See “Note 7. Borrowings” to the “Notes to Consolidated Financial Statements” included in this report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Uncertainty in the coverage and reimbursement environment may decrease demand for our products and adversely affect our business.</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Minimally invasive surgical sacroiliac joint fusion procedures are primarily separated into two main types: procedures where the devices transfix the joint, and newer procedures using intra-articular (in-line) devices that do not transfix the joint.</w:t>
      </w:r>
      <w:r>
        <w:rPr>
          <w:color w:val="000000"/>
        </w:rPr>
        <w:t xml:space="preserve"> </w:t>
      </w:r>
      <w:r>
        <w:rPr>
          <w:rFonts w:ascii="Times New Roman;serif" w:hAnsi="Times New Roman;serif"/>
          <w:b w:val="false"/>
          <w:color w:val="000000"/>
          <w:sz w:val="20"/>
        </w:rPr>
        <w:t xml:space="preserve">The transfixing procedures are described by CPT Code 27279. The non-transfixing procedures are described by CPT Code 27278, which was adopted by the AMA CPT Editorial Panel on January 1, 2024.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erif" w:hAnsi="Times New Roman;serif"/>
          <w:b w:val="false"/>
          <w:color w:val="000000"/>
          <w:sz w:val="20"/>
        </w:rPr>
        <w:t>We believe that the favorable coverage and reimbursement profile of CPT Code 27279 as compared to CPT Code 27278 is a result of third-party payers’ review and assessment of peer-reviewed clinical literature supporting its use. Most procedures available to U.S. patients have a clear coding interpretation, reported as either CPT Code 27279 or 27278. Ambiguity exists, however, over the proper categorization of some sacroiliac joint devices which use an intra-articular (in-line) approach, but also have integrated fixation design features which “pierce” ilium and sacrum bones on either side of the implant. The AMA has accepted a proposal via the CPT Editorial process to change some of the code definition for CPT Code 27279, to allow newer sacroiliac joint procedures to be reported effective January 1, 2026.</w:t>
      </w:r>
      <w:r>
        <w:rPr>
          <w:color w:val="000000"/>
        </w:rPr>
        <w:t xml:space="preserve"> </w:t>
      </w:r>
      <w:r>
        <w:rPr>
          <w:rFonts w:ascii="Times New Roman;serif" w:hAnsi="Times New Roman;serif"/>
          <w:b w:val="false"/>
          <w:color w:val="000000"/>
          <w:sz w:val="20"/>
        </w:rPr>
        <w:t>These changes will impact the code definition for CPT 27279, but not for CPT 27278.</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If procedures requiring lower work effort supported by lower-quality clinical evidence, and/or having less favorable patient outcomes are reported via CPT Code 27279 as a result of changes to the code definitions, it may contribute to a loss of value for CPT Code 27279. This dynamic could also prompt reevaluations of third-party payers’ coverage policies, which could ultimately decrease demand for our products and negatively impact our business and prospects. Additionally, if physicians and facilities are confused about the proper coding for our products or our competitors’ products, physicians may choose competitors’ products or choose not to perform sacroiliac joint procedures altogether, which would adversely affect demand for our products.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Any changes of, or uncertainty with respect to, future coverage or reimbursement rates could affect demand for our products, which in turn could impact our ability to successfully commercialize our products and could have an adverse material effect on our business, financial condition and results of operations.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2025, we issued 694 net shares of our common stock to Oxford Finance LLC upon exercise of the warrant holder’s rights to purchase 44,907 shares of our common stock under that certain warrant. The exercise price per share was $16.47, and was paid by the holder via forfeiture of shares pursuant to a cashless exercise provision in the warrant. The issuance was exempt from registration under the Securities Act of 1933, as amended, pursuant to Section 3(a)(9) as exchanges of our securities by existing security holders where no commission or remuneration was paid or given directly or indirectly for soliciting the exchanges.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Trading Plans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 director or Section 16 officer adopted, amended or terminated any Rule 10b5-1 trading arrangement or non-Rule 10b5-1 trading arrangement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70"/>
        <w:gridCol w:w="1372"/>
        <w:gridCol w:w="1385"/>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7"/>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to Amended and Restated Certificate of Incorporation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6/26/2024</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6">
              <w:r>
                <w:rPr>
                  <w:rStyle w:val="InternetLink"/>
                  <w:rFonts w:ascii="Times New Roman;serif" w:hAnsi="Times New Roman;serif"/>
                  <w:b w:val="false"/>
                  <w:color w:val="0000FF"/>
                  <w:sz w:val="20"/>
                  <w:u w:val="single"/>
                </w:rPr>
                <w:t>3.1</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 xml:space="preserve">, and </w:t>
            </w:r>
            <w:hyperlink r:id="rId8">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Consulting Agreement between the Registrant and Anthony J. Recupero, effective as of February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Anthony J. Recupero’s retirement letter dated July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Amendment No. 1 to Manufacture and Supply Agreement, dated August 1, 2025, between the Registrant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4_fourthamendment.htm">
              <w:r>
                <w:rPr>
                  <w:rStyle w:val="InternetLink"/>
                  <w:rFonts w:ascii="Times New Roman;serif" w:hAnsi="Times New Roman;serif"/>
                  <w:b w:val="false"/>
                  <w:color w:val="0000FF"/>
                  <w:sz w:val="20"/>
                  <w:u w:val="single"/>
                </w:rPr>
                <w:t>Fourth Amendment to Loan and Security Agreement, dated September 25, 2025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05_danielwolfconsu.htm">
              <w:r>
                <w:rPr>
                  <w:rStyle w:val="InternetLink"/>
                  <w:rFonts w:ascii="Times New Roman;serif" w:hAnsi="Times New Roman;serif"/>
                  <w:b w:val="false"/>
                  <w:color w:val="000080"/>
                  <w:sz w:val="20"/>
                  <w:u w:val="single"/>
                </w:rPr>
                <w:t>Consulting</w:t>
              </w:r>
            </w:hyperlink>
            <w:hyperlink w:anchor="sibn-ex105_danielwolfconsu.htm">
              <w:r>
                <w:rPr>
                  <w:rStyle w:val="InternetLink"/>
                  <w:rFonts w:ascii="Times New Roman;serif" w:hAnsi="Times New Roman;serif"/>
                  <w:b w:val="false"/>
                  <w:color w:val="000080"/>
                  <w:sz w:val="20"/>
                  <w:u w:val="single"/>
                </w:rPr>
                <w:t xml:space="preserve"> </w:t>
              </w:r>
            </w:hyperlink>
            <w:hyperlink w:anchor="sibn-ex105_danielwolfconsu.htm">
              <w:r>
                <w:rPr>
                  <w:rStyle w:val="InternetLink"/>
                  <w:rFonts w:ascii="Times New Roman;serif" w:hAnsi="Times New Roman;serif"/>
                  <w:b w:val="false"/>
                  <w:color w:val="000080"/>
                  <w:sz w:val="20"/>
                  <w:u w:val="single"/>
                </w:rPr>
                <w:t xml:space="preserve">Agreement </w:t>
              </w:r>
            </w:hyperlink>
            <w:hyperlink w:anchor="sibn-ex105_danielwolfconsu.htm">
              <w:r>
                <w:rPr>
                  <w:rStyle w:val="InternetLink"/>
                  <w:rFonts w:ascii="Times New Roman;serif" w:hAnsi="Times New Roman;serif"/>
                  <w:b w:val="false"/>
                  <w:color w:val="000080"/>
                  <w:sz w:val="20"/>
                  <w:u w:val="single"/>
                </w:rPr>
                <w:t xml:space="preserve">by and among the </w:t>
              </w:r>
            </w:hyperlink>
            <w:hyperlink w:anchor="sibn-ex105_danielwolfconsu.htm">
              <w:r>
                <w:rPr>
                  <w:rStyle w:val="InternetLink"/>
                  <w:rFonts w:ascii="Times New Roman;serif" w:hAnsi="Times New Roman;serif"/>
                  <w:b w:val="false"/>
                  <w:color w:val="000080"/>
                  <w:sz w:val="20"/>
                  <w:u w:val="single"/>
                </w:rPr>
                <w:t>Registrant</w:t>
              </w:r>
            </w:hyperlink>
            <w:hyperlink w:anchor="sibn-ex105_danielwolfconsu.htm">
              <w:r>
                <w:rPr>
                  <w:rStyle w:val="InternetLink"/>
                  <w:rFonts w:ascii="Times New Roman;serif" w:hAnsi="Times New Roman;serif"/>
                  <w:b w:val="false"/>
                  <w:color w:val="000080"/>
                  <w:sz w:val="20"/>
                  <w:u w:val="single"/>
                </w:rPr>
                <w:t>, Daniel Wolf</w:t>
              </w:r>
            </w:hyperlink>
            <w:hyperlink w:anchor="sibn-ex105_danielwolfconsu.htm">
              <w:r>
                <w:rPr>
                  <w:rStyle w:val="InternetLink"/>
                  <w:rFonts w:ascii="Times New Roman;serif" w:hAnsi="Times New Roman;serif"/>
                  <w:b w:val="false"/>
                  <w:color w:val="000080"/>
                  <w:sz w:val="20"/>
                  <w:u w:val="single"/>
                </w:rPr>
                <w:t xml:space="preserve"> and </w:t>
              </w:r>
            </w:hyperlink>
            <w:hyperlink w:anchor="sibn-ex105_danielwolfconsu.htm">
              <w:r>
                <w:rPr>
                  <w:rStyle w:val="InternetLink"/>
                  <w:rFonts w:ascii="Times New Roman;serif" w:hAnsi="Times New Roman;serif"/>
                  <w:b w:val="false"/>
                  <w:color w:val="000080"/>
                  <w:sz w:val="20"/>
                  <w:u w:val="single"/>
                </w:rPr>
                <w:t>Convergence Bio Advisors LLC</w:t>
              </w:r>
            </w:hyperlink>
            <w:hyperlink w:anchor="sibn-ex105_danielwolfconsu.htm">
              <w:r>
                <w:rPr>
                  <w:rStyle w:val="InternetLink"/>
                  <w:rFonts w:ascii="Times New Roman;serif" w:hAnsi="Times New Roman;serif"/>
                  <w:b w:val="false"/>
                  <w:color w:val="000080"/>
                  <w:sz w:val="20"/>
                  <w:u w:val="single"/>
                </w:rPr>
                <w:t xml:space="preserve">, dated November 6, </w:t>
              </w:r>
            </w:hyperlink>
            <w:hyperlink w:anchor="sibn-ex105_danielwolfconsu.htm">
              <w:r>
                <w:rPr>
                  <w:rStyle w:val="InternetLink"/>
                  <w:rFonts w:ascii="Times New Roman;serif" w:hAnsi="Times New Roman;serif"/>
                  <w:b w:val="false"/>
                  <w:color w:val="000080"/>
                  <w:sz w:val="20"/>
                  <w:u w:val="single"/>
                </w:rPr>
                <w:t>2025</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0930202510x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0930202510x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0930202510xq.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Furnished herewith.</w:t>
      </w:r>
      <w:r>
        <w:rPr>
          <w:color w:val="000000"/>
        </w:rPr>
        <w:t> </w:t>
      </w:r>
      <w:r>
        <w:rPr>
          <w:rFonts w:ascii="Times New Roman;serif" w:hAnsi="Times New Roman;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lineRule="auto" w:line="288" w:before="0" w:after="0"/>
        <w:ind w:left="0" w:right="0" w:hanging="360"/>
        <w:jc w:val="left"/>
        <w:rPr/>
      </w:pP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Company has omitted portions of the referenced exhibit pursuant to Item 601(b) of Regulation S-K because it (a) is not material and (b) the type of information that the Registrant both customarily and actually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November 10, 2025.</w:t>
      </w:r>
    </w:p>
    <w:p>
      <w:pPr>
        <w:pStyle w:val="TextBody"/>
        <w:bidi w:val="0"/>
        <w:spacing w:lineRule="auto" w:line="288" w:before="0" w:after="0"/>
        <w:jc w:val="left"/>
        <w:rPr>
          <w:color w:val="000000"/>
        </w:rPr>
      </w:pPr>
      <w:r>
        <w:rPr>
          <w:color w:val="000000"/>
        </w:rPr>
        <w:t> </w:t>
      </w:r>
    </w:p>
    <w:tbl>
      <w:tblPr>
        <w:tblW w:w="9027" w:type="dxa"/>
        <w:jc w:val="center"/>
        <w:tblInd w:w="0" w:type="dxa"/>
        <w:tblLayout w:type="fixed"/>
        <w:tblCellMar>
          <w:top w:w="28" w:type="dxa"/>
          <w:left w:w="28" w:type="dxa"/>
          <w:bottom w:w="28" w:type="dxa"/>
          <w:right w:w="28" w:type="dxa"/>
        </w:tblCellMar>
      </w:tblPr>
      <w:tblGrid>
        <w:gridCol w:w="216"/>
        <w:gridCol w:w="191"/>
        <w:gridCol w:w="192"/>
        <w:gridCol w:w="569"/>
        <w:gridCol w:w="569"/>
        <w:gridCol w:w="571"/>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(Duly Authorized Officer and Principal Executive Officer</w:t>
            </w:r>
            <w:r>
              <w:rPr>
                <w:rFonts w:ascii="Times New Roman;serif" w:hAnsi="Times New Roman;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10.4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INFORMATION IDENTIFIED BY “[***]” HAS BEEN EXCLUDED FROM THE EXHIBIT BECAUSE IT IS BOTH NOT MATERIAL AND IS THE TYPE OF INFORMATION THAT THE REGISTRANT TREATS AS PRIVATE OR CONFIDENTIAL.</w:t>
      </w: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FOURTH AMENDMENT TO</w:t>
        <w:br/>
        <w:t>LOAN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Fourth Amendment to Loan and Security Agreement (this</w:t>
      </w:r>
      <w:r>
        <w:rPr>
          <w:color w:val="000000"/>
        </w:rPr>
        <w:t xml:space="preserve">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xml:space="preserve">) is entered into as of September 25, 2025, by and between (i) </w:t>
      </w:r>
      <w:r>
        <w:rPr>
          <w:rFonts w:ascii="Times New Roman;serif" w:hAnsi="Times New Roman;serif"/>
          <w:b/>
          <w:color w:val="000000"/>
          <w:sz w:val="22"/>
        </w:rPr>
        <w:t>SILICON VALLEY BANK</w:t>
      </w:r>
      <w:r>
        <w:rPr>
          <w:rFonts w:ascii="Times New Roman;serif" w:hAnsi="Times New Roman;serif"/>
          <w:b w:val="false"/>
          <w:color w:val="000000"/>
          <w:sz w:val="22"/>
        </w:rPr>
        <w:t>, a division of First-Citizens Bank &amp; Trust Company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 xml:space="preserve">), and (ii) </w:t>
      </w:r>
      <w:r>
        <w:rPr>
          <w:rFonts w:ascii="Times New Roman;serif" w:hAnsi="Times New Roman;serif"/>
          <w:b/>
          <w:color w:val="000000"/>
          <w:sz w:val="22"/>
        </w:rPr>
        <w:t>SI-BONE, INC.</w:t>
      </w:r>
      <w:r>
        <w:rPr>
          <w:rFonts w:ascii="Times New Roman;serif" w:hAnsi="Times New Roman;serif"/>
          <w:b w:val="false"/>
          <w:color w:val="000000"/>
          <w:sz w:val="22"/>
        </w:rPr>
        <w:t>, a Delaware corporation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40" w:before="0" w:after="240"/>
        <w:ind w:left="0" w:right="0" w:firstLine="720"/>
        <w:jc w:val="both"/>
        <w:rPr/>
      </w:pPr>
      <w:r>
        <w:rPr>
          <w:rFonts w:ascii="Times New Roman;serif" w:hAnsi="Times New Roman;serif"/>
          <w:b/>
          <w:color w:val="000000"/>
          <w:sz w:val="24"/>
        </w:rPr>
        <w:t>A.</w:t>
      </w:r>
      <w:r>
        <w:rPr>
          <w:rFonts w:ascii="Times New Roman;serif" w:hAnsi="Times New Roman;serif"/>
          <w:b w:val="false"/>
          <w:color w:val="000000"/>
          <w:sz w:val="22"/>
        </w:rPr>
        <w:t>Bank and Borrower have entered into that certain Loan and Security Agreement dated as of August 12, 2021 (the “</w:t>
      </w:r>
      <w:r>
        <w:rPr>
          <w:rFonts w:ascii="Times New Roman;serif" w:hAnsi="Times New Roman;serif"/>
          <w:b/>
          <w:color w:val="000000"/>
          <w:sz w:val="22"/>
        </w:rPr>
        <w:t>Existing Loan Agreement</w:t>
      </w:r>
      <w:r>
        <w:rPr>
          <w:color w:val="000000"/>
        </w:rPr>
        <w:t>”</w:t>
      </w:r>
      <w:r>
        <w:rPr>
          <w:rFonts w:ascii="Times New Roman;serif" w:hAnsi="Times New Roman;serif"/>
          <w:b w:val="false"/>
          <w:color w:val="000000"/>
          <w:sz w:val="22"/>
        </w:rPr>
        <w:t>; the Existing Loan Agreement, as amended, restated, amended and restated, modified, or supplemented from time to time, including by that certain First Amendment to Loan and Security Agreement dated as of January 6, 2023, that certain Letter Agreement dated as of March 24, 2023, that certain Second Amendment to Loan and Security Agreement dated as of January 25, 2024, and that certain Third Amendment to Loan and Security Agreement dated as of November 8, 2024, collectively, the “</w:t>
      </w:r>
      <w:r>
        <w:rPr>
          <w:rFonts w:ascii="Times New Roman;serif" w:hAnsi="Times New Roman;serif"/>
          <w:b/>
          <w:color w:val="000000"/>
          <w:sz w:val="22"/>
        </w:rPr>
        <w:t>Loan Agreement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B.</w:t>
      </w:r>
      <w:r>
        <w:rPr>
          <w:rFonts w:ascii="Times New Roman;serif" w:hAnsi="Times New Roman;serif"/>
          <w:b w:val="false"/>
          <w:color w:val="000000"/>
          <w:sz w:val="22"/>
        </w:rPr>
        <w:t xml:space="preserve">Bank has extended credit to Borrower for the purposes permitted in the Loan Agreement. </w:t>
      </w:r>
    </w:p>
    <w:p>
      <w:pPr>
        <w:pStyle w:val="TextBody"/>
        <w:bidi w:val="0"/>
        <w:spacing w:lineRule="auto" w:line="240" w:before="0" w:after="240"/>
        <w:ind w:left="0" w:right="0" w:firstLine="720"/>
        <w:jc w:val="both"/>
        <w:rPr/>
      </w:pPr>
      <w:r>
        <w:rPr>
          <w:rFonts w:ascii="Times New Roman;serif" w:hAnsi="Times New Roman;serif"/>
          <w:b/>
          <w:color w:val="000000"/>
          <w:sz w:val="24"/>
        </w:rPr>
        <w:t>C.</w:t>
      </w:r>
      <w:r>
        <w:rPr>
          <w:rFonts w:ascii="Times New Roman;serif" w:hAnsi="Times New Roman;serif"/>
          <w:b w:val="false"/>
          <w:color w:val="000000"/>
          <w:sz w:val="22"/>
        </w:rPr>
        <w:t>Borrower has requested that Bank amend the Loan Agreement to make certain revisions to the Loan Agreement as more fully set forth herein.</w:t>
      </w:r>
    </w:p>
    <w:p>
      <w:pPr>
        <w:pStyle w:val="TextBody"/>
        <w:bidi w:val="0"/>
        <w:spacing w:lineRule="auto" w:line="240" w:before="0" w:after="240"/>
        <w:ind w:left="0" w:right="0" w:firstLine="720"/>
        <w:jc w:val="both"/>
        <w:rPr/>
      </w:pPr>
      <w:r>
        <w:rPr>
          <w:rFonts w:ascii="Times New Roman;serif" w:hAnsi="Times New Roman;serif"/>
          <w:b/>
          <w:color w:val="000000"/>
          <w:sz w:val="24"/>
        </w:rPr>
        <w:t>D.</w:t>
      </w:r>
      <w:r>
        <w:rPr>
          <w:rFonts w:ascii="Times New Roman;serif" w:hAnsi="Times New Roman;serif"/>
          <w:b w:val="false"/>
          <w:color w:val="000000"/>
          <w:sz w:val="22"/>
        </w:rPr>
        <w:t>Bank has agreed to so amend certain provisions of the Loan Agreement, but only to the extent, in accordance with the terms, subject to the conditions and in reliance upon the representations and warranties set forth below.</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foregoing recitals and other good and valuable consideration, the receipt and adequacy of which is hereby acknowledged, and intending to be legally bound, the parties hereto agree as follows:</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Definitions.</w:t>
      </w:r>
      <w:r>
        <w:rPr>
          <w:color w:val="000000"/>
        </w:rPr>
        <w:t xml:space="preserve"> </w:t>
      </w:r>
      <w:r>
        <w:rPr>
          <w:rFonts w:ascii="Times New Roman;serif" w:hAnsi="Times New Roman;serif"/>
          <w:b w:val="false"/>
          <w:color w:val="000000"/>
          <w:sz w:val="22"/>
        </w:rPr>
        <w:t>Capitalized terms used but not defined in this Amendment shall have the meanings given to them in the Loan Agreement.</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Amendments to Loan Agreement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color w:val="000000"/>
          <w:sz w:val="22"/>
        </w:rPr>
        <w:t>2.1</w:t>
      </w:r>
      <w:r>
        <w:rPr>
          <w:rFonts w:ascii="Times New Roman;serif" w:hAnsi="Times New Roman;serif"/>
          <w:b/>
          <w:color w:val="000000"/>
          <w:sz w:val="22"/>
        </w:rPr>
        <w:t>Section 5.10 (Financial Covenant (Net Revenue))</w:t>
      </w:r>
      <w:r>
        <w:rPr>
          <w:rFonts w:ascii="Times New Roman;serif" w:hAnsi="Times New Roman;serif"/>
          <w:b w:val="false"/>
          <w:color w:val="000000"/>
          <w:sz w:val="22"/>
        </w:rPr>
        <w:t xml:space="preserve">. Section 5.10 of the Loan Agreement hereby is amended and restated in its entirety to read as follows: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 xml:space="preserve">5.10    Financial Covenant (Net Revenue). </w:t>
      </w:r>
      <w:r>
        <w:rPr>
          <w:rFonts w:ascii="Times New Roman;serif" w:hAnsi="Times New Roman;serif"/>
          <w:b w:val="false"/>
          <w:color w:val="000000"/>
          <w:sz w:val="22"/>
        </w:rPr>
        <w:t xml:space="preserve">Commencing on June 30, 2026, Borrower shall achieve Net Revenue (measured in accordance with GAAP on a trailing six (6) month basis), tested quarterly on the last day of each calendar quarter, in an amount equal to or greater than the levels to be agreed upon between Borrower and Bank with respect to which Borrower hereby agrees: (i) shall be documented in an amendment to this Agreement, in form and substance acceptable to Bank, which amendment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executed no later than: (x) for the fiscal year ending on December 31, 2026, the earlier to occur of 1) the date when Borrower’s unrestricted cash and Cash Equivalent held with Bank and Bank’s Affiliates is equal to or falls below [***] Dollars, and 2) September 30, 2026, with Borrower’s failure to enter into such amendment to this Agreement to reset such covenant levels on or prior to such date being an immediate and non-curable Event of Default hereunder; and (y) for the fiscal year ending on December 31, 2027 and any fiscal year after that, February 28th of each year beginning with February 28, 2027, with Borrower’s failure to enter into such amendment to this Agreement to reset such covenant levels on or prior to February 28th of each year being an immediate and non-curable Event of Default hereunder; (ii) shall be based on Borrower’s projections delivered to Bank in accordance with Section 5.3(e) hereof and acceptable to Bank in its commercially reasonable discretion with such projections for Borrower’s 2026 fiscal year showing a year-over-year growth satisfactory to Bank in its sole discretion. Notwithstanding the foregoing, such Net Revenue covenant will not be tested for a certain calendar quarter if (1) Borrower’s unrestricted and unencumbered (except for Liens in favor of Bank) cash and Cash Equivalents held at Bank and Bank’s Affiliates is equal to or greater than [***] at all times during such calendar quarter, or (2) Borrower achieves Adjusted EBITDA (calculated on a trailing six (6) month basis) of equal to or greater than [***] tested as of the last day of such calendar quarter.”</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Limitation of Amendment.</w:t>
      </w:r>
    </w:p>
    <w:p>
      <w:pPr>
        <w:pStyle w:val="TextBody"/>
        <w:bidi w:val="0"/>
        <w:spacing w:lineRule="auto" w:line="240" w:before="0" w:after="240"/>
        <w:ind w:left="0" w:right="0" w:firstLine="1440"/>
        <w:jc w:val="both"/>
        <w:rPr/>
      </w:pPr>
      <w:r>
        <w:rPr>
          <w:rFonts w:ascii="Times New Roman;serif" w:hAnsi="Times New Roman;serif"/>
          <w:b/>
          <w:color w:val="000000"/>
          <w:sz w:val="22"/>
        </w:rPr>
        <w:t>3.1</w:t>
      </w:r>
      <w:r>
        <w:rPr>
          <w:rFonts w:ascii="Times New Roman;serif" w:hAnsi="Times New Roman;serif"/>
          <w:b w:val="false"/>
          <w:color w:val="000000"/>
          <w:sz w:val="22"/>
        </w:rPr>
        <w:t>This Amendment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lineRule="auto" w:line="240" w:before="0" w:after="240"/>
        <w:ind w:left="0" w:right="0" w:firstLine="1440"/>
        <w:jc w:val="both"/>
        <w:rPr/>
      </w:pPr>
      <w:r>
        <w:rPr>
          <w:rFonts w:ascii="Times New Roman;serif" w:hAnsi="Times New Roman;serif"/>
          <w:b/>
          <w:color w:val="000000"/>
          <w:sz w:val="22"/>
        </w:rPr>
        <w:t>3.2</w:t>
      </w:r>
      <w:r>
        <w:rPr>
          <w:rFonts w:ascii="Times New Roman;serif" w:hAnsi="Times New Roman;serif"/>
          <w:b w:val="false"/>
          <w:color w:val="000000"/>
          <w:sz w:val="22"/>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Representations and Warranties.</w:t>
      </w:r>
      <w:r>
        <w:rPr>
          <w:color w:val="000000"/>
        </w:rPr>
        <w:t xml:space="preserve"> </w:t>
      </w:r>
      <w:r>
        <w:rPr>
          <w:rFonts w:ascii="Times New Roman;serif" w:hAnsi="Times New Roman;serif"/>
          <w:b w:val="false"/>
          <w:color w:val="000000"/>
          <w:sz w:val="22"/>
        </w:rPr>
        <w:t>To induce Bank to enter into this Amendment, Borrower hereby represents and warrants to Bank as follows:</w:t>
      </w:r>
    </w:p>
    <w:p>
      <w:pPr>
        <w:pStyle w:val="TextBody"/>
        <w:bidi w:val="0"/>
        <w:spacing w:lineRule="auto" w:line="240" w:before="0" w:after="240"/>
        <w:ind w:left="0" w:right="0" w:firstLine="1440"/>
        <w:jc w:val="both"/>
        <w:rPr/>
      </w:pPr>
      <w:r>
        <w:rPr>
          <w:rFonts w:ascii="Times New Roman;serif" w:hAnsi="Times New Roman;serif"/>
          <w:b/>
          <w:color w:val="000000"/>
          <w:sz w:val="22"/>
        </w:rPr>
        <w:t>4.1</w:t>
      </w:r>
      <w:r>
        <w:rPr>
          <w:rFonts w:ascii="Times New Roman;serif" w:hAnsi="Times New Roman;serif"/>
          <w:b w:val="false"/>
          <w:color w:val="000000"/>
          <w:sz w:val="22"/>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lineRule="auto" w:line="240" w:before="0" w:after="240"/>
        <w:ind w:left="0" w:right="0" w:firstLine="1440"/>
        <w:jc w:val="both"/>
        <w:rPr/>
      </w:pPr>
      <w:r>
        <w:rPr>
          <w:rFonts w:ascii="Times New Roman;serif" w:hAnsi="Times New Roman;serif"/>
          <w:b/>
          <w:color w:val="000000"/>
          <w:sz w:val="22"/>
        </w:rPr>
        <w:t>4.2</w:t>
      </w:r>
      <w:r>
        <w:rPr>
          <w:rFonts w:ascii="Times New Roman;serif" w:hAnsi="Times New Roman;serif"/>
          <w:b w:val="false"/>
          <w:color w:val="000000"/>
          <w:sz w:val="22"/>
        </w:rPr>
        <w:t>Borrower has the power and authority to execute and deliver this Amendment and to perform its obligations under the Loan Agreement, as affected by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4.3</w:t>
      </w:r>
      <w:r>
        <w:rPr>
          <w:rFonts w:ascii="Times New Roman;serif" w:hAnsi="Times New Roman;serif"/>
          <w:b w:val="false"/>
          <w:color w:val="000000"/>
          <w:sz w:val="22"/>
        </w:rPr>
        <w:t xml:space="preserve">The organizational documents of Borrower delivered to Bank on the First Amendment Effective Date remain true, accurate and complete and have not been amended, supplemented or restated and are and continue to be in full force and effect; </w:t>
      </w:r>
    </w:p>
    <w:p>
      <w:pPr>
        <w:pStyle w:val="TextBody"/>
        <w:bidi w:val="0"/>
        <w:spacing w:lineRule="auto" w:line="240" w:before="0" w:after="240"/>
        <w:ind w:left="0" w:right="0" w:firstLine="1440"/>
        <w:jc w:val="both"/>
        <w:rPr/>
      </w:pPr>
      <w:r>
        <w:rPr>
          <w:rFonts w:ascii="Times New Roman;serif" w:hAnsi="Times New Roman;serif"/>
          <w:b/>
          <w:color w:val="000000"/>
          <w:sz w:val="22"/>
        </w:rPr>
        <w:t>4.4</w:t>
      </w:r>
      <w:r>
        <w:rPr>
          <w:rFonts w:ascii="Times New Roman;serif" w:hAnsi="Times New Roman;serif"/>
          <w:b w:val="false"/>
          <w:color w:val="000000"/>
          <w:sz w:val="22"/>
        </w:rPr>
        <w:t xml:space="preserve">The execution and delivery by Borrower of this Amendment and the performance by Borrower of its obligations under the Loan Agreement, as affected by this Amendment, have been duly authorized; </w:t>
      </w:r>
    </w:p>
    <w:p>
      <w:pPr>
        <w:pStyle w:val="TextBody"/>
        <w:bidi w:val="0"/>
        <w:spacing w:lineRule="auto" w:line="240" w:before="0" w:after="240"/>
        <w:ind w:left="0" w:right="0" w:firstLine="1440"/>
        <w:jc w:val="both"/>
        <w:rPr/>
      </w:pPr>
      <w:r>
        <w:rPr>
          <w:rFonts w:ascii="Times New Roman;serif" w:hAnsi="Times New Roman;serif"/>
          <w:b/>
          <w:color w:val="000000"/>
          <w:sz w:val="22"/>
        </w:rPr>
        <w:t>4.5</w:t>
      </w:r>
      <w:r>
        <w:rPr>
          <w:rFonts w:ascii="Times New Roman;serif" w:hAnsi="Times New Roman;serif"/>
          <w:b w:val="false"/>
          <w:color w:val="000000"/>
          <w:sz w:val="22"/>
        </w:rPr>
        <w:t xml:space="preserve">The execution and delivery by Borrower of this Amendment and the performance by Borrower of its obligations under the Loan Agreement, as affected by this Amendment, do not and will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or applicable consents or waivers have been obtained; </w:t>
      </w:r>
    </w:p>
    <w:p>
      <w:pPr>
        <w:pStyle w:val="TextBody"/>
        <w:bidi w:val="0"/>
        <w:spacing w:lineRule="auto" w:line="240" w:before="0" w:after="240"/>
        <w:ind w:left="0" w:right="0" w:firstLine="1440"/>
        <w:jc w:val="both"/>
        <w:rPr/>
      </w:pPr>
      <w:r>
        <w:rPr>
          <w:rFonts w:ascii="Times New Roman;serif" w:hAnsi="Times New Roman;serif"/>
          <w:b/>
          <w:color w:val="000000"/>
          <w:sz w:val="22"/>
        </w:rPr>
        <w:t>4.6</w:t>
      </w:r>
      <w:r>
        <w:rPr>
          <w:rFonts w:ascii="Times New Roman;serif" w:hAnsi="Times New Roman;serif"/>
          <w:b w:val="false"/>
          <w:color w:val="000000"/>
          <w:sz w:val="22"/>
        </w:rPr>
        <w:t>The execution and delivery by Borrower of this Amendment and the performance by Borrower of its obligations under the Loan Agreement, as affected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lineRule="auto" w:line="240" w:before="0" w:after="240"/>
        <w:ind w:left="0" w:right="0" w:firstLine="1440"/>
        <w:jc w:val="both"/>
        <w:rPr/>
      </w:pPr>
      <w:r>
        <w:rPr>
          <w:rFonts w:ascii="Times New Roman;serif" w:hAnsi="Times New Roman;serif"/>
          <w:b/>
          <w:color w:val="000000"/>
          <w:sz w:val="22"/>
        </w:rPr>
        <w:t>4.7</w:t>
      </w:r>
      <w:r>
        <w:rPr>
          <w:rFonts w:ascii="Times New Roman;serif" w:hAnsi="Times New Roman;serif"/>
          <w:b w:val="false"/>
          <w:color w:val="000000"/>
          <w:sz w:val="22"/>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Ratification of Updated Perfection Certificate</w:t>
      </w:r>
      <w:r>
        <w:rPr>
          <w:rFonts w:ascii="Times New Roman;serif" w:hAnsi="Times New Roman;serif"/>
          <w:b w:val="false"/>
          <w:color w:val="000000"/>
          <w:sz w:val="22"/>
        </w:rPr>
        <w:t>. Borrower delivered an updated Perfection Certificate in connection with that certain Third Amendment to Loan and Security Agreement dated as of November 8, 2024 (the “</w:t>
      </w:r>
      <w:r>
        <w:rPr>
          <w:rFonts w:ascii="Times New Roman;serif" w:hAnsi="Times New Roman;serif"/>
          <w:b/>
          <w:color w:val="000000"/>
          <w:sz w:val="22"/>
        </w:rPr>
        <w:t>Updated Perfection Certificate</w:t>
      </w:r>
      <w:r>
        <w:rPr>
          <w:color w:val="000000"/>
        </w:rPr>
        <w:t>”</w:t>
      </w:r>
      <w:r>
        <w:rPr>
          <w:rFonts w:ascii="Times New Roman;serif" w:hAnsi="Times New Roman;serif"/>
          <w:b w:val="false"/>
          <w:color w:val="000000"/>
          <w:sz w:val="22"/>
        </w:rPr>
        <w:t>). Borrower hereby ratifies, confirms and reaffirms, all and singular, the terms and disclosures contained in the Updated Perfection Certificate dated on or prior to November 8, 2024 and acknowledges, confirms and agrees that the disclosures and information Borrower provided to Bank in the Updated Perfection Certificate have not changed, as of the date hereof.</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Prior Agreement</w:t>
      </w:r>
      <w:r>
        <w:rPr>
          <w:rFonts w:ascii="Times New Roman;serif" w:hAnsi="Times New Roman;serif"/>
          <w:b w:val="false"/>
          <w:color w:val="000000"/>
          <w:sz w:val="22"/>
        </w:rPr>
        <w:t xml:space="preserve">. The Loan Documents are hereby ratified and reaffirmed and shall remain in full force and effect. Borrower hereby ratifies, confirms, and reaffirms all terms and conditions of all security or other collateral granted to the Bank, and confirms that the indebtedness secured thereby includes, without limitation, the Obligations. This Amendment is not a novation and the terms and conditions of this Amendment shall be in addition to and supplemental to all terms and conditions set forth in the Loan Documents. In the event of any conflict or inconsistency between this Amendment and the terms of such documents, the terms of this Amendment shall be controlling, but such document shall not otherwise be affected or the rights therein impaired. </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Integration</w:t>
      </w:r>
      <w:r>
        <w:rPr>
          <w:rFonts w:ascii="Times New Roman;serif" w:hAnsi="Times New Roman;serif"/>
          <w:b w:val="false"/>
          <w:color w:val="000000"/>
          <w:sz w:val="22"/>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Counterparts.</w:t>
      </w:r>
      <w:r>
        <w:rPr>
          <w:color w:val="000000"/>
        </w:rPr>
        <w:t xml:space="preserve"> </w:t>
      </w:r>
      <w:r>
        <w:rPr>
          <w:rFonts w:ascii="Times New Roman;serif" w:hAnsi="Times New Roman;serif"/>
          <w:b w:val="false"/>
          <w:color w:val="000000"/>
          <w:sz w:val="22"/>
        </w:rPr>
        <w:t>This Amendment may be executed in any number of counterparts and all of such counterparts taken together shall be deemed to constitute one and the same instrument.</w:t>
      </w:r>
    </w:p>
    <w:p>
      <w:pPr>
        <w:pStyle w:val="TextBody"/>
        <w:bidi w:val="0"/>
        <w:spacing w:lineRule="auto" w:line="240"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Fees and Expenses</w:t>
      </w:r>
      <w:r>
        <w:rPr>
          <w:rFonts w:ascii="Times New Roman;serif" w:hAnsi="Times New Roman;serif"/>
          <w:b w:val="false"/>
          <w:color w:val="000000"/>
          <w:sz w:val="22"/>
        </w:rPr>
        <w:t>. Borrower shall pay to Bank on the date first listed above all Bank Expenses due and owing as of the date hereof. The fees and expenses listed in the previous sentence may be debited from any of Borrower’s accounts at Bank.</w:t>
      </w:r>
    </w:p>
    <w:p>
      <w:pPr>
        <w:pStyle w:val="TextBody"/>
        <w:bidi w:val="0"/>
        <w:spacing w:lineRule="auto" w:line="240"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2"/>
        </w:rPr>
        <w:t>Conditions to Effectiveness</w:t>
      </w:r>
      <w:r>
        <w:rPr>
          <w:rFonts w:ascii="Times New Roman;serif" w:hAnsi="Times New Roman;serif"/>
          <w:b w:val="false"/>
          <w:color w:val="000000"/>
          <w:sz w:val="22"/>
        </w:rPr>
        <w:t>. As a condition precedent to the effectiveness of this Amendment and Bank’s obligation to make further Credit Extensions, Bank shall have received the following prior to or concurrently with this Amendment, each in form and substance satisfactory to Bank:</w:t>
      </w:r>
    </w:p>
    <w:p>
      <w:pPr>
        <w:pStyle w:val="TextBody"/>
        <w:bidi w:val="0"/>
        <w:spacing w:lineRule="auto" w:line="240" w:before="0" w:after="240"/>
        <w:ind w:left="0" w:right="0" w:firstLine="1440"/>
        <w:jc w:val="both"/>
        <w:rPr/>
      </w:pPr>
      <w:r>
        <w:rPr>
          <w:rFonts w:ascii="Times New Roman;serif" w:hAnsi="Times New Roman;serif"/>
          <w:b/>
          <w:color w:val="000000"/>
          <w:sz w:val="22"/>
        </w:rPr>
        <w:t>10.1</w:t>
      </w:r>
      <w:r>
        <w:rPr>
          <w:rFonts w:ascii="Times New Roman;serif" w:hAnsi="Times New Roman;serif"/>
          <w:b w:val="false"/>
          <w:color w:val="000000"/>
          <w:sz w:val="22"/>
        </w:rPr>
        <w:t>The due execution and delivery to Bank of this Amendment by each party thereto; and</w:t>
      </w:r>
    </w:p>
    <w:p>
      <w:pPr>
        <w:pStyle w:val="TextBody"/>
        <w:bidi w:val="0"/>
        <w:spacing w:lineRule="auto" w:line="240" w:before="0" w:after="240"/>
        <w:ind w:left="0" w:right="0" w:firstLine="1440"/>
        <w:jc w:val="both"/>
        <w:rPr/>
      </w:pPr>
      <w:r>
        <w:rPr>
          <w:rFonts w:ascii="Times New Roman;serif" w:hAnsi="Times New Roman;serif"/>
          <w:b/>
          <w:color w:val="000000"/>
          <w:sz w:val="22"/>
        </w:rPr>
        <w:t>10.2</w:t>
      </w:r>
      <w:r>
        <w:rPr>
          <w:rFonts w:ascii="Times New Roman;serif" w:hAnsi="Times New Roman;serif"/>
          <w:b w:val="false"/>
          <w:color w:val="000000"/>
          <w:sz w:val="22"/>
        </w:rPr>
        <w:t>such other documents as Bank may reasonably request to effectuate the terms of this Amendment.</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Governing Law</w:t>
      </w:r>
      <w:r>
        <w:rPr>
          <w:rFonts w:ascii="Times New Roman;serif" w:hAnsi="Times New Roman;serif"/>
          <w:b w:val="false"/>
          <w:color w:val="000000"/>
          <w:sz w:val="22"/>
        </w:rPr>
        <w:t xml:space="preserve">. This Amendment and any claim, controversy, dispute or cause of action (whether in contract or tort or otherwise) based upon, arising out of or relating to this Amendment and the transactions contemplated hereby and thereby shall be governed by, and construed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laws of the State of California, without giving effect to any choice or conflict of law provision or rule (whether of the State of California or any other jurisdiction). </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Miscellaneous.</w:t>
      </w:r>
    </w:p>
    <w:p>
      <w:pPr>
        <w:pStyle w:val="TextBody"/>
        <w:bidi w:val="0"/>
        <w:spacing w:lineRule="auto" w:line="240" w:before="0" w:after="240"/>
        <w:ind w:left="0" w:right="0" w:firstLine="1440"/>
        <w:jc w:val="both"/>
        <w:rPr/>
      </w:pPr>
      <w:r>
        <w:rPr>
          <w:rFonts w:ascii="Times New Roman;serif" w:hAnsi="Times New Roman;serif"/>
          <w:b/>
          <w:color w:val="000000"/>
          <w:sz w:val="22"/>
        </w:rPr>
        <w:t>12.1</w:t>
      </w:r>
      <w:r>
        <w:rPr>
          <w:rFonts w:ascii="Times New Roman;serif" w:hAnsi="Times New Roman;serif"/>
          <w:b w:val="false"/>
          <w:color w:val="000000"/>
          <w:sz w:val="22"/>
        </w:rPr>
        <w:t>This Amendment shall constitute a Loan Document under the Loan Agreement; the failure to comply with the covenants contained herein shall constitute an 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pStyle w:val="TextBody"/>
        <w:bidi w:val="0"/>
        <w:spacing w:lineRule="auto" w:line="240" w:before="0" w:after="240"/>
        <w:ind w:left="0" w:right="0" w:firstLine="1440"/>
        <w:jc w:val="both"/>
        <w:rPr/>
      </w:pPr>
      <w:r>
        <w:rPr>
          <w:rFonts w:ascii="Times New Roman;serif" w:hAnsi="Times New Roman;serif"/>
          <w:b/>
          <w:color w:val="000000"/>
          <w:sz w:val="22"/>
        </w:rPr>
        <w:t>12.2</w:t>
      </w:r>
      <w:r>
        <w:rPr>
          <w:rFonts w:ascii="Times New Roman;serif" w:hAnsi="Times New Roman;serif"/>
          <w:b w:val="false"/>
          <w:color w:val="000000"/>
          <w:sz w:val="22"/>
        </w:rPr>
        <w:t>Each provision of this Amendment is severable from every other provision in determining the enforceability of any provision.</w:t>
      </w:r>
    </w:p>
    <w:p>
      <w:pPr>
        <w:pStyle w:val="TextBody"/>
        <w:bidi w:val="0"/>
        <w:spacing w:lineRule="auto" w:line="240" w:before="0" w:after="240"/>
        <w:ind w:left="0" w:right="0" w:firstLine="1440"/>
        <w:jc w:val="both"/>
        <w:rPr/>
      </w:pPr>
      <w:r>
        <w:rPr>
          <w:rFonts w:ascii="Times New Roman;serif" w:hAnsi="Times New Roman;serif"/>
          <w:b/>
          <w:color w:val="000000"/>
          <w:sz w:val="22"/>
        </w:rPr>
        <w:t>12.3</w:t>
      </w:r>
      <w:r>
        <w:rPr>
          <w:rFonts w:ascii="Times New Roman;serif" w:hAnsi="Times New Roman;serif"/>
          <w:b w:val="false"/>
          <w:color w:val="000000"/>
          <w:sz w:val="22"/>
        </w:rPr>
        <w:t>This Amendment may be executed in any number of counterparts and all of such counterparts taken together shall be deemed to constitute one and the same instrument.</w:t>
      </w:r>
    </w:p>
    <w:p>
      <w:pPr>
        <w:pStyle w:val="TextBody"/>
        <w:bidi w:val="0"/>
        <w:spacing w:lineRule="auto" w:line="240" w:before="0" w:after="240"/>
        <w:ind w:left="0" w:right="0" w:firstLine="1440"/>
        <w:jc w:val="both"/>
        <w:rPr/>
      </w:pPr>
      <w:r>
        <w:rPr>
          <w:rFonts w:ascii="Times New Roman;serif" w:hAnsi="Times New Roman;serif"/>
          <w:b/>
          <w:color w:val="000000"/>
          <w:sz w:val="22"/>
        </w:rPr>
        <w:t>12.4</w:t>
      </w:r>
      <w:r>
        <w:rPr>
          <w:rFonts w:ascii="Times New Roman;serif" w:hAnsi="Times New Roman;serif"/>
          <w:b w:val="false"/>
          <w:color w:val="000000"/>
          <w:sz w:val="22"/>
        </w:rPr>
        <w:t>The Loan Documents are hereby amended wherever necessary to reflect the changes described above.</w:t>
      </w:r>
    </w:p>
    <w:p>
      <w:pPr>
        <w:pStyle w:val="TextBody"/>
        <w:bidi w:val="0"/>
        <w:spacing w:lineRule="auto" w:line="240" w:before="0" w:after="240"/>
        <w:ind w:left="0" w:right="0" w:firstLine="1440"/>
        <w:jc w:val="both"/>
        <w:rPr/>
      </w:pPr>
      <w:r>
        <w:rPr>
          <w:rFonts w:ascii="Times New Roman;serif" w:hAnsi="Times New Roman;serif"/>
          <w:b/>
          <w:color w:val="000000"/>
          <w:sz w:val="22"/>
        </w:rPr>
        <w:t>12.5</w:t>
      </w:r>
      <w:r>
        <w:rPr>
          <w:rFonts w:ascii="Times New Roman;serif" w:hAnsi="Times New Roman;serif"/>
          <w:b w:val="false"/>
          <w:color w:val="000000"/>
          <w:sz w:val="22"/>
        </w:rPr>
        <w:t>Section 11.9 of the Loan Agreement applies to this Amendment t.</w:t>
      </w:r>
    </w:p>
    <w:p>
      <w:pPr>
        <w:pStyle w:val="TextBody"/>
        <w:bidi w:val="0"/>
        <w:spacing w:lineRule="auto" w:line="240" w:before="0" w:after="240"/>
        <w:ind w:left="0" w:right="0" w:firstLine="1440"/>
        <w:jc w:val="both"/>
        <w:rPr/>
      </w:pPr>
      <w:r>
        <w:rPr>
          <w:rFonts w:ascii="Times New Roman;serif" w:hAnsi="Times New Roman;serif"/>
          <w:b/>
          <w:color w:val="000000"/>
          <w:sz w:val="22"/>
        </w:rPr>
        <w:t>12.6</w:t>
      </w:r>
      <w:r>
        <w:rPr>
          <w:rFonts w:ascii="Times New Roman;serif" w:hAnsi="Times New Roman;serif"/>
          <w:b w:val="false"/>
          <w:color w:val="000000"/>
          <w:sz w:val="22"/>
        </w:rPr>
        <w:t>This Amendment and the rights and obligations of the parties hereto shall be governed by and construed in accordance with the laws of the State of California.</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hereto have caused this Amendment to be duly executed and delivered as of the date first written above.</w:t>
      </w:r>
    </w:p>
    <w:tbl>
      <w:tblPr>
        <w:tblW w:w="7840" w:type="dxa"/>
        <w:jc w:val="left"/>
        <w:tblInd w:w="0" w:type="dxa"/>
        <w:tblLayout w:type="fixed"/>
        <w:tblCellMar>
          <w:top w:w="28" w:type="dxa"/>
          <w:left w:w="28" w:type="dxa"/>
          <w:bottom w:w="28" w:type="dxa"/>
          <w:right w:w="28" w:type="dxa"/>
        </w:tblCellMar>
      </w:tblPr>
      <w:tblGrid>
        <w:gridCol w:w="1695"/>
        <w:gridCol w:w="1491"/>
        <w:gridCol w:w="1493"/>
        <w:gridCol w:w="109"/>
        <w:gridCol w:w="109"/>
        <w:gridCol w:w="109"/>
        <w:gridCol w:w="829"/>
        <w:gridCol w:w="829"/>
        <w:gridCol w:w="1176"/>
      </w:tblGrid>
      <w:tr>
        <w:trPr/>
        <w:tc>
          <w:tcPr>
            <w:tcW w:w="169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dotted" w:sz="4" w:space="0" w:color="000000"/>
              <w:left w:val="dotted" w:sz="4" w:space="0" w:color="000000"/>
              <w:bottom w:val="dotted"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BANK:</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FIRST-CITIZENS BANK &amp; TRUST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Mark Davis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Mark Davis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27" w:type="dxa"/>
            <w:gridSpan w:val="3"/>
            <w:tcBorders>
              <w:top w:val="dotted" w:sz="4" w:space="0" w:color="000000"/>
              <w:left w:val="dotted" w:sz="4" w:space="0" w:color="000000"/>
              <w:bottom w:val="dotted"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dotted" w:sz="4" w:space="0" w:color="000000"/>
              <w:left w:val="dotted" w:sz="4" w:space="0" w:color="000000"/>
              <w:bottom w:val="dotted" w:sz="4" w:space="0" w:color="000000"/>
              <w:right w:val="dotted"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BORROWER: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SI-BONE,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Anshul Maheshwari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Anshul Maheshwari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CERTAIN INFORMATION IDENTIFIED BY “[***]” HAS BEEN EXCLUDED FROM THE EXHIBIT BECAUSE IT IS BOTH NOT MATERIAL AND IS THE TYPE OF INFORMATION THAT THE REGISTRANT TREATS AS PRIVATE OR CONFIDENTIAL.</w:t>
      </w:r>
    </w:p>
    <w:p>
      <w:pPr>
        <w:pStyle w:val="TextBody"/>
        <w:bidi w:val="0"/>
        <w:spacing w:before="0" w:after="120"/>
        <w:jc w:val="center"/>
        <w:rPr/>
      </w:pPr>
      <w:r>
        <w:rPr/>
      </w:r>
    </w:p>
    <w:p>
      <w:pPr>
        <w:pStyle w:val="TextBody"/>
        <w:bidi w:val="0"/>
        <w:spacing w:lineRule="auto" w:line="288" w:before="0" w:after="120"/>
        <w:jc w:val="center"/>
        <w:rPr>
          <w:rFonts w:ascii="Cambria;sans-serif" w:hAnsi="Cambria;sans-serif"/>
          <w:b/>
          <w:color w:val="000000"/>
          <w:sz w:val="24"/>
        </w:rPr>
      </w:pPr>
      <w:r>
        <w:rPr>
          <w:rFonts w:ascii="Cambria;sans-serif" w:hAnsi="Cambria;sans-serif"/>
          <w:b/>
          <w:color w:val="000000"/>
          <w:sz w:val="24"/>
        </w:rPr>
        <w:t>CONSULTING AGREEMENT</w:t>
      </w:r>
    </w:p>
    <w:p>
      <w:pPr>
        <w:pStyle w:val="TextBody"/>
        <w:bidi w:val="0"/>
        <w:spacing w:lineRule="auto" w:line="288" w:before="0" w:after="120"/>
        <w:ind w:left="0" w:right="0" w:firstLine="720"/>
        <w:jc w:val="both"/>
        <w:rPr/>
      </w:pPr>
      <w:r>
        <w:rPr>
          <w:rFonts w:ascii="Cambria;sans-serif" w:hAnsi="Cambria;sans-serif"/>
          <w:b w:val="false"/>
          <w:color w:val="000000"/>
          <w:sz w:val="24"/>
        </w:rPr>
        <w:t xml:space="preserve">This </w:t>
      </w:r>
      <w:r>
        <w:rPr>
          <w:rFonts w:ascii="Cambria;sans-serif" w:hAnsi="Cambria;sans-serif"/>
          <w:b/>
          <w:color w:val="000000"/>
          <w:sz w:val="24"/>
        </w:rPr>
        <w:t>Consulting Agreement</w:t>
      </w:r>
      <w:r>
        <w:rPr>
          <w:color w:val="000000"/>
        </w:rPr>
        <w:t xml:space="preserve"> </w:t>
      </w:r>
      <w:r>
        <w:rPr>
          <w:rFonts w:ascii="Cambria;sans-serif" w:hAnsi="Cambria;sans-serif"/>
          <w:b w:val="false"/>
          <w:color w:val="000000"/>
          <w:sz w:val="24"/>
        </w:rPr>
        <w:t>(this “</w:t>
      </w:r>
      <w:r>
        <w:rPr>
          <w:rFonts w:ascii="Cambria;sans-serif" w:hAnsi="Cambria;sans-serif"/>
          <w:b/>
          <w:color w:val="000000"/>
          <w:sz w:val="24"/>
        </w:rPr>
        <w:t>Agreement</w:t>
      </w:r>
      <w:r>
        <w:rPr>
          <w:color w:val="000000"/>
        </w:rPr>
        <w:t>”</w:t>
      </w:r>
      <w:r>
        <w:rPr>
          <w:rFonts w:ascii="Cambria;sans-serif" w:hAnsi="Cambria;sans-serif"/>
          <w:b w:val="false"/>
          <w:color w:val="000000"/>
          <w:sz w:val="24"/>
        </w:rPr>
        <w:t>) is made as of November 6, 2025 (the “</w:t>
      </w:r>
      <w:r>
        <w:rPr>
          <w:rFonts w:ascii="Cambria;sans-serif" w:hAnsi="Cambria;sans-serif"/>
          <w:b/>
          <w:color w:val="000000"/>
          <w:sz w:val="24"/>
        </w:rPr>
        <w:t>Effective Date</w:t>
      </w:r>
      <w:r>
        <w:rPr>
          <w:color w:val="000000"/>
        </w:rPr>
        <w:t>”</w:t>
      </w:r>
      <w:r>
        <w:rPr>
          <w:rFonts w:ascii="Cambria;sans-serif" w:hAnsi="Cambria;sans-serif"/>
          <w:b w:val="false"/>
          <w:color w:val="000000"/>
          <w:sz w:val="24"/>
        </w:rPr>
        <w:t>) by and among SI-BONE, Inc., a Delaware corporation (the “</w:t>
      </w:r>
      <w:r>
        <w:rPr>
          <w:rFonts w:ascii="Cambria;sans-serif" w:hAnsi="Cambria;sans-serif"/>
          <w:b/>
          <w:color w:val="000000"/>
          <w:sz w:val="24"/>
        </w:rPr>
        <w:t>Company</w:t>
      </w:r>
      <w:r>
        <w:rPr>
          <w:color w:val="000000"/>
        </w:rPr>
        <w:t>”</w:t>
      </w:r>
      <w:r>
        <w:rPr>
          <w:rFonts w:ascii="Cambria;sans-serif" w:hAnsi="Cambria;sans-serif"/>
          <w:b w:val="false"/>
          <w:color w:val="000000"/>
          <w:sz w:val="24"/>
        </w:rPr>
        <w:t>), Daniel Wolf, an individual having an address of [***] (“</w:t>
      </w:r>
      <w:r>
        <w:rPr>
          <w:rFonts w:ascii="Cambria;sans-serif" w:hAnsi="Cambria;sans-serif"/>
          <w:b/>
          <w:color w:val="000000"/>
          <w:sz w:val="24"/>
        </w:rPr>
        <w:t>Wolf</w:t>
      </w:r>
      <w:r>
        <w:rPr>
          <w:color w:val="000000"/>
        </w:rPr>
        <w:t>”</w:t>
      </w:r>
      <w:r>
        <w:rPr>
          <w:rFonts w:ascii="Cambria;sans-serif" w:hAnsi="Cambria;sans-serif"/>
          <w:b w:val="false"/>
          <w:color w:val="000000"/>
          <w:sz w:val="24"/>
        </w:rPr>
        <w:t xml:space="preserve">), and </w:t>
      </w:r>
      <w:r>
        <w:rPr>
          <w:rFonts w:ascii="Cambria;sans-serif" w:hAnsi="Cambria;sans-serif"/>
          <w:b/>
          <w:color w:val="000000"/>
          <w:sz w:val="24"/>
        </w:rPr>
        <w:t>Convergence Bio Advisors LLC</w:t>
      </w:r>
      <w:r>
        <w:rPr>
          <w:rFonts w:ascii="Cambria;sans-serif" w:hAnsi="Cambria;sans-serif"/>
          <w:b w:val="false"/>
          <w:color w:val="000000"/>
          <w:sz w:val="24"/>
        </w:rPr>
        <w:t>, a Minnesota limited liability company wholly owned by Wolf (“</w:t>
      </w:r>
      <w:r>
        <w:rPr>
          <w:rFonts w:ascii="Cambria;sans-serif" w:hAnsi="Cambria;sans-serif"/>
          <w:b/>
          <w:color w:val="000000"/>
          <w:sz w:val="24"/>
        </w:rPr>
        <w:t>Advisor</w:t>
      </w:r>
      <w:r>
        <w:rPr>
          <w:color w:val="000000"/>
        </w:rPr>
        <w:t>”</w:t>
      </w:r>
      <w:r>
        <w:rPr>
          <w:rFonts w:ascii="Cambria;sans-serif" w:hAnsi="Cambria;sans-serif"/>
          <w:b w:val="false"/>
          <w:color w:val="000000"/>
          <w:sz w:val="24"/>
        </w:rPr>
        <w:t>). The Company desires to retain Advisor, due to its unique skill and knowledge, to serve as a consultant to and advise the Company regarding marketing, strategy, business development and other corporate matters. Any references to or obligations of Advisor hereunder shall be deemed to include and also be references to or obligations of Wolf.</w:t>
      </w:r>
    </w:p>
    <w:p>
      <w:pPr>
        <w:pStyle w:val="TextBody"/>
        <w:bidi w:val="0"/>
        <w:spacing w:lineRule="auto" w:line="288" w:before="0" w:after="120"/>
        <w:ind w:left="0" w:right="0" w:firstLine="720"/>
        <w:jc w:val="both"/>
        <w:rPr/>
      </w:pPr>
      <w:r>
        <w:rPr>
          <w:rFonts w:ascii="Cambria;sans-serif" w:hAnsi="Cambria;sans-serif"/>
          <w:b w:val="false"/>
          <w:color w:val="000000"/>
          <w:sz w:val="24"/>
        </w:rPr>
        <w:t>1.    </w:t>
      </w:r>
      <w:r>
        <w:rPr>
          <w:rFonts w:ascii="Cambria;sans-serif" w:hAnsi="Cambria;sans-serif"/>
          <w:b/>
          <w:color w:val="000000"/>
          <w:sz w:val="24"/>
        </w:rPr>
        <w:t>SERVICES AND COMPENSATION</w:t>
      </w:r>
      <w:r>
        <w:rPr>
          <w:rFonts w:ascii="Cambria;sans-serif" w:hAnsi="Cambria;sans-serif"/>
          <w:b w:val="false"/>
          <w:color w:val="000000"/>
          <w:sz w:val="24"/>
        </w:rPr>
        <w:t>. The Company hereby appoints Advisor as an advisor to the Company. In such capacity and pursuant to the provisions of this Agreement, Advisor agrees to consult and attend meetings with the Company’s executive team to support the Company’s efforts relating to marketing, strategy, business development and other corporate matters (the “</w:t>
      </w:r>
      <w:r>
        <w:rPr>
          <w:rFonts w:ascii="Cambria;sans-serif" w:hAnsi="Cambria;sans-serif"/>
          <w:b/>
          <w:color w:val="000000"/>
          <w:sz w:val="24"/>
        </w:rPr>
        <w:t>Services</w:t>
      </w:r>
      <w:r>
        <w:rPr>
          <w:color w:val="000000"/>
        </w:rPr>
        <w:t>”</w:t>
      </w:r>
      <w:r>
        <w:rPr>
          <w:rFonts w:ascii="Cambria;sans-serif" w:hAnsi="Cambria;sans-serif"/>
          <w:b w:val="false"/>
          <w:color w:val="000000"/>
          <w:sz w:val="24"/>
        </w:rPr>
        <w:t xml:space="preserve">). The Company shall request the Services through a statement of work substantially in the form of </w:t>
      </w:r>
      <w:r>
        <w:rPr>
          <w:rFonts w:ascii="Cambria;sans-serif" w:hAnsi="Cambria;sans-serif"/>
          <w:b/>
          <w:color w:val="000000"/>
          <w:sz w:val="24"/>
        </w:rPr>
        <w:t>Exhibit A</w:t>
      </w:r>
      <w:r>
        <w:rPr>
          <w:color w:val="000000"/>
        </w:rPr>
        <w:t xml:space="preserve"> </w:t>
      </w:r>
      <w:r>
        <w:rPr>
          <w:rFonts w:ascii="Cambria;sans-serif" w:hAnsi="Cambria;sans-serif"/>
          <w:b w:val="false"/>
          <w:color w:val="000000"/>
          <w:sz w:val="24"/>
        </w:rPr>
        <w:t>attached hereto (each, an “</w:t>
      </w:r>
      <w:r>
        <w:rPr>
          <w:rFonts w:ascii="Cambria;sans-serif" w:hAnsi="Cambria;sans-serif"/>
          <w:b/>
          <w:color w:val="000000"/>
          <w:sz w:val="24"/>
        </w:rPr>
        <w:t>SOW</w:t>
      </w:r>
      <w:r>
        <w:rPr>
          <w:color w:val="000000"/>
        </w:rPr>
        <w:t>”</w:t>
      </w:r>
      <w:r>
        <w:rPr>
          <w:rFonts w:ascii="Cambria;sans-serif" w:hAnsi="Cambria;sans-serif"/>
          <w:b w:val="false"/>
          <w:color w:val="000000"/>
          <w:sz w:val="24"/>
        </w:rPr>
        <w:t>) that describes the scope, deliverables, timeline and hourly rate of such Services, and Advisor shall promptly provide its acceptance or rejection of such statement of work. The Services will take place from time to time as reasonably requested by the Company at times mutually acceptable to Advisor and the Company at meetings to be held at the Company or other locations as agreed upon by Advisor and the Company. In consideration of Advisor’s Services, (i) the vesting of the 8,675 shares of restricted stock units granted to Wolf on June 5, 2025 is hereby accelerated such that such 8,675 shares are fully vested on the Effective Date; and (ii) the Company shall compensate Advisor at the hourly rate set forth in applicable SOWs accepted by Advisor, pursuant to invoices submitted by Advisor documenting Advisor’s time devoted to the Services. The Company will reimburse Advisor for his reasonable pre-approved and documented out-of-pocket expenses incurred in connection with the Services. Advisor agrees that this Agreement contains the sole and exclusive compensation owed by the Company to Advisor for all services performed by Advisor through the term of this Agreement.</w:t>
      </w:r>
      <w:r>
        <w:rPr>
          <w:color w:val="000000"/>
        </w:rPr>
        <w:t xml:space="preserve"> </w:t>
      </w:r>
      <w:r>
        <w:rPr>
          <w:rFonts w:ascii="Cambria;sans-serif" w:hAnsi="Cambria;sans-serif"/>
          <w:b w:val="false"/>
          <w:color w:val="000000"/>
          <w:sz w:val="24"/>
        </w:rPr>
        <w:t xml:space="preserve">It is understood and agreed that Advisor is an independent contractor and not an employee of the Company. Advisor has no authority to obligate the Company by contract or otherwise. Advisor will not be eligible for any employee benefits or any Company-sponsored benefits, nor will the Company make deductions from any amounts payable to Advisor for taxes. Taxes shall be the sole responsibility of Advisor. </w:t>
      </w:r>
    </w:p>
    <w:p>
      <w:pPr>
        <w:pStyle w:val="TextBody"/>
        <w:bidi w:val="0"/>
        <w:spacing w:lineRule="auto" w:line="288" w:before="0" w:after="120"/>
        <w:ind w:left="0" w:right="0" w:firstLine="1440"/>
        <w:jc w:val="both"/>
        <w:rPr/>
      </w:pPr>
      <w:r>
        <w:rPr>
          <w:rFonts w:ascii="Cambria;sans-serif" w:hAnsi="Cambria;sans-serif"/>
          <w:b w:val="false"/>
          <w:color w:val="000000"/>
          <w:sz w:val="24"/>
        </w:rPr>
        <w:t>On August 5, 2024, 17,182 shares of restricted stock units were granted to Wolf (the “</w:t>
      </w:r>
      <w:r>
        <w:rPr>
          <w:rFonts w:ascii="Cambria;sans-serif" w:hAnsi="Cambria;sans-serif"/>
          <w:b/>
          <w:color w:val="000000"/>
          <w:sz w:val="24"/>
        </w:rPr>
        <w:t>Initial RSU Award</w:t>
      </w:r>
      <w:r>
        <w:rPr>
          <w:color w:val="000000"/>
        </w:rPr>
        <w:t>”</w:t>
      </w:r>
      <w:r>
        <w:rPr>
          <w:rFonts w:ascii="Cambria;sans-serif" w:hAnsi="Cambria;sans-serif"/>
          <w:b w:val="false"/>
          <w:color w:val="000000"/>
          <w:sz w:val="24"/>
        </w:rPr>
        <w:t xml:space="preserve">), and the Initial RSU Award would vest in a series of 12 equal quarterly increments starting on September 15, 2024 such that the Initial RSU Award would be fully vested on September 15, 2027, subject to Advisor’s continuous services as a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9225"/>
                <wp:effectExtent l="0" t="0" r="0" b="0"/>
                <wp:wrapNone/>
                <wp:docPr id="49" name="Frame49"/>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w:t>
      </w:r>
    </w:p>
    <w:p>
      <w:pPr>
        <w:pStyle w:val="TextBody"/>
        <w:bidi w:val="0"/>
        <w:spacing w:lineRule="auto" w:line="288" w:before="0" w:after="120"/>
        <w:jc w:val="both"/>
        <w:rPr/>
      </w:pPr>
      <w:r>
        <w:rPr>
          <w:rFonts w:ascii="Cambria;sans-serif" w:hAnsi="Cambria;sans-serif"/>
          <w:b w:val="false"/>
          <w:color w:val="000000"/>
          <w:sz w:val="24"/>
        </w:rPr>
        <w:t>member of the Company’s Board of Directors (“</w:t>
      </w:r>
      <w:r>
        <w:rPr>
          <w:rFonts w:ascii="Cambria;sans-serif" w:hAnsi="Cambria;sans-serif"/>
          <w:b/>
          <w:color w:val="000000"/>
          <w:sz w:val="24"/>
        </w:rPr>
        <w:t>Board</w:t>
      </w:r>
      <w:r>
        <w:rPr>
          <w:color w:val="000000"/>
        </w:rPr>
        <w:t>”</w:t>
      </w:r>
      <w:r>
        <w:rPr>
          <w:rFonts w:ascii="Cambria;sans-serif" w:hAnsi="Cambria;sans-serif"/>
          <w:b w:val="false"/>
          <w:color w:val="000000"/>
          <w:sz w:val="24"/>
        </w:rPr>
        <w:t xml:space="preserve">) on each applicable vesting date. Wolf acknowledges and agrees that he has resigned from the Board and each Board committee on which he served, effective November 6, 2025, and his and Advisor’s Services hereunder shall not be deemed as continuous services as a member of the Board, and accordingly, Wolf acknowledges and agrees: (i) 5,727 shares of the Initial RSU Award are vested as of the Effective Date, and (ii) 11,455 shares of the Initial RSU Award are unvested as of the Effective Date and are hereby cancelled. </w:t>
      </w:r>
    </w:p>
    <w:p>
      <w:pPr>
        <w:pStyle w:val="TextBody"/>
        <w:bidi w:val="0"/>
        <w:spacing w:lineRule="auto" w:line="288" w:before="0" w:after="120"/>
        <w:ind w:left="0" w:right="0" w:firstLine="720"/>
        <w:jc w:val="both"/>
        <w:rPr/>
      </w:pPr>
      <w:r>
        <w:rPr>
          <w:rFonts w:ascii="Cambria;sans-serif" w:hAnsi="Cambria;sans-serif"/>
          <w:b w:val="false"/>
          <w:color w:val="000000"/>
          <w:sz w:val="24"/>
        </w:rPr>
        <w:t>2.    </w:t>
      </w:r>
      <w:r>
        <w:rPr>
          <w:rFonts w:ascii="Cambria;sans-serif" w:hAnsi="Cambria;sans-serif"/>
          <w:b/>
          <w:color w:val="000000"/>
          <w:sz w:val="24"/>
        </w:rPr>
        <w:t xml:space="preserve">CONFIDENTIALITY. </w:t>
      </w:r>
      <w:r>
        <w:rPr>
          <w:rFonts w:ascii="Cambria;sans-serif" w:hAnsi="Cambria;sans-serif"/>
          <w:b w:val="false"/>
          <w:color w:val="000000"/>
          <w:sz w:val="24"/>
        </w:rPr>
        <w:t>During or subsequent to the term of this Agreement, Advisor will not (i) use the Company’s Confidential Information (as defined below) for any purpose whatsoever other than the performance of the Services or (ii) disclose the Company’s Confidential Information to any third party. It is understood that Confidential Information shall remain the sole property of the Company. Advisor further agrees to take all reasonable precautions to prevent any unauthorized disclosure of such Confidential Information. “</w:t>
      </w:r>
      <w:r>
        <w:rPr>
          <w:rFonts w:ascii="Cambria;sans-serif" w:hAnsi="Cambria;sans-serif"/>
          <w:b/>
          <w:color w:val="000000"/>
          <w:sz w:val="24"/>
        </w:rPr>
        <w:t>Confidential Information</w:t>
      </w:r>
      <w:r>
        <w:rPr>
          <w:color w:val="000000"/>
        </w:rPr>
        <w:t xml:space="preserve">” </w:t>
      </w:r>
      <w:r>
        <w:rPr>
          <w:rFonts w:ascii="Cambria;sans-serif" w:hAnsi="Cambria;sans-serif"/>
          <w:b w:val="false"/>
          <w:color w:val="000000"/>
          <w:sz w:val="24"/>
        </w:rPr>
        <w:t xml:space="preserve">means any Company proprietary information, technical data, trade secrets or know-how, including, but not limited to, research, product plans, products, services, customers, customer lists, markets, software, developments, inventions, processes, formulas, technology, designs, drawings, engineering, marketing, finances or other business information disclosed by the Company (including such information of third parties) either directly or indirectly in writing, orally or by drawings or inspection of parts or equipment. Confidential Information does not include information which (i) is known to Advisor at the time of disclosure to Advisor by the Company as evidenced by written records of Advisor, (ii) has become publicly known and made generally available through no wrongful act of Advisor, or (iii) has been rightfully received by Advisor from a third party who is authorized to make such disclosure without any obligation of confidentiality to the Company. </w:t>
      </w:r>
    </w:p>
    <w:p>
      <w:pPr>
        <w:pStyle w:val="TextBody"/>
        <w:bidi w:val="0"/>
        <w:spacing w:lineRule="auto" w:line="288" w:before="0" w:after="120"/>
        <w:ind w:left="0" w:right="0" w:firstLine="720"/>
        <w:jc w:val="both"/>
        <w:rPr/>
      </w:pPr>
      <w:r>
        <w:rPr>
          <w:rFonts w:ascii="Cambria;sans-serif" w:hAnsi="Cambria;sans-serif"/>
          <w:b w:val="false"/>
          <w:color w:val="000000"/>
          <w:sz w:val="24"/>
        </w:rPr>
        <w:t>3.    </w:t>
      </w:r>
      <w:r>
        <w:rPr>
          <w:rFonts w:ascii="Cambria;sans-serif" w:hAnsi="Cambria;sans-serif"/>
          <w:b/>
          <w:color w:val="000000"/>
          <w:sz w:val="24"/>
        </w:rPr>
        <w:t>NO CONFLICTS; OUTSIDE INFORMATION</w:t>
      </w:r>
      <w:r>
        <w:rPr>
          <w:rFonts w:ascii="Cambria;sans-serif" w:hAnsi="Cambria;sans-serif"/>
          <w:b w:val="false"/>
          <w:color w:val="000000"/>
          <w:sz w:val="24"/>
        </w:rPr>
        <w:t>. Advisor will not, during the term of this Agreement, use or disclose any proprietary information or trade secrets of any former or current employer or other person or entity with which Advisor has an agreement or duty to keep information in confidence. Advisor shall not incorporate any invention, improvement, development, concept, discovery or other proprietary information owned by any third party into any invention of the Company. Advisor certifies that Advisor has no outstanding agreement or obligation that conflicts with any provision of this Agreement and Advisor agrees that he will notify the Company prior to entering into any potentially conflicting agreement with any other party during the term of this Agreement. Advisor shall not render any advice to the Company which relates directly to, or conflicts with, any employment obligation or any other third party to whom Advisor holds an fiduciary duty.</w:t>
      </w:r>
    </w:p>
    <w:p>
      <w:pPr>
        <w:pStyle w:val="TextBody"/>
        <w:bidi w:val="0"/>
        <w:spacing w:lineRule="auto" w:line="288" w:before="0" w:after="120"/>
        <w:ind w:left="0" w:right="0" w:firstLine="720"/>
        <w:jc w:val="both"/>
        <w:rPr/>
      </w:pPr>
      <w:r>
        <w:rPr>
          <w:rFonts w:ascii="Cambria;sans-serif" w:hAnsi="Cambria;sans-serif"/>
          <w:b w:val="false"/>
          <w:color w:val="000000"/>
          <w:sz w:val="24"/>
        </w:rPr>
        <w:t>4.    </w:t>
      </w:r>
      <w:r>
        <w:rPr>
          <w:rFonts w:ascii="Cambria;sans-serif" w:hAnsi="Cambria;sans-serif"/>
          <w:b/>
          <w:color w:val="000000"/>
          <w:sz w:val="24"/>
        </w:rPr>
        <w:t>OWNERSHIP</w:t>
      </w:r>
      <w:r>
        <w:rPr>
          <w:rFonts w:ascii="Cambria;sans-serif" w:hAnsi="Cambria;sans-serif"/>
          <w:b w:val="false"/>
          <w:color w:val="000000"/>
          <w:sz w:val="24"/>
        </w:rPr>
        <w:t>. Advisor agrees that all copyrightable material, notes, records, drawings, designs, inventions, improvements, developments, discoveries and trade secrets conceived, or other intellectual property made or discovered by Advisor in performing the Services hereunder (the “</w:t>
      </w:r>
      <w:r>
        <w:rPr>
          <w:rFonts w:ascii="Cambria;sans-serif" w:hAnsi="Cambria;sans-serif"/>
          <w:b/>
          <w:color w:val="000000"/>
          <w:sz w:val="24"/>
        </w:rPr>
        <w:t>Inventions</w:t>
      </w:r>
      <w:r>
        <w:rPr>
          <w:color w:val="000000"/>
        </w:rPr>
        <w:t>”</w:t>
      </w:r>
      <w:r>
        <w:rPr>
          <w:rFonts w:ascii="Cambria;sans-serif" w:hAnsi="Cambria;sans-serif"/>
          <w:b w:val="false"/>
          <w:color w:val="000000"/>
          <w:sz w:val="24"/>
        </w:rPr>
        <w:t xml:space="preserve">), are the sole property of the Company. To the extent Advisor generates any Inventions in connection with the Services, Advisor hereby assigns such Inventions fully to the Company. Advisor agrees to assist Company in every proper way to secure the Company’s rights in the Inventions and any copyrights, patents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9225"/>
                <wp:effectExtent l="0" t="0" r="0" b="0"/>
                <wp:wrapNone/>
                <wp:docPr id="50" name="Frame50"/>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w:t>
      </w:r>
    </w:p>
    <w:p>
      <w:pPr>
        <w:pStyle w:val="TextBody"/>
        <w:bidi w:val="0"/>
        <w:spacing w:lineRule="auto" w:line="288" w:before="0" w:after="120"/>
        <w:jc w:val="both"/>
        <w:rPr>
          <w:rFonts w:ascii="Cambria;sans-serif" w:hAnsi="Cambria;sans-serif"/>
          <w:b w:val="false"/>
          <w:color w:val="000000"/>
          <w:sz w:val="24"/>
        </w:rPr>
      </w:pPr>
      <w:r>
        <w:rPr>
          <w:rFonts w:ascii="Cambria;sans-serif" w:hAnsi="Cambria;sans-serif"/>
          <w:b w:val="false"/>
          <w:color w:val="000000"/>
          <w:sz w:val="24"/>
        </w:rPr>
        <w:t>other intellectual property rights relating thereto in any and all countries. Advisor further agrees that Advisor’s obligation to execute or cause to be executed, when it is in Advisor’s power to do so, any such instrument or papers shall continue after the termination of this Agreement.</w:t>
      </w:r>
    </w:p>
    <w:p>
      <w:pPr>
        <w:pStyle w:val="TextBody"/>
        <w:bidi w:val="0"/>
        <w:spacing w:lineRule="auto" w:line="288" w:before="0" w:after="120"/>
        <w:ind w:left="0" w:right="0" w:firstLine="720"/>
        <w:jc w:val="both"/>
        <w:rPr/>
      </w:pPr>
      <w:r>
        <w:rPr>
          <w:rFonts w:ascii="Cambria;sans-serif" w:hAnsi="Cambria;sans-serif"/>
          <w:b w:val="false"/>
          <w:color w:val="000000"/>
          <w:sz w:val="24"/>
        </w:rPr>
        <w:t>5.    </w:t>
      </w:r>
      <w:r>
        <w:rPr>
          <w:rFonts w:ascii="Cambria;sans-serif" w:hAnsi="Cambria;sans-serif"/>
          <w:b/>
          <w:color w:val="000000"/>
          <w:sz w:val="24"/>
        </w:rPr>
        <w:t>RETURN OF COMPANY PROPERTY.</w:t>
      </w:r>
      <w:r>
        <w:rPr>
          <w:color w:val="000000"/>
        </w:rPr>
        <w:t xml:space="preserve"> </w:t>
      </w:r>
      <w:r>
        <w:rPr>
          <w:rFonts w:ascii="Cambria;sans-serif" w:hAnsi="Cambria;sans-serif"/>
          <w:b w:val="false"/>
          <w:color w:val="000000"/>
          <w:sz w:val="24"/>
        </w:rPr>
        <w:t>Within five (5) days following the Effective Date, Advisor shall return to the Company all Company documents (and all copies thereof) and other Company property in Advisor’s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Advisor must make a diligent search to locate any such documents, property and information by the close of business on the Effective Date or as soon as possible thereafter. Advisor will be permitted to retain any Company property that Advisor and the Company agree is necessary for Advisor to perform Advisor’s advisory services, and all such Company property, together with any Confidential information, must be returned upon termination of this Agreement or upon Company’s earlier request.</w:t>
      </w:r>
    </w:p>
    <w:p>
      <w:pPr>
        <w:pStyle w:val="TextBody"/>
        <w:bidi w:val="0"/>
        <w:spacing w:lineRule="auto" w:line="288" w:before="0" w:after="120"/>
        <w:ind w:left="0" w:right="0" w:firstLine="720"/>
        <w:jc w:val="both"/>
        <w:rPr/>
      </w:pPr>
      <w:r>
        <w:rPr>
          <w:rFonts w:ascii="Cambria;sans-serif" w:hAnsi="Cambria;sans-serif"/>
          <w:b w:val="false"/>
          <w:color w:val="000000"/>
          <w:sz w:val="24"/>
        </w:rPr>
        <w:t>6.    </w:t>
      </w:r>
      <w:r>
        <w:rPr>
          <w:rFonts w:ascii="Cambria;sans-serif" w:hAnsi="Cambria;sans-serif"/>
          <w:b/>
          <w:color w:val="000000"/>
          <w:sz w:val="24"/>
        </w:rPr>
        <w:t>NON-DISPARAGEMENT</w:t>
      </w:r>
      <w:r>
        <w:rPr>
          <w:rFonts w:ascii="Cambria;sans-serif" w:hAnsi="Cambria;sans-serif"/>
          <w:b w:val="false"/>
          <w:color w:val="000000"/>
          <w:sz w:val="24"/>
        </w:rPr>
        <w:t>. Advisor agrees not to disparage the Company, its business strategies and decisions, or its officers, directors, employees, shareholders, parents, subsidiaries, affiliates, and agents, in any manner likely to be harmful to its or their business, business reputation, or personal reputation or in any way distracting to the Company’s employees or otherwise disruptive to the Company’s business; provided that Advisor may respond accurately and fully to any request for information if required by legal process or in connection with a government investigation. In addition, nothing in this provision or this Agreement prohibits or restrains Advisor from making disclosures protected under the whistleblower provisions of federal or state law or from discussing or disclosing information about unlawful acts in the workplace, such as harassment or discrimination or any other conduct that Advisor has reason to believe is unlawful. Advisor acknowledges and agrees that any breach of this Section 6 (Non-Disparagement) is a material breach of this Agreement. Further, nothing in this Section 6 (Non-Disparagement) or this Agreement limits Advisor’s ability to communicate with any federal, state or local governmental agency or commission or otherwise participate in any investigation or proceeding that may be conducted by such government agency, including providing documents or other information, without notice to the Company.</w:t>
      </w:r>
      <w:r>
        <w:rPr>
          <w:color w:val="000000"/>
        </w:rPr>
        <w:t xml:space="preserve"> </w:t>
      </w:r>
    </w:p>
    <w:p>
      <w:pPr>
        <w:pStyle w:val="TextBody"/>
        <w:bidi w:val="0"/>
        <w:spacing w:lineRule="auto" w:line="288" w:before="0" w:after="120"/>
        <w:ind w:left="0" w:right="0" w:firstLine="720"/>
        <w:jc w:val="both"/>
        <w:rPr/>
      </w:pPr>
      <w:r>
        <w:rPr>
          <w:rFonts w:ascii="Cambria;sans-serif" w:hAnsi="Cambria;sans-serif"/>
          <w:b w:val="false"/>
          <w:color w:val="000000"/>
          <w:sz w:val="24"/>
        </w:rPr>
        <w:t>7.    </w:t>
      </w:r>
      <w:r>
        <w:rPr>
          <w:rFonts w:ascii="Cambria;sans-serif" w:hAnsi="Cambria;sans-serif"/>
          <w:b/>
          <w:color w:val="000000"/>
          <w:sz w:val="24"/>
        </w:rPr>
        <w:t xml:space="preserve">TERM AND TERMINATION. </w:t>
      </w:r>
      <w:r>
        <w:rPr>
          <w:rFonts w:ascii="Cambria;sans-serif" w:hAnsi="Cambria;sans-serif"/>
          <w:b w:val="false"/>
          <w:color w:val="000000"/>
          <w:sz w:val="24"/>
        </w:rPr>
        <w:t xml:space="preserve">The term of this Agreement shall commence on the Effective Date and terminate on the first anniversary of the Effective Date, provided, however, that either the Company or Advisor may terminate this Agreement at any time upon giving written notice thereof to the other party (including any writing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9225"/>
                <wp:effectExtent l="0" t="0" r="0" b="0"/>
                <wp:wrapNone/>
                <wp:docPr id="51" name="Frame51"/>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w:t>
      </w:r>
    </w:p>
    <w:p>
      <w:pPr>
        <w:pStyle w:val="TextBody"/>
        <w:bidi w:val="0"/>
        <w:spacing w:lineRule="auto" w:line="288" w:before="0" w:after="120"/>
        <w:jc w:val="both"/>
        <w:rPr>
          <w:rFonts w:ascii="Cambria;sans-serif" w:hAnsi="Cambria;sans-serif"/>
          <w:b w:val="false"/>
          <w:color w:val="000000"/>
          <w:sz w:val="24"/>
        </w:rPr>
      </w:pPr>
      <w:r>
        <w:rPr>
          <w:rFonts w:ascii="Cambria;sans-serif" w:hAnsi="Cambria;sans-serif"/>
          <w:b w:val="false"/>
          <w:color w:val="000000"/>
          <w:sz w:val="24"/>
        </w:rPr>
        <w:t xml:space="preserve">mail). Section 2 (Confidentiality),Section 4 (Ownership), and Section 6 (Non-Disparagement) shall survive termination of this Agreement. </w:t>
      </w:r>
    </w:p>
    <w:p>
      <w:pPr>
        <w:pStyle w:val="TextBody"/>
        <w:bidi w:val="0"/>
        <w:spacing w:lineRule="auto" w:line="288" w:before="0" w:after="120"/>
        <w:ind w:left="0" w:right="0" w:firstLine="720"/>
        <w:jc w:val="both"/>
        <w:rPr/>
      </w:pPr>
      <w:r>
        <w:rPr>
          <w:rFonts w:ascii="Cambria;sans-serif" w:hAnsi="Cambria;sans-serif"/>
          <w:b w:val="false"/>
          <w:color w:val="000000"/>
          <w:sz w:val="24"/>
        </w:rPr>
        <w:t>8.    </w:t>
      </w:r>
      <w:r>
        <w:rPr>
          <w:rFonts w:ascii="Cambria;sans-serif" w:hAnsi="Cambria;sans-serif"/>
          <w:b/>
          <w:color w:val="000000"/>
          <w:sz w:val="24"/>
        </w:rPr>
        <w:t>MISCELLANEOUS</w:t>
      </w:r>
      <w:r>
        <w:rPr>
          <w:rFonts w:ascii="Cambria;sans-serif" w:hAnsi="Cambria;sans-serif"/>
          <w:b w:val="false"/>
          <w:color w:val="000000"/>
          <w:sz w:val="24"/>
        </w:rPr>
        <w:t>. This Agreement may not be assigned by Advisor without the Company’s written consent. Advisor agrees that breach of this Agreement would cause the Company irreparable injury, such that no remedy at law would be adequate and that the Company shall be entitled to specific performance of Advisor’s obligations under this Agreement, and any further relief granted by a court. This Agreement is governed by California law and any action brought by either party related to this Agreement shall be brought in Santa Clara County, California. This Agreement is the entire agreement of the parties and supersedes any prior agreements between them. No waiver or amendment of this Agreement shall be binding unless in writing and signed by Advisor and the Company. In any court action brought by one of the parties related to this Agreement, the prevailing party will be entitled to reasonable attorney’s fees, in addition to any other relief awarded by the court. This Agreement shall be interpreted as if jointly drafted by Advisor and the Company. This Agreement may be executed in counterparts each of which shall be deemed an original and all of which together shall constitute one and the same agreement.</w:t>
      </w:r>
    </w:p>
    <w:p>
      <w:pPr>
        <w:pStyle w:val="TextBody"/>
        <w:bidi w:val="0"/>
        <w:spacing w:lineRule="auto" w:line="288" w:before="0" w:after="120"/>
        <w:ind w:left="0" w:right="0" w:firstLine="720"/>
        <w:jc w:val="both"/>
        <w:rPr/>
      </w:pPr>
      <w:r>
        <w:rPr>
          <w:rFonts w:ascii="Cambria;sans-serif" w:hAnsi="Cambria;sans-serif"/>
          <w:b/>
          <w:color w:val="000000"/>
          <w:sz w:val="24"/>
        </w:rPr>
        <w:t>In Witness Whereof</w:t>
      </w:r>
      <w:r>
        <w:rPr>
          <w:rFonts w:ascii="Cambria;sans-serif" w:hAnsi="Cambria;sans-serif"/>
          <w:b w:val="false"/>
          <w:color w:val="000000"/>
          <w:sz w:val="24"/>
        </w:rPr>
        <w:t>, the parties hereto have executed this Agreement, effective as of Effective Date.</w:t>
      </w:r>
    </w:p>
    <w:tbl>
      <w:tblPr>
        <w:tblW w:w="6659" w:type="dxa"/>
        <w:jc w:val="left"/>
        <w:tblInd w:w="0" w:type="dxa"/>
        <w:tblLayout w:type="fixed"/>
        <w:tblCellMar>
          <w:top w:w="28" w:type="dxa"/>
          <w:left w:w="28" w:type="dxa"/>
          <w:bottom w:w="28" w:type="dxa"/>
          <w:right w:w="28" w:type="dxa"/>
        </w:tblCellMar>
      </w:tblPr>
      <w:tblGrid>
        <w:gridCol w:w="1145"/>
        <w:gridCol w:w="1008"/>
        <w:gridCol w:w="1011"/>
        <w:gridCol w:w="1022"/>
        <w:gridCol w:w="1022"/>
        <w:gridCol w:w="1451"/>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mbria;sans-serif" w:hAnsi="Cambria;sans-serif"/>
                <w:b/>
                <w:color w:val="000000"/>
                <w:sz w:val="24"/>
              </w:rPr>
            </w:pPr>
            <w:r>
              <w:rPr>
                <w:rFonts w:ascii="Cambria;sans-serif" w:hAnsi="Cambria;sans-serif"/>
                <w:b/>
                <w:color w:val="000000"/>
                <w:sz w:val="24"/>
              </w:rPr>
              <w:t>COMPANY:</w:t>
            </w:r>
          </w:p>
          <w:p>
            <w:pPr>
              <w:pStyle w:val="TableContents"/>
              <w:bidi w:val="0"/>
              <w:spacing w:before="0" w:after="0"/>
              <w:jc w:val="both"/>
              <w:rPr/>
            </w:pPr>
            <w:r>
              <w:rPr/>
            </w:r>
          </w:p>
          <w:p>
            <w:pPr>
              <w:pStyle w:val="TableContents"/>
              <w:bidi w:val="0"/>
              <w:spacing w:lineRule="auto" w:line="288" w:before="0" w:after="0"/>
              <w:jc w:val="both"/>
              <w:rPr>
                <w:rFonts w:ascii="Cambria;sans-serif" w:hAnsi="Cambria;sans-serif"/>
                <w:b/>
                <w:color w:val="000000"/>
                <w:sz w:val="24"/>
              </w:rPr>
            </w:pPr>
            <w:r>
              <w:rPr>
                <w:rFonts w:ascii="Cambria;sans-serif" w:hAnsi="Cambria;sans-serif"/>
                <w:b/>
                <w:color w:val="000000"/>
                <w:sz w:val="24"/>
              </w:rPr>
              <w:t>SI-BONE,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Cambria;sans-serif" w:hAnsi="Cambria;sans-serif"/>
                <w:b w:val="false"/>
                <w:color w:val="000000"/>
                <w:sz w:val="24"/>
              </w:rPr>
              <w:t>By:</w:t>
            </w:r>
            <w:r>
              <w:rPr>
                <w:rFonts w:ascii="Cambria;sans-serif" w:hAnsi="Cambria;sans-serif"/>
                <w:b w:val="false"/>
                <w:color w:val="000000"/>
                <w:sz w:val="24"/>
                <w:u w:val="single"/>
              </w:rPr>
              <w:t>/s/ Laura A. Francis</w:t>
            </w:r>
          </w:p>
          <w:p>
            <w:pPr>
              <w:pStyle w:val="TableContents"/>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Name: Laura Francis    </w:t>
            </w:r>
          </w:p>
          <w:p>
            <w:pPr>
              <w:pStyle w:val="TableContents"/>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Title: Chief Executive Officer    </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mbria;sans-serif" w:hAnsi="Cambria;sans-serif"/>
                <w:b/>
                <w:color w:val="000000"/>
                <w:sz w:val="24"/>
              </w:rPr>
            </w:pPr>
            <w:r>
              <w:rPr>
                <w:rFonts w:ascii="Cambria;sans-serif" w:hAnsi="Cambria;sans-serif"/>
                <w:b/>
                <w:color w:val="000000"/>
                <w:sz w:val="24"/>
              </w:rPr>
              <w:t>ADVISOR:</w:t>
            </w:r>
          </w:p>
          <w:p>
            <w:pPr>
              <w:pStyle w:val="TableContents"/>
              <w:bidi w:val="0"/>
              <w:spacing w:before="0" w:after="0"/>
              <w:jc w:val="both"/>
              <w:rPr/>
            </w:pPr>
            <w:r>
              <w:rPr/>
            </w:r>
          </w:p>
          <w:p>
            <w:pPr>
              <w:pStyle w:val="TableContents"/>
              <w:bidi w:val="0"/>
              <w:spacing w:lineRule="auto" w:line="288" w:before="0" w:after="0"/>
              <w:jc w:val="both"/>
              <w:rPr>
                <w:rFonts w:ascii="Cambria;sans-serif" w:hAnsi="Cambria;sans-serif"/>
                <w:b/>
                <w:color w:val="000000"/>
                <w:sz w:val="24"/>
              </w:rPr>
            </w:pPr>
            <w:r>
              <w:rPr>
                <w:rFonts w:ascii="Cambria;sans-serif" w:hAnsi="Cambria;sans-serif"/>
                <w:b/>
                <w:color w:val="000000"/>
                <w:sz w:val="24"/>
              </w:rPr>
              <w:t xml:space="preserve">Convergence Bio Advisors LLC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Cambria;sans-serif" w:hAnsi="Cambria;sans-serif"/>
                <w:b w:val="false"/>
                <w:color w:val="000000"/>
                <w:sz w:val="24"/>
              </w:rPr>
              <w:t xml:space="preserve">By: </w:t>
            </w:r>
            <w:r>
              <w:rPr>
                <w:rFonts w:ascii="Cambria;sans-serif" w:hAnsi="Cambria;sans-serif"/>
                <w:b w:val="false"/>
                <w:color w:val="000000"/>
                <w:sz w:val="24"/>
                <w:u w:val="single"/>
              </w:rPr>
              <w:t>/s/ Daniel Wolf</w:t>
            </w:r>
            <w:r>
              <w:rPr>
                <w:color w:val="000000"/>
              </w:rPr>
              <w:t>    </w:t>
            </w:r>
          </w:p>
          <w:p>
            <w:pPr>
              <w:pStyle w:val="TableContents"/>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Name: Daniel Wolf    </w:t>
            </w:r>
          </w:p>
          <w:p>
            <w:pPr>
              <w:pStyle w:val="TableContents"/>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Title: Sole Owner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Cambria;sans-serif" w:hAnsi="Cambria;sans-serif"/>
                <w:b/>
                <w:color w:val="000000"/>
                <w:sz w:val="24"/>
              </w:rPr>
            </w:pPr>
            <w:r>
              <w:rPr>
                <w:rFonts w:ascii="Cambria;sans-serif" w:hAnsi="Cambria;sans-serif"/>
                <w:b/>
                <w:color w:val="000000"/>
                <w:sz w:val="24"/>
              </w:rPr>
              <w:t>WOLF:</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Cambria;sans-serif" w:hAnsi="Cambria;sans-serif"/>
                <w:b w:val="false"/>
                <w:color w:val="000000"/>
                <w:sz w:val="24"/>
                <w:u w:val="single"/>
              </w:rPr>
              <w:t>/s/ Daniel Wolf</w:t>
            </w:r>
            <w:r>
              <w:rPr>
                <w:color w:val="000000"/>
              </w:rPr>
              <w:t>    </w:t>
            </w:r>
          </w:p>
          <w:p>
            <w:pPr>
              <w:pStyle w:val="TableContents"/>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By: Daniel Wolf, an individual</w:t>
            </w:r>
          </w:p>
        </w:tc>
      </w:tr>
    </w:tbl>
    <w:p>
      <w:pPr>
        <w:pStyle w:val="TextBody"/>
        <w:bidi w:val="0"/>
        <w:spacing w:before="0" w:after="12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9225"/>
                <wp:effectExtent l="0" t="0" r="0" b="0"/>
                <wp:wrapNone/>
                <wp:docPr id="52" name="Frame52"/>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4.</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10.5</w:t>
      </w:r>
    </w:p>
    <w:p>
      <w:pPr>
        <w:pStyle w:val="TextBody"/>
        <w:bidi w:val="0"/>
        <w:spacing w:before="0" w:after="120"/>
        <w:ind w:left="0" w:right="0" w:firstLine="720"/>
        <w:jc w:val="left"/>
        <w:rPr/>
      </w:pPr>
      <w:r>
        <w:rPr/>
      </w:r>
    </w:p>
    <w:p>
      <w:pPr>
        <w:pStyle w:val="TextBody"/>
        <w:bidi w:val="0"/>
        <w:spacing w:lineRule="auto" w:line="288" w:before="0" w:after="120"/>
        <w:jc w:val="center"/>
        <w:rPr>
          <w:rFonts w:ascii="Cambria;sans-serif" w:hAnsi="Cambria;sans-serif"/>
          <w:b/>
          <w:color w:val="000000"/>
          <w:sz w:val="24"/>
        </w:rPr>
      </w:pPr>
      <w:r>
        <w:rPr>
          <w:rFonts w:ascii="Cambria;sans-serif" w:hAnsi="Cambria;sans-serif"/>
          <w:b/>
          <w:color w:val="000000"/>
          <w:sz w:val="24"/>
        </w:rPr>
        <w:t>Exhibit A</w:t>
        <w:br/>
        <w:t>Form of Statement of Work</w:t>
      </w:r>
    </w:p>
    <w:p>
      <w:pPr>
        <w:pStyle w:val="TextBody"/>
        <w:bidi w:val="0"/>
        <w:spacing w:lineRule="auto" w:line="288" w:before="0" w:after="120"/>
        <w:ind w:left="0" w:right="0" w:hanging="720"/>
        <w:jc w:val="left"/>
        <w:rPr/>
      </w:pPr>
      <w:r>
        <w:rPr>
          <w:color w:val="000000"/>
        </w:rPr>
        <w:t>•</w:t>
      </w:r>
      <w:r>
        <w:rPr>
          <w:rFonts w:ascii="Cambria;sans-serif" w:hAnsi="Cambria;sans-serif"/>
          <w:b/>
          <w:color w:val="000000"/>
          <w:sz w:val="24"/>
        </w:rPr>
        <w:t>Scope of Services</w:t>
      </w:r>
    </w:p>
    <w:p>
      <w:pPr>
        <w:pStyle w:val="TextBody"/>
        <w:bidi w:val="0"/>
        <w:spacing w:lineRule="auto" w:line="288" w:before="0" w:after="120"/>
        <w:ind w:left="0" w:right="0" w:hanging="360"/>
        <w:jc w:val="left"/>
        <w:rPr/>
      </w:pPr>
      <w:r>
        <w:rPr>
          <w:rFonts w:ascii="Courier New;monospace" w:hAnsi="Courier New;monospace"/>
          <w:b w:val="false"/>
          <w:color w:val="000000"/>
          <w:sz w:val="24"/>
        </w:rPr>
        <w:t>o</w:t>
      </w:r>
      <w:r>
        <w:rPr>
          <w:rFonts w:ascii="Cambria;sans-serif" w:hAnsi="Cambria;sans-serif"/>
          <w:b w:val="false"/>
          <w:color w:val="000000"/>
          <w:sz w:val="24"/>
        </w:rPr>
        <w:t>[To be completed]</w:t>
      </w:r>
    </w:p>
    <w:p>
      <w:pPr>
        <w:pStyle w:val="TextBody"/>
        <w:bidi w:val="0"/>
        <w:spacing w:lineRule="auto" w:line="288" w:before="0" w:after="120"/>
        <w:ind w:left="0" w:right="0" w:hanging="720"/>
        <w:jc w:val="left"/>
        <w:rPr/>
      </w:pPr>
      <w:r>
        <w:rPr>
          <w:color w:val="000000"/>
        </w:rPr>
        <w:t>•</w:t>
      </w:r>
      <w:r>
        <w:rPr>
          <w:rFonts w:ascii="Cambria;sans-serif" w:hAnsi="Cambria;sans-serif"/>
          <w:b/>
          <w:color w:val="000000"/>
          <w:sz w:val="24"/>
        </w:rPr>
        <w:t>Deliverables</w:t>
      </w:r>
    </w:p>
    <w:p>
      <w:pPr>
        <w:pStyle w:val="TextBody"/>
        <w:bidi w:val="0"/>
        <w:spacing w:lineRule="auto" w:line="288" w:before="0" w:after="120"/>
        <w:ind w:left="0" w:right="0" w:hanging="360"/>
        <w:jc w:val="left"/>
        <w:rPr/>
      </w:pPr>
      <w:r>
        <w:rPr>
          <w:rFonts w:ascii="Courier New;monospace" w:hAnsi="Courier New;monospace"/>
          <w:b w:val="false"/>
          <w:color w:val="000000"/>
          <w:sz w:val="24"/>
        </w:rPr>
        <w:t>o</w:t>
      </w:r>
      <w:r>
        <w:rPr>
          <w:rFonts w:ascii="Cambria;sans-serif" w:hAnsi="Cambria;sans-serif"/>
          <w:b w:val="false"/>
          <w:color w:val="000000"/>
          <w:sz w:val="24"/>
        </w:rPr>
        <w:t>[To be completed]</w:t>
      </w:r>
    </w:p>
    <w:p>
      <w:pPr>
        <w:pStyle w:val="TextBody"/>
        <w:bidi w:val="0"/>
        <w:spacing w:lineRule="auto" w:line="288" w:before="0" w:after="120"/>
        <w:ind w:left="0" w:right="0" w:hanging="720"/>
        <w:jc w:val="left"/>
        <w:rPr/>
      </w:pPr>
      <w:r>
        <w:rPr>
          <w:color w:val="000000"/>
        </w:rPr>
        <w:t>•</w:t>
      </w:r>
      <w:r>
        <w:rPr>
          <w:rFonts w:ascii="Cambria;sans-serif" w:hAnsi="Cambria;sans-serif"/>
          <w:b/>
          <w:color w:val="000000"/>
          <w:sz w:val="24"/>
        </w:rPr>
        <w:t>Timeline</w:t>
      </w:r>
    </w:p>
    <w:p>
      <w:pPr>
        <w:pStyle w:val="TextBody"/>
        <w:bidi w:val="0"/>
        <w:spacing w:lineRule="auto" w:line="288" w:before="0" w:after="120"/>
        <w:ind w:left="0" w:right="0" w:hanging="360"/>
        <w:jc w:val="left"/>
        <w:rPr/>
      </w:pPr>
      <w:r>
        <w:rPr>
          <w:rFonts w:ascii="Courier New;monospace" w:hAnsi="Courier New;monospace"/>
          <w:b w:val="false"/>
          <w:color w:val="000000"/>
          <w:sz w:val="24"/>
        </w:rPr>
        <w:t>o</w:t>
      </w:r>
      <w:r>
        <w:rPr>
          <w:rFonts w:ascii="Cambria;sans-serif" w:hAnsi="Cambria;sans-serif"/>
          <w:b w:val="false"/>
          <w:color w:val="000000"/>
          <w:sz w:val="24"/>
        </w:rPr>
        <w:t>[To be completed]</w:t>
      </w:r>
    </w:p>
    <w:p>
      <w:pPr>
        <w:pStyle w:val="TextBody"/>
        <w:bidi w:val="0"/>
        <w:spacing w:lineRule="auto" w:line="288" w:before="0" w:after="120"/>
        <w:ind w:left="0" w:right="0" w:hanging="720"/>
        <w:jc w:val="left"/>
        <w:rPr/>
      </w:pPr>
      <w:r>
        <w:rPr>
          <w:color w:val="000000"/>
        </w:rPr>
        <w:t>•</w:t>
      </w:r>
      <w:r>
        <w:rPr>
          <w:rFonts w:ascii="Cambria;sans-serif" w:hAnsi="Cambria;sans-serif"/>
          <w:b/>
          <w:color w:val="000000"/>
          <w:sz w:val="24"/>
        </w:rPr>
        <w:t>Hourly Rate</w:t>
      </w:r>
    </w:p>
    <w:p>
      <w:pPr>
        <w:pStyle w:val="TextBody"/>
        <w:bidi w:val="0"/>
        <w:spacing w:lineRule="auto" w:line="288" w:before="0" w:after="120"/>
        <w:ind w:left="0" w:right="0" w:hanging="360"/>
        <w:jc w:val="left"/>
        <w:rPr/>
      </w:pPr>
      <w:r>
        <w:rPr>
          <w:rFonts w:ascii="Courier New;monospace" w:hAnsi="Courier New;monospace"/>
          <w:b w:val="false"/>
          <w:color w:val="000000"/>
          <w:sz w:val="24"/>
        </w:rPr>
        <w:t>o</w:t>
      </w:r>
      <w:r>
        <w:rPr>
          <w:rFonts w:ascii="Cambria;sans-serif" w:hAnsi="Cambria;sans-serif"/>
          <w:b w:val="false"/>
          <w:color w:val="000000"/>
          <w:sz w:val="24"/>
        </w:rPr>
        <w:t>[To be completed]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9225"/>
                <wp:effectExtent l="0" t="0" r="0" b="0"/>
                <wp:wrapNone/>
                <wp:docPr id="53" name="Frame53"/>
                <a:graphic xmlns:a="http://schemas.openxmlformats.org/drawingml/2006/main">
                  <a:graphicData uri="http://schemas.microsoft.com/office/word/2010/wordprocessingShape">
                    <wps:wsp>
                      <wps:cNvSpPr txBox="1"/>
                      <wps:spPr>
                        <a:xfrm>
                          <a:off x="0" y="0"/>
                          <a:ext cx="6480175" cy="149225"/>
                        </a:xfrm>
                        <a:prstGeom prst="rect"/>
                        <a:solidFill>
                          <a:srgbClr val="FFFFFF"/>
                        </a:solidFill>
                      </wps:spPr>
                      <wps:txb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mbria;sans-serif" w:hAnsi="Cambria;sans-serif"/>
                          <w:b w:val="false"/>
                          <w:color w:val="000000"/>
                          <w:sz w:val="20"/>
                        </w:rPr>
                      </w:pPr>
                      <w:r>
                        <w:rPr>
                          <w:rFonts w:ascii="Cambria;sans-serif" w:hAnsi="Cambria;sans-serif"/>
                          <w:b w:val="false"/>
                          <w:color w:val="000000"/>
                          <w:sz w:val="20"/>
                        </w:rPr>
                        <w:t>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5387"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68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
        <w:gridCol w:w="109"/>
        <w:gridCol w:w="109"/>
        <w:gridCol w:w="399"/>
        <w:gridCol w:w="399"/>
        <w:gridCol w:w="399"/>
        <w:gridCol w:w="399"/>
        <w:gridCol w:w="399"/>
        <w:gridCol w:w="399"/>
        <w:gridCol w:w="399"/>
        <w:gridCol w:w="399"/>
        <w:gridCol w:w="5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AND PRINCIPAL FINANCIAL OFFICER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Company’s Quarterly Report on Form 10-Q for the period ended September 30, 2025,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Periodic Report fairly presents, in all material respects, the financial condition and results of operations of the Company. </w:t>
      </w:r>
    </w:p>
    <w:tbl>
      <w:tblPr>
        <w:tblW w:w="6680"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
        <w:gridCol w:w="109"/>
        <w:gridCol w:w="109"/>
        <w:gridCol w:w="263"/>
        <w:gridCol w:w="263"/>
        <w:gridCol w:w="263"/>
        <w:gridCol w:w="463"/>
        <w:gridCol w:w="463"/>
        <w:gridCol w:w="463"/>
        <w:gridCol w:w="463"/>
        <w:gridCol w:w="463"/>
        <w:gridCol w:w="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ambria">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9839/000119312518303020/d641574dex31.htm" TargetMode="External"/><Relationship Id="rId3" Type="http://schemas.openxmlformats.org/officeDocument/2006/relationships/hyperlink" Target="https://www.sec.gov/Archives/edgar/data/1459839/000119312518293978/d452987dex34.htm" TargetMode="External"/><Relationship Id="rId4" Type="http://schemas.openxmlformats.org/officeDocument/2006/relationships/hyperlink" Target="https://www.sec.gov/ix?doc=/Archives/edgar/data/0001459839/000145983924000048/sibn-20240625.htm" TargetMode="External"/><Relationship Id="rId5" Type="http://schemas.openxmlformats.org/officeDocument/2006/relationships/hyperlink" Target="https://www.sec.gov/Archives/edgar/data/1459839/000119312518293978/d452987dex41.htm" TargetMode="External"/><Relationship Id="rId6" Type="http://schemas.openxmlformats.org/officeDocument/2006/relationships/hyperlink" Target="https://www.sec.gov/Archives/edgar/data/1459839/000119312518303020/d641574dex31.htm" TargetMode="External"/><Relationship Id="rId7" Type="http://schemas.openxmlformats.org/officeDocument/2006/relationships/hyperlink" Target="https://www.sec.gov/Archives/edgar/data/1459839/000119312518293978/d452987dex34.htm" TargetMode="External"/><Relationship Id="rId8" Type="http://schemas.openxmlformats.org/officeDocument/2006/relationships/hyperlink" Target="https://www.sec.gov/ix?doc=/Archives/edgar/data/0001459839/000145983924000048/sibn-20240625.htm" TargetMode="External"/><Relationship Id="rId9" Type="http://schemas.openxmlformats.org/officeDocument/2006/relationships/hyperlink" Target="https://www.sec.gov/Archives/edgar/data/1459839/000145983925000076/sibn-ex103.htm" TargetMode="External"/><Relationship Id="rId10" Type="http://schemas.openxmlformats.org/officeDocument/2006/relationships/hyperlink" Target="https://www.sec.gov/Archives/edgar/data/1459839/000145983925000076/sibn-ex104.htm" TargetMode="External"/><Relationship Id="rId11" Type="http://schemas.openxmlformats.org/officeDocument/2006/relationships/hyperlink" Target="https://www.sec.gov/Archives/edgar/data/1459839/000145983925000076/sibn-ex105_rmsmsaamendment.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22943</Words>
  <Characters>128382</Characters>
  <CharactersWithSpaces>150083</CharactersWithSpaces>
  <Paragraphs>2458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