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3"/>
              </w:rPr>
              <w:t>05/18/2020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1,754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16.7508</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140,149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3"/>
              </w:rPr>
              <w:t>05/18/2020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434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16.7508</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139,715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3"/>
              </w:rPr>
              <w:t>05/18/2020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494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16.7508</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139,221</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3"/>
              </w:rPr>
              <w:t>05/19/2020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1,585</w:t>
            </w:r>
            <w:r>
              <w:rPr>
                <w:rFonts w:ascii="Arial" w:cs="Arial" w:eastAsia="Arial" w:hAnsi="Arial"/>
                <w:sz w:val="22"/>
                <w:szCs w:val="22"/>
                <w:color w:val="008000"/>
                <w:w w:val="85"/>
                <w:vertAlign w:val="superscript"/>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17.07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139,221</w:t>
            </w:r>
            <w:r>
              <w:rPr>
                <w:rFonts w:ascii="Arial" w:cs="Arial" w:eastAsia="Arial" w:hAnsi="Arial"/>
                <w:sz w:val="22"/>
                <w:szCs w:val="22"/>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purchased pursuant to the SI-BONE, Inc. 2018 Employee Stock Purchase Plan on May 15, 2020.</w:t>
      </w:r>
    </w:p>
    <w:p>
      <w:pPr>
        <w:spacing w:after="0" w:line="50"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86,134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05/19/2020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2020-05-19T16:15:10Z</dcterms:created>
  <dcterms:modified xsi:type="dcterms:W3CDTF">2020-05-19T16:15:10Z</dcterms:modified>
</cp:coreProperties>
</file>