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05/16/2022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2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60" w:type="dxa"/>
            <w:vAlign w:val="bottom"/>
            <w:tcBorders>
              <w:bottom w:val="single" w:sz="8" w:color="9A9A9A"/>
            </w:tcBorders>
            <w:gridSpan w:val="2"/>
          </w:tcPr>
          <w:p>
            <w:pPr>
              <w:spacing w:after="0"/>
              <w:rPr>
                <w:sz w:val="2"/>
                <w:szCs w:val="2"/>
                <w:color w:val="auto"/>
              </w:rPr>
            </w:pPr>
          </w:p>
        </w:tc>
        <w:tc>
          <w:tcPr>
            <w:tcW w:w="50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gridSpan w:val="5"/>
          </w:tcPr>
          <w:p>
            <w:pPr>
              <w:jc w:val="center"/>
              <w:ind w:left="54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548"/>
              <w:spacing w:after="0"/>
              <w:rPr>
                <w:sz w:val="20"/>
                <w:szCs w:val="20"/>
                <w:color w:val="auto"/>
              </w:rPr>
            </w:pPr>
            <w:r>
              <w:rPr>
                <w:rFonts w:ascii="Times New Roman" w:cs="Times New Roman" w:eastAsia="Times New Roman" w:hAnsi="Times New Roman"/>
                <w:sz w:val="17"/>
                <w:szCs w:val="17"/>
                <w:color w:val="0000FF"/>
              </w:rPr>
              <w:t>05/16/2022</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0"/>
              <w:spacing w:after="0"/>
              <w:rPr>
                <w:sz w:val="20"/>
                <w:szCs w:val="20"/>
                <w:color w:val="auto"/>
              </w:rPr>
            </w:pPr>
            <w:r>
              <w:rPr>
                <w:rFonts w:ascii="Times New Roman" w:cs="Times New Roman" w:eastAsia="Times New Roman" w:hAnsi="Times New Roman"/>
                <w:sz w:val="17"/>
                <w:szCs w:val="17"/>
                <w:color w:val="0000FF"/>
              </w:rPr>
              <w:t>1,104</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12.5807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149,237</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548"/>
              <w:spacing w:after="0"/>
              <w:rPr>
                <w:sz w:val="20"/>
                <w:szCs w:val="20"/>
                <w:color w:val="auto"/>
              </w:rPr>
            </w:pPr>
            <w:r>
              <w:rPr>
                <w:rFonts w:ascii="Times New Roman" w:cs="Times New Roman" w:eastAsia="Times New Roman" w:hAnsi="Times New Roman"/>
                <w:sz w:val="17"/>
                <w:szCs w:val="17"/>
                <w:color w:val="0000FF"/>
              </w:rPr>
              <w:t>05/16/2022</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0"/>
              <w:spacing w:after="0"/>
              <w:rPr>
                <w:sz w:val="20"/>
                <w:szCs w:val="20"/>
                <w:color w:val="auto"/>
              </w:rPr>
            </w:pPr>
            <w:r>
              <w:rPr>
                <w:rFonts w:ascii="Times New Roman" w:cs="Times New Roman" w:eastAsia="Times New Roman" w:hAnsi="Times New Roman"/>
                <w:sz w:val="17"/>
                <w:szCs w:val="17"/>
                <w:color w:val="0000FF"/>
              </w:rPr>
              <w:t>1,366</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12.5807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145,299</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548"/>
              <w:spacing w:after="0"/>
              <w:rPr>
                <w:sz w:val="20"/>
                <w:szCs w:val="20"/>
                <w:color w:val="auto"/>
              </w:rPr>
            </w:pPr>
            <w:r>
              <w:rPr>
                <w:rFonts w:ascii="Times New Roman" w:cs="Times New Roman" w:eastAsia="Times New Roman" w:hAnsi="Times New Roman"/>
                <w:sz w:val="17"/>
                <w:szCs w:val="17"/>
                <w:color w:val="0000FF"/>
              </w:rPr>
              <w:t>05/16/2022</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0"/>
              <w:spacing w:after="0"/>
              <w:rPr>
                <w:sz w:val="20"/>
                <w:szCs w:val="20"/>
                <w:color w:val="auto"/>
              </w:rPr>
            </w:pPr>
            <w:r>
              <w:rPr>
                <w:rFonts w:ascii="Times New Roman" w:cs="Times New Roman" w:eastAsia="Times New Roman" w:hAnsi="Times New Roman"/>
                <w:sz w:val="17"/>
                <w:szCs w:val="17"/>
                <w:color w:val="0000FF"/>
              </w:rPr>
              <w:t>3,138</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12.5807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137,383</w:t>
            </w:r>
            <w:r>
              <w:rPr>
                <w:rFonts w:ascii="Times New Roman" w:cs="Times New Roman" w:eastAsia="Times New Roman" w:hAnsi="Times New Roman"/>
                <w:sz w:val="22"/>
                <w:szCs w:val="22"/>
                <w:color w:val="008000"/>
                <w:w w:val="91"/>
                <w:vertAlign w:val="superscript"/>
              </w:rPr>
              <w:t>(2)(3)</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98,185</w:t>
            </w:r>
            <w:r>
              <w:rPr>
                <w:rFonts w:ascii="Times New Roman" w:cs="Times New Roman" w:eastAsia="Times New Roman" w:hAnsi="Times New Roman"/>
                <w:sz w:val="22"/>
                <w:szCs w:val="22"/>
                <w:color w:val="008000"/>
                <w:w w:val="93"/>
                <w:vertAlign w:val="superscript"/>
              </w:rPr>
              <w:t>(4)</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136,249 shares issuable on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1,134 shares acquired under the SI-BONE, Inc. 2018 Employee Stock Purchase Plan on May 15,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shares from the Reporting Person to The Jeffrey W. Dunn Living Trust Dated May 17,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tab/>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2022-05-17T20:04:00Z</dcterms:created>
  <dcterms:modified xsi:type="dcterms:W3CDTF">2022-05-17T20:04:00Z</dcterms:modified>
</cp:coreProperties>
</file>