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60"/>
              <w:spacing w:after="0"/>
              <w:rPr>
                <w:sz w:val="20"/>
                <w:szCs w:val="20"/>
                <w:color w:val="auto"/>
              </w:rPr>
            </w:pPr>
            <w:r>
              <w:rPr>
                <w:rFonts w:ascii="Arial" w:cs="Arial" w:eastAsia="Arial" w:hAnsi="Arial"/>
                <w:sz w:val="18"/>
                <w:szCs w:val="18"/>
                <w:color w:val="auto"/>
                <w:w w:val="90"/>
              </w:rPr>
              <w:t>Rule 13d-1(b)</w:t>
            </w:r>
          </w:p>
        </w:tc>
      </w:tr>
      <w:tr>
        <w:trPr>
          <w:trHeight w:val="216"/>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80"/>
              <w:spacing w:after="0"/>
              <w:rPr>
                <w:sz w:val="20"/>
                <w:szCs w:val="20"/>
                <w:color w:val="auto"/>
              </w:rPr>
            </w:pPr>
            <w:r>
              <w:rPr>
                <w:rFonts w:ascii="Arial" w:cs="Arial" w:eastAsia="Arial" w:hAnsi="Arial"/>
                <w:sz w:val="18"/>
                <w:szCs w:val="18"/>
                <w:color w:val="auto"/>
                <w:w w:val="89"/>
              </w:rPr>
              <w:t>Rule 13d-1(c)</w:t>
            </w:r>
          </w:p>
        </w:tc>
      </w:tr>
      <w:tr>
        <w:trPr>
          <w:trHeight w:val="283"/>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60"/>
              <w:spacing w:after="0"/>
              <w:rPr>
                <w:sz w:val="20"/>
                <w:szCs w:val="20"/>
                <w:color w:val="auto"/>
              </w:rPr>
            </w:pPr>
            <w:r>
              <w:rPr>
                <w:rFonts w:ascii="Arial" w:cs="Arial" w:eastAsia="Arial" w:hAnsi="Arial"/>
                <w:sz w:val="18"/>
                <w:szCs w:val="18"/>
                <w:color w:val="auto"/>
                <w:w w:val="90"/>
              </w:rPr>
              <w:t>Rule 13d-1(d)</w:t>
            </w:r>
          </w:p>
        </w:tc>
      </w:tr>
    </w:tbl>
    <w:p>
      <w:pPr>
        <w:spacing w:after="0" w:line="20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00" w:type="dxa"/>
            <w:vAlign w:val="bottom"/>
            <w:gridSpan w:val="5"/>
          </w:tcPr>
          <w:p>
            <w:pPr>
              <w:spacing w:after="0"/>
              <w:rPr>
                <w:sz w:val="20"/>
                <w:szCs w:val="20"/>
                <w:color w:val="auto"/>
              </w:rPr>
            </w:pPr>
            <w:r>
              <w:rPr>
                <w:rFonts w:ascii="Arial" w:cs="Arial" w:eastAsia="Arial" w:hAnsi="Arial"/>
                <w:sz w:val="18"/>
                <w:szCs w:val="18"/>
                <w:b w:val="1"/>
                <w:bCs w:val="1"/>
                <w:color w:val="auto"/>
                <w:w w:val="88"/>
              </w:rPr>
              <w:t xml:space="preserve">CUSIP No </w:t>
            </w:r>
            <w:r>
              <w:rPr>
                <w:rFonts w:ascii="Arial" w:cs="Arial" w:eastAsia="Arial" w:hAnsi="Arial"/>
                <w:sz w:val="18"/>
                <w:szCs w:val="18"/>
                <w:color w:val="auto"/>
                <w:w w:val="88"/>
              </w:rPr>
              <w:t>.825704109</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ind w:left="1360"/>
              <w:spacing w:after="0"/>
              <w:rPr>
                <w:sz w:val="20"/>
                <w:szCs w:val="20"/>
                <w:color w:val="auto"/>
              </w:rPr>
            </w:pPr>
            <w:r>
              <w:rPr>
                <w:rFonts w:ascii="Arial" w:cs="Arial" w:eastAsia="Arial" w:hAnsi="Arial"/>
                <w:sz w:val="18"/>
                <w:szCs w:val="18"/>
                <w:color w:val="auto"/>
                <w:w w:val="86"/>
              </w:rPr>
              <w:t>Page 2 of 7</w:t>
            </w:r>
          </w:p>
        </w:tc>
        <w:tc>
          <w:tcPr>
            <w:tcW w:w="0" w:type="dxa"/>
            <w:vAlign w:val="bottom"/>
          </w:tcPr>
          <w:p>
            <w:pPr>
              <w:spacing w:after="0"/>
              <w:rPr>
                <w:sz w:val="1"/>
                <w:szCs w:val="1"/>
                <w:color w:val="auto"/>
              </w:rPr>
            </w:pPr>
          </w:p>
        </w:tc>
      </w:tr>
      <w:tr>
        <w:trPr>
          <w:trHeight w:val="237"/>
        </w:trPr>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gridSpan w:val="4"/>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First Light Asset Management, LLC</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I.R.S. IDENTIFICATION NO. OF ABOVE PERSONS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Arial" w:cs="Arial" w:eastAsia="Arial" w:hAnsi="Arial"/>
                <w:sz w:val="18"/>
                <w:szCs w:val="18"/>
                <w:color w:val="auto"/>
              </w:rPr>
              <w:t>(ENTITIES ONLY)</w:t>
            </w:r>
          </w:p>
        </w:tc>
        <w:tc>
          <w:tcPr>
            <w:tcW w:w="1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w w:val="95"/>
              </w:rPr>
              <w:t>46-3521994</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8360" w:type="dxa"/>
            <w:vAlign w:val="bottom"/>
            <w:tcBorders>
              <w:bottom w:val="single" w:sz="8" w:color="auto"/>
            </w:tcBorders>
            <w:gridSpan w:val="6"/>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79"/>
              </w:rPr>
              <w:t>2</w:t>
            </w:r>
          </w:p>
        </w:tc>
        <w:tc>
          <w:tcPr>
            <w:tcW w:w="200" w:type="dxa"/>
            <w:vAlign w:val="bottom"/>
            <w:tcBorders>
              <w:right w:val="single" w:sz="8" w:color="auto"/>
            </w:tcBorders>
          </w:tcPr>
          <w:p>
            <w:pPr>
              <w:spacing w:after="0"/>
              <w:rPr>
                <w:sz w:val="22"/>
                <w:szCs w:val="22"/>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18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18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50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gridSpan w:val="3"/>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50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79"/>
              </w:rPr>
              <w:t>3</w:t>
            </w:r>
          </w:p>
        </w:tc>
        <w:tc>
          <w:tcPr>
            <w:tcW w:w="200" w:type="dxa"/>
            <w:vAlign w:val="bottom"/>
            <w:tcBorders>
              <w:right w:val="single" w:sz="8" w:color="auto"/>
            </w:tcBorders>
          </w:tcPr>
          <w:p>
            <w:pPr>
              <w:spacing w:after="0"/>
              <w:rPr>
                <w:sz w:val="24"/>
                <w:szCs w:val="24"/>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color w:val="auto"/>
                <w:w w:val="99"/>
              </w:rPr>
              <w:t>SEC USE ONLY</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8360" w:type="dxa"/>
            <w:vAlign w:val="bottom"/>
            <w:tcBorders>
              <w:bottom w:val="single" w:sz="8" w:color="auto"/>
            </w:tcBorders>
            <w:gridSpan w:val="6"/>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79"/>
              </w:rPr>
              <w:t>4</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w w:val="99"/>
              </w:rPr>
              <w:t>5</w:t>
            </w:r>
          </w:p>
        </w:tc>
        <w:tc>
          <w:tcPr>
            <w:tcW w:w="64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8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5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500" w:type="dxa"/>
            <w:vAlign w:val="bottom"/>
            <w:tcBorders>
              <w:left w:val="single" w:sz="8" w:color="auto"/>
            </w:tcBorders>
          </w:tcPr>
          <w:p>
            <w:pPr>
              <w:spacing w:after="0"/>
              <w:rPr>
                <w:sz w:val="2"/>
                <w:szCs w:val="2"/>
                <w:color w:val="auto"/>
              </w:rPr>
            </w:pPr>
          </w:p>
        </w:tc>
        <w:tc>
          <w:tcPr>
            <w:tcW w:w="1220" w:type="dxa"/>
            <w:vAlign w:val="bottom"/>
            <w:tcBorders>
              <w:right w:val="single" w:sz="8" w:color="auto"/>
            </w:tcBorders>
            <w:gridSpan w:val="3"/>
            <w:vMerge w:val="restart"/>
          </w:tcPr>
          <w:p>
            <w:pPr>
              <w:jc w:val="center"/>
              <w:ind w:right="440"/>
              <w:spacing w:after="0"/>
              <w:rPr>
                <w:sz w:val="20"/>
                <w:szCs w:val="20"/>
                <w:color w:val="auto"/>
              </w:rPr>
            </w:pPr>
            <w:r>
              <w:rPr>
                <w:rFonts w:ascii="Arial" w:cs="Arial" w:eastAsia="Arial" w:hAnsi="Arial"/>
                <w:sz w:val="18"/>
                <w:szCs w:val="18"/>
                <w:color w:val="auto"/>
                <w:w w:val="94"/>
              </w:rPr>
              <w:t>SHARES</w:t>
            </w: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00" w:type="dxa"/>
            <w:vAlign w:val="bottom"/>
            <w:tcBorders>
              <w:left w:val="single" w:sz="8" w:color="auto"/>
            </w:tcBorders>
          </w:tcPr>
          <w:p>
            <w:pPr>
              <w:spacing w:after="0"/>
              <w:rPr>
                <w:sz w:val="14"/>
                <w:szCs w:val="14"/>
                <w:color w:val="auto"/>
              </w:rPr>
            </w:pPr>
          </w:p>
        </w:tc>
        <w:tc>
          <w:tcPr>
            <w:tcW w:w="1220" w:type="dxa"/>
            <w:vAlign w:val="bottom"/>
            <w:tcBorders>
              <w:right w:val="single" w:sz="8" w:color="auto"/>
            </w:tcBorders>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64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w w:val="99"/>
              </w:rPr>
              <w:t>6</w:t>
            </w:r>
          </w:p>
        </w:tc>
        <w:tc>
          <w:tcPr>
            <w:tcW w:w="6440" w:type="dxa"/>
            <w:vAlign w:val="bottom"/>
            <w:gridSpan w:val="2"/>
            <w:vMerge w:val="continue"/>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2,104,337</w:t>
            </w:r>
          </w:p>
        </w:tc>
        <w:tc>
          <w:tcPr>
            <w:tcW w:w="54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000" w:type="dxa"/>
            <w:vAlign w:val="bottom"/>
            <w:vMerge w:val="continue"/>
          </w:tcPr>
          <w:p>
            <w:pPr>
              <w:spacing w:after="0"/>
              <w:rPr>
                <w:sz w:val="11"/>
                <w:szCs w:val="11"/>
                <w:color w:val="auto"/>
              </w:rPr>
            </w:pPr>
          </w:p>
        </w:tc>
        <w:tc>
          <w:tcPr>
            <w:tcW w:w="5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1220" w:type="dxa"/>
            <w:vAlign w:val="bottom"/>
            <w:tcBorders>
              <w:right w:val="single" w:sz="8" w:color="auto"/>
            </w:tcBorders>
            <w:gridSpan w:val="3"/>
          </w:tcPr>
          <w:p>
            <w:pPr>
              <w:jc w:val="center"/>
              <w:ind w:right="440"/>
              <w:spacing w:after="0" w:line="182" w:lineRule="exact"/>
              <w:rPr>
                <w:sz w:val="20"/>
                <w:szCs w:val="20"/>
                <w:color w:val="auto"/>
              </w:rPr>
            </w:pPr>
            <w:r>
              <w:rPr>
                <w:rFonts w:ascii="Arial" w:cs="Arial" w:eastAsia="Arial" w:hAnsi="Arial"/>
                <w:sz w:val="18"/>
                <w:szCs w:val="18"/>
                <w:color w:val="auto"/>
                <w:w w:val="99"/>
              </w:rPr>
              <w:t>EACH</w:t>
            </w:r>
          </w:p>
        </w:tc>
        <w:tc>
          <w:tcPr>
            <w:tcW w:w="38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w w:val="99"/>
              </w:rPr>
              <w:t>7</w:t>
            </w:r>
          </w:p>
        </w:tc>
        <w:tc>
          <w:tcPr>
            <w:tcW w:w="644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6440" w:type="dxa"/>
            <w:vAlign w:val="bottom"/>
            <w:gridSpan w:val="2"/>
            <w:vMerge w:val="continue"/>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1220" w:type="dxa"/>
            <w:vAlign w:val="bottom"/>
            <w:tcBorders>
              <w:right w:val="single" w:sz="8" w:color="auto"/>
            </w:tcBorders>
            <w:gridSpan w:val="3"/>
            <w:vMerge w:val="restart"/>
          </w:tcPr>
          <w:p>
            <w:pPr>
              <w:jc w:val="center"/>
              <w:ind w:right="440"/>
              <w:spacing w:after="0"/>
              <w:rPr>
                <w:sz w:val="20"/>
                <w:szCs w:val="20"/>
                <w:color w:val="auto"/>
              </w:rPr>
            </w:pPr>
            <w:r>
              <w:rPr>
                <w:rFonts w:ascii="Arial" w:cs="Arial" w:eastAsia="Arial" w:hAnsi="Arial"/>
                <w:sz w:val="18"/>
                <w:szCs w:val="18"/>
                <w:color w:val="auto"/>
                <w:w w:val="92"/>
              </w:rPr>
              <w:t>PERSON</w:t>
            </w:r>
          </w:p>
        </w:tc>
        <w:tc>
          <w:tcPr>
            <w:tcW w:w="3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0" w:type="dxa"/>
            <w:vAlign w:val="bottom"/>
            <w:vMerge w:val="continue"/>
          </w:tcPr>
          <w:p>
            <w:pPr>
              <w:spacing w:after="0"/>
              <w:rPr>
                <w:sz w:val="10"/>
                <w:szCs w:val="10"/>
                <w:color w:val="auto"/>
              </w:rPr>
            </w:pP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00" w:type="dxa"/>
            <w:vAlign w:val="bottom"/>
            <w:tcBorders>
              <w:left w:val="single" w:sz="8" w:color="auto"/>
            </w:tcBorders>
          </w:tcPr>
          <w:p>
            <w:pPr>
              <w:spacing w:after="0"/>
              <w:rPr>
                <w:sz w:val="8"/>
                <w:szCs w:val="8"/>
                <w:color w:val="auto"/>
              </w:rPr>
            </w:pPr>
          </w:p>
        </w:tc>
        <w:tc>
          <w:tcPr>
            <w:tcW w:w="1220" w:type="dxa"/>
            <w:vAlign w:val="bottom"/>
            <w:tcBorders>
              <w:right w:val="single" w:sz="8" w:color="auto"/>
            </w:tcBorders>
            <w:gridSpan w:val="3"/>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8"/>
                <w:szCs w:val="18"/>
                <w:color w:val="auto"/>
              </w:rPr>
              <w:t>WITH:</w:t>
            </w:r>
          </w:p>
        </w:tc>
        <w:tc>
          <w:tcPr>
            <w:tcW w:w="38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w w:val="99"/>
              </w:rPr>
              <w:t>8</w:t>
            </w:r>
          </w:p>
        </w:tc>
        <w:tc>
          <w:tcPr>
            <w:tcW w:w="64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5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Borders>
              <w:right w:val="single" w:sz="8" w:color="auto"/>
            </w:tcBorders>
            <w:vMerge w:val="continue"/>
          </w:tcPr>
          <w:p>
            <w:pPr>
              <w:spacing w:after="0"/>
              <w:rPr>
                <w:sz w:val="6"/>
                <w:szCs w:val="6"/>
                <w:color w:val="auto"/>
              </w:rPr>
            </w:pPr>
          </w:p>
        </w:tc>
        <w:tc>
          <w:tcPr>
            <w:tcW w:w="6440" w:type="dxa"/>
            <w:vAlign w:val="bottom"/>
            <w:gridSpan w:val="2"/>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2,104,337</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5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gridSpan w:val="2"/>
          </w:tcPr>
          <w:p>
            <w:pPr>
              <w:spacing w:after="0"/>
              <w:rPr>
                <w:sz w:val="8"/>
                <w:szCs w:val="8"/>
                <w:color w:val="auto"/>
              </w:rPr>
            </w:pPr>
          </w:p>
        </w:tc>
        <w:tc>
          <w:tcPr>
            <w:tcW w:w="900" w:type="dxa"/>
            <w:vAlign w:val="bottom"/>
            <w:tcBorders>
              <w:bottom w:val="single" w:sz="8" w:color="auto"/>
              <w:right w:val="single" w:sz="8" w:color="auto"/>
            </w:tcBorders>
            <w:gridSpan w:val="2"/>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79"/>
              </w:rPr>
              <w:t>9</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2,104,337</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jc w:val="center"/>
              <w:ind w:left="156"/>
              <w:spacing w:after="0"/>
              <w:rPr>
                <w:sz w:val="20"/>
                <w:szCs w:val="20"/>
                <w:color w:val="auto"/>
              </w:rPr>
            </w:pPr>
            <w:r>
              <w:rPr>
                <w:rFonts w:ascii="Arial" w:cs="Arial" w:eastAsia="Arial" w:hAnsi="Arial"/>
                <w:sz w:val="18"/>
                <w:szCs w:val="18"/>
                <w:b w:val="1"/>
                <w:bCs w:val="1"/>
                <w:color w:val="auto"/>
                <w:w w:val="89"/>
              </w:rPr>
              <w:t>10</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50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6440" w:type="dxa"/>
            <w:vAlign w:val="bottom"/>
            <w:tcBorders>
              <w:bottom w:val="single" w:sz="8" w:color="auto"/>
            </w:tcBorders>
            <w:gridSpan w:val="2"/>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79"/>
              </w:rPr>
              <w:t>11</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0"/>
              </w:rPr>
              <w:t>6.10%</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56"/>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IA</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w:t>
            </w:r>
          </w:p>
        </w:tc>
        <w:tc>
          <w:tcPr>
            <w:tcW w:w="12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86"/>
              </w:rPr>
              <w:t>825704109</w:t>
            </w:r>
          </w:p>
        </w:tc>
        <w:tc>
          <w:tcPr>
            <w:tcW w:w="1000" w:type="dxa"/>
            <w:vAlign w:val="bottom"/>
            <w:tcBorders>
              <w:bottom w:val="single" w:sz="8" w:color="auto"/>
            </w:tcBorders>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ind w:left="1360"/>
              <w:spacing w:after="0"/>
              <w:rPr>
                <w:sz w:val="20"/>
                <w:szCs w:val="20"/>
                <w:color w:val="auto"/>
              </w:rPr>
            </w:pPr>
            <w:r>
              <w:rPr>
                <w:rFonts w:ascii="Arial" w:cs="Arial" w:eastAsia="Arial" w:hAnsi="Arial"/>
                <w:sz w:val="18"/>
                <w:szCs w:val="18"/>
                <w:color w:val="auto"/>
                <w:w w:val="86"/>
              </w:rPr>
              <w:t>Page 3 of 7</w:t>
            </w:r>
          </w:p>
        </w:tc>
        <w:tc>
          <w:tcPr>
            <w:tcW w:w="0" w:type="dxa"/>
            <w:vAlign w:val="bottom"/>
          </w:tcPr>
          <w:p>
            <w:pPr>
              <w:spacing w:after="0"/>
              <w:rPr>
                <w:sz w:val="1"/>
                <w:szCs w:val="1"/>
                <w:color w:val="auto"/>
              </w:rPr>
            </w:pPr>
          </w:p>
        </w:tc>
      </w:tr>
      <w:tr>
        <w:trPr>
          <w:trHeight w:val="237"/>
        </w:trPr>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360" w:type="dxa"/>
            <w:vAlign w:val="bottom"/>
            <w:tcBorders>
              <w:bottom w:val="single" w:sz="8" w:color="auto"/>
            </w:tcBorders>
            <w:gridSpan w:val="6"/>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w w:val="93"/>
              </w:rPr>
              <w:t>Mathew P. Arens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I.R.S. IDENTIFICATION NO. OF ABOVE PERSONS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920" w:type="dxa"/>
            <w:vAlign w:val="bottom"/>
            <w:gridSpan w:val="4"/>
          </w:tcPr>
          <w:p>
            <w:pPr>
              <w:ind w:left="60"/>
              <w:spacing w:after="0"/>
              <w:rPr>
                <w:sz w:val="20"/>
                <w:szCs w:val="20"/>
                <w:color w:val="auto"/>
              </w:rPr>
            </w:pPr>
            <w:r>
              <w:rPr>
                <w:rFonts w:ascii="Arial" w:cs="Arial" w:eastAsia="Arial" w:hAnsi="Arial"/>
                <w:sz w:val="18"/>
                <w:szCs w:val="18"/>
                <w:color w:val="auto"/>
              </w:rPr>
              <w:t>(ENTITIES ONLY)</w:t>
            </w: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8360" w:type="dxa"/>
            <w:vAlign w:val="bottom"/>
            <w:tcBorders>
              <w:bottom w:val="single" w:sz="8" w:color="auto"/>
            </w:tcBorders>
            <w:gridSpan w:val="6"/>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79"/>
              </w:rPr>
              <w:t>2</w:t>
            </w:r>
          </w:p>
        </w:tc>
        <w:tc>
          <w:tcPr>
            <w:tcW w:w="200" w:type="dxa"/>
            <w:vAlign w:val="bottom"/>
            <w:tcBorders>
              <w:right w:val="single" w:sz="8" w:color="auto"/>
            </w:tcBorders>
          </w:tcPr>
          <w:p>
            <w:pPr>
              <w:spacing w:after="0"/>
              <w:rPr>
                <w:sz w:val="22"/>
                <w:szCs w:val="22"/>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18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18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50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gridSpan w:val="3"/>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500" w:type="dxa"/>
            <w:vAlign w:val="bottom"/>
            <w:tcBorders>
              <w:lef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79"/>
              </w:rPr>
              <w:t>3</w:t>
            </w:r>
          </w:p>
        </w:tc>
        <w:tc>
          <w:tcPr>
            <w:tcW w:w="200" w:type="dxa"/>
            <w:vAlign w:val="bottom"/>
            <w:tcBorders>
              <w:right w:val="single" w:sz="8" w:color="auto"/>
            </w:tcBorders>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w w:val="96"/>
              </w:rPr>
              <w:t>SEC USE ONLY</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8360" w:type="dxa"/>
            <w:vAlign w:val="bottom"/>
            <w:tcBorders>
              <w:bottom w:val="single" w:sz="8" w:color="auto"/>
            </w:tcBorders>
            <w:gridSpan w:val="6"/>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79"/>
              </w:rPr>
              <w:t>4</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920" w:type="dxa"/>
            <w:vAlign w:val="bottom"/>
            <w:gridSpan w:val="4"/>
          </w:tcPr>
          <w:p>
            <w:pPr>
              <w:ind w:left="60"/>
              <w:spacing w:after="0"/>
              <w:rPr>
                <w:sz w:val="20"/>
                <w:szCs w:val="20"/>
                <w:color w:val="auto"/>
              </w:rPr>
            </w:pPr>
            <w:r>
              <w:rPr>
                <w:rFonts w:ascii="Arial" w:cs="Arial" w:eastAsia="Arial" w:hAnsi="Arial"/>
                <w:sz w:val="18"/>
                <w:szCs w:val="18"/>
                <w:color w:val="auto"/>
                <w:w w:val="95"/>
              </w:rPr>
              <w:t>United State of America</w:t>
            </w: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Pr>
          <w:p>
            <w:pPr>
              <w:spacing w:after="0"/>
              <w:rPr>
                <w:sz w:val="24"/>
                <w:szCs w:val="24"/>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64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720" w:type="dxa"/>
            <w:vAlign w:val="bottom"/>
            <w:tcBorders>
              <w:left w:val="single" w:sz="8" w:color="auto"/>
              <w:right w:val="single" w:sz="8" w:color="auto"/>
            </w:tcBorders>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6</w:t>
            </w:r>
          </w:p>
        </w:tc>
        <w:tc>
          <w:tcPr>
            <w:tcW w:w="644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2,104,337</w:t>
            </w:r>
          </w:p>
        </w:tc>
        <w:tc>
          <w:tcPr>
            <w:tcW w:w="5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54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54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7</w:t>
            </w:r>
          </w:p>
        </w:tc>
        <w:tc>
          <w:tcPr>
            <w:tcW w:w="6440" w:type="dxa"/>
            <w:vAlign w:val="bottom"/>
            <w:gridSpan w:val="2"/>
          </w:tcPr>
          <w:p>
            <w:pPr>
              <w:ind w:left="40"/>
              <w:spacing w:after="0"/>
              <w:rPr>
                <w:sz w:val="20"/>
                <w:szCs w:val="20"/>
                <w:color w:val="auto"/>
              </w:rPr>
            </w:pPr>
            <w:r>
              <w:rPr>
                <w:rFonts w:ascii="Arial" w:cs="Arial" w:eastAsia="Arial" w:hAnsi="Arial"/>
                <w:sz w:val="18"/>
                <w:szCs w:val="18"/>
                <w:color w:val="auto"/>
              </w:rPr>
              <w:t>SOLE DISPOSITIVE POWER</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000" w:type="dxa"/>
            <w:vAlign w:val="bottom"/>
            <w:vMerge w:val="continue"/>
          </w:tcPr>
          <w:p>
            <w:pPr>
              <w:spacing w:after="0"/>
              <w:rPr>
                <w:sz w:val="8"/>
                <w:szCs w:val="8"/>
                <w:color w:val="auto"/>
              </w:rPr>
            </w:pPr>
          </w:p>
        </w:tc>
        <w:tc>
          <w:tcPr>
            <w:tcW w:w="54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500" w:type="dxa"/>
            <w:vAlign w:val="bottom"/>
            <w:tcBorders>
              <w:left w:val="single" w:sz="8" w:color="auto"/>
            </w:tcBorders>
          </w:tcPr>
          <w:p>
            <w:pPr>
              <w:spacing w:after="0"/>
              <w:rPr>
                <w:sz w:val="9"/>
                <w:szCs w:val="9"/>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Borders>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4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00" w:type="dxa"/>
            <w:vAlign w:val="bottom"/>
            <w:tcBorders>
              <w:lef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64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860" w:type="dxa"/>
            <w:vAlign w:val="bottom"/>
            <w:gridSpan w:val="2"/>
          </w:tcPr>
          <w:p>
            <w:pPr>
              <w:jc w:val="center"/>
              <w:ind w:right="10"/>
              <w:spacing w:after="0" w:line="202" w:lineRule="exact"/>
              <w:rPr>
                <w:sz w:val="20"/>
                <w:szCs w:val="20"/>
                <w:color w:val="auto"/>
              </w:rPr>
            </w:pPr>
            <w:r>
              <w:rPr>
                <w:rFonts w:ascii="Arial" w:cs="Arial" w:eastAsia="Arial" w:hAnsi="Arial"/>
                <w:sz w:val="18"/>
                <w:szCs w:val="18"/>
                <w:color w:val="auto"/>
              </w:rPr>
              <w:t>WITH:</w:t>
            </w: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8</w:t>
            </w:r>
          </w:p>
        </w:tc>
        <w:tc>
          <w:tcPr>
            <w:tcW w:w="6440" w:type="dxa"/>
            <w:vAlign w:val="bottom"/>
            <w:gridSpan w:val="2"/>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2,104,337</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5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gridSpan w:val="2"/>
          </w:tcPr>
          <w:p>
            <w:pPr>
              <w:spacing w:after="0"/>
              <w:rPr>
                <w:sz w:val="8"/>
                <w:szCs w:val="8"/>
                <w:color w:val="auto"/>
              </w:rPr>
            </w:pPr>
          </w:p>
        </w:tc>
        <w:tc>
          <w:tcPr>
            <w:tcW w:w="900" w:type="dxa"/>
            <w:vAlign w:val="bottom"/>
            <w:tcBorders>
              <w:bottom w:val="single" w:sz="8" w:color="auto"/>
              <w:right w:val="single" w:sz="8" w:color="auto"/>
            </w:tcBorders>
            <w:gridSpan w:val="2"/>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2,104,337</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10</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50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6440" w:type="dxa"/>
            <w:vAlign w:val="bottom"/>
            <w:tcBorders>
              <w:bottom w:val="single" w:sz="8" w:color="auto"/>
            </w:tcBorders>
            <w:gridSpan w:val="2"/>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79"/>
              </w:rPr>
              <w:t>11</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6.10%</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Borders>
              <w:right w:val="single" w:sz="8" w:color="auto"/>
            </w:tcBorders>
          </w:tcPr>
          <w:p>
            <w:pPr>
              <w:spacing w:after="0"/>
              <w:rPr>
                <w:sz w:val="24"/>
                <w:szCs w:val="24"/>
                <w:color w:val="auto"/>
              </w:rPr>
            </w:pPr>
          </w:p>
        </w:tc>
        <w:tc>
          <w:tcPr>
            <w:tcW w:w="836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IN</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1"/>
        </w:trPr>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1350"/>
              <w:spacing w:after="0"/>
              <w:rPr>
                <w:sz w:val="20"/>
                <w:szCs w:val="20"/>
                <w:color w:val="auto"/>
              </w:rPr>
            </w:pPr>
            <w:r>
              <w:rPr>
                <w:rFonts w:ascii="Arial" w:cs="Arial" w:eastAsia="Arial" w:hAnsi="Arial"/>
                <w:sz w:val="18"/>
                <w:szCs w:val="18"/>
                <w:color w:val="auto"/>
                <w:w w:val="88"/>
              </w:rPr>
              <w:t>825704109</w:t>
            </w:r>
          </w:p>
        </w:tc>
        <w:tc>
          <w:tcPr>
            <w:tcW w:w="670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w w:val="86"/>
              </w:rPr>
              <w:t>Page 4 of 7</w:t>
            </w:r>
          </w:p>
        </w:tc>
      </w:tr>
      <w:tr>
        <w:trPr>
          <w:trHeight w:val="43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b w:val="1"/>
                <w:bCs w:val="1"/>
                <w:color w:val="auto"/>
              </w:rPr>
              <w:t>Name of Issuer:</w:t>
            </w:r>
          </w:p>
        </w:tc>
        <w:tc>
          <w:tcPr>
            <w:tcW w:w="10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SI-Bone, Inc.</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0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471 El Camino Real, Suite 101, Santa Clara, CA 95050</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b w:val="1"/>
                <w:bCs w:val="1"/>
                <w:color w:val="auto"/>
              </w:rPr>
              <w:t>Name of Person Filing:</w:t>
            </w:r>
          </w:p>
        </w:tc>
        <w:tc>
          <w:tcPr>
            <w:tcW w:w="10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This Schedule 13G is being jointly filed by the following:</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First Light Asset Management, LLC</w:t>
            </w:r>
          </w:p>
        </w:tc>
        <w:tc>
          <w:tcPr>
            <w:tcW w:w="10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Mathew P. Arens (“Mr. Arens”)</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1"/>
              </w:rPr>
              <w:t>The Manager may be deemed to be the beneficial owner of the Issuer’s shares of common stock (the “Shares”). The Manager acts as</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89"/>
              </w:rPr>
              <w:t>an investment adviser to certain persons holding separately managed accounts with the Manager, each of whom has the right to receive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1"/>
              </w:rPr>
              <w:t>or the power to direct the receipt of dividends from, or the proceeds from the sale of, those shares. The Manager may also be deemed</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3"/>
              </w:rPr>
              <w:t>to be the beneficial owner of these shares because it acts as an investment adviser to certain private funds. Mr. Arens may also be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0"/>
              </w:rPr>
              <w:t>deemed to be the beneficial owner of these shares because he controls the Manager in his position as managing member and majority</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0"/>
              </w:rPr>
              <w:t>owner of the Manager. The Manager and Mr. Arens are filing this Schedule 13G with respect to these Shares pursuant to Rule 13d-1(b)</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under the Act.</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3"/>
              </w:rPr>
              <w:t>The Manager and Mr. Arens may be deemed to be the beneficial owner of the total amount of Shares set forth across from its or his</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1"/>
              </w:rPr>
              <w:t>respective name in Item 4 below. The filing of this Schedule 13G shall not be construed as an admission that the reporting persons or</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w w:val="90"/>
              </w:rPr>
              <w:t>any of their affiliates are the beneficial owner of any securities covered by this Schedule 13G for any other purposes other than Section</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13(d) of the Securities Exchange Act of 1934.</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0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Each of the reporting persons identified in Item 2(a) has its principal business office at:</w:t>
            </w:r>
          </w:p>
        </w:tc>
        <w:tc>
          <w:tcPr>
            <w:tcW w:w="104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3300 Edinborough Way, Suite 201, Edina, MN 55435</w:t>
            </w:r>
          </w:p>
        </w:tc>
        <w:tc>
          <w:tcPr>
            <w:tcW w:w="104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b w:val="1"/>
                <w:bCs w:val="1"/>
                <w:color w:val="auto"/>
              </w:rPr>
              <w:t>Citizenship:</w:t>
            </w:r>
          </w:p>
        </w:tc>
        <w:tc>
          <w:tcPr>
            <w:tcW w:w="104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First Light Asset Management, LLC – Delaware limited liability company</w:t>
            </w:r>
          </w:p>
        </w:tc>
        <w:tc>
          <w:tcPr>
            <w:tcW w:w="104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Mathew P. Arens – United States citizen</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b w:val="1"/>
                <w:bCs w:val="1"/>
                <w:color w:val="auto"/>
              </w:rPr>
              <w:t>Title of Class of Securities:</w:t>
            </w:r>
          </w:p>
        </w:tc>
        <w:tc>
          <w:tcPr>
            <w:tcW w:w="10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color w:val="auto"/>
              </w:rPr>
              <w:t>Common Stock, $0.01 par value</w:t>
            </w:r>
          </w:p>
        </w:tc>
        <w:tc>
          <w:tcPr>
            <w:tcW w:w="104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Arial" w:cs="Arial" w:eastAsia="Arial" w:hAnsi="Arial"/>
                <w:sz w:val="18"/>
                <w:szCs w:val="18"/>
                <w:b w:val="1"/>
                <w:bCs w:val="1"/>
                <w:color w:val="auto"/>
              </w:rPr>
              <w:t>CUSIP Number:</w:t>
            </w:r>
          </w:p>
        </w:tc>
        <w:tc>
          <w:tcPr>
            <w:tcW w:w="10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Arial" w:cs="Arial" w:eastAsia="Arial" w:hAnsi="Arial"/>
                <w:sz w:val="18"/>
                <w:szCs w:val="18"/>
                <w:color w:val="auto"/>
              </w:rPr>
              <w:t>825704109</w:t>
            </w:r>
          </w:p>
        </w:tc>
        <w:tc>
          <w:tcPr>
            <w:tcW w:w="67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200" w:type="dxa"/>
            <w:vAlign w:val="bottom"/>
            <w:gridSpan w:val="5"/>
          </w:tcPr>
          <w:p>
            <w:pPr>
              <w:ind w:left="140"/>
              <w:spacing w:after="0"/>
              <w:rPr>
                <w:sz w:val="20"/>
                <w:szCs w:val="20"/>
                <w:color w:val="auto"/>
              </w:rPr>
            </w:pPr>
            <w:r>
              <w:rPr>
                <w:rFonts w:ascii="Arial" w:cs="Arial" w:eastAsia="Arial" w:hAnsi="Arial"/>
                <w:sz w:val="18"/>
                <w:szCs w:val="18"/>
                <w:b w:val="1"/>
                <w:bCs w:val="1"/>
                <w:color w:val="auto"/>
                <w:w w:val="93"/>
              </w:rPr>
              <w:t>If This Statement is Filed Pursuant to §§240.13d-1(b), or 240.13d-2(b) or (c), Check Whether the Person Filing is a:</w:t>
            </w:r>
          </w:p>
        </w:tc>
        <w:tc>
          <w:tcPr>
            <w:tcW w:w="1040" w:type="dxa"/>
            <w:vAlign w:val="bottom"/>
          </w:tcPr>
          <w:p>
            <w:pPr>
              <w:spacing w:after="0"/>
              <w:rPr>
                <w:sz w:val="24"/>
                <w:szCs w:val="24"/>
                <w:color w:val="auto"/>
              </w:rPr>
            </w:pPr>
          </w:p>
        </w:tc>
      </w:tr>
      <w:tr>
        <w:trPr>
          <w:trHeight w:val="283"/>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10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Bank as defined in Section 3(a)(6) of the Act (15 U.S.C. 78c).</w:t>
            </w:r>
          </w:p>
        </w:tc>
        <w:tc>
          <w:tcPr>
            <w:tcW w:w="10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10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(d)</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w w:val="96"/>
              </w:rPr>
              <w:t>Investment company registered under Section 8 of the Investment Company Act of 1940 (15 U.S.C. 80a-8).</w:t>
            </w:r>
          </w:p>
        </w:tc>
        <w:tc>
          <w:tcPr>
            <w:tcW w:w="10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An investment adviser in accordance with §240.13d-1(b)(1)(ii)(E);</w:t>
            </w:r>
          </w:p>
        </w:tc>
        <w:tc>
          <w:tcPr>
            <w:tcW w:w="1040" w:type="dxa"/>
            <w:vAlign w:val="bottom"/>
          </w:tcPr>
          <w:p>
            <w:pPr>
              <w:spacing w:after="0"/>
              <w:rPr>
                <w:sz w:val="24"/>
                <w:szCs w:val="24"/>
                <w:color w:val="auto"/>
              </w:rPr>
            </w:pPr>
          </w:p>
        </w:tc>
      </w:tr>
      <w:tr>
        <w:trPr>
          <w:trHeight w:val="331"/>
        </w:trPr>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4" w:name="page5"/>
    <w:bookmarkEnd w:id="4"/>
    <w:p>
      <w:pPr>
        <w:spacing w:after="0"/>
        <w:tabs>
          <w:tab w:leader="none" w:pos="1240" w:val="left"/>
          <w:tab w:leader="none" w:pos="104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825704109</w:t>
      </w:r>
      <w:r>
        <w:rPr>
          <w:sz w:val="20"/>
          <w:szCs w:val="20"/>
          <w:color w:val="auto"/>
        </w:rPr>
        <w:tab/>
      </w:r>
      <w:r>
        <w:rPr>
          <w:rFonts w:ascii="Arial" w:cs="Arial" w:eastAsia="Arial" w:hAnsi="Arial"/>
          <w:sz w:val="16"/>
          <w:szCs w:val="16"/>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1354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17" w:lineRule="exact"/>
        <w:rPr>
          <w:sz w:val="20"/>
          <w:szCs w:val="20"/>
          <w:color w:val="auto"/>
        </w:rPr>
      </w:pPr>
    </w:p>
    <w:p>
      <w:pPr>
        <w:ind w:left="1480" w:hanging="338"/>
        <w:spacing w:after="0" w:line="207" w:lineRule="exact"/>
        <w:tabs>
          <w:tab w:leader="none" w:pos="14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§240.13d-1(b)(ii)(G);</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20" w:right="40" w:hanging="778"/>
        <w:spacing w:after="0" w:line="239" w:lineRule="exact"/>
        <w:tabs>
          <w:tab w:leader="none" w:pos="1474"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170"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480" w:hanging="338"/>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480" w:right="6240"/>
        <w:spacing w:after="0" w:line="260" w:lineRule="auto"/>
        <w:rPr>
          <w:rFonts w:ascii="Arial" w:cs="Arial" w:eastAsia="Arial" w:hAnsi="Arial"/>
          <w:sz w:val="18"/>
          <w:szCs w:val="18"/>
          <w:color w:val="auto"/>
        </w:rPr>
      </w:pPr>
      <w:r>
        <w:rPr>
          <w:rFonts w:ascii="Arial" w:cs="Arial" w:eastAsia="Arial" w:hAnsi="Arial"/>
          <w:sz w:val="18"/>
          <w:szCs w:val="18"/>
          <w:color w:val="auto"/>
        </w:rPr>
        <w:t>First Light Asset Management, LLC – 2,104,337 Mathew P. Arens – 2,104,337</w:t>
      </w:r>
    </w:p>
    <w:p>
      <w:pPr>
        <w:spacing w:after="0" w:line="185" w:lineRule="exact"/>
        <w:rPr>
          <w:rFonts w:ascii="Arial" w:cs="Arial" w:eastAsia="Arial" w:hAnsi="Arial"/>
          <w:sz w:val="18"/>
          <w:szCs w:val="18"/>
          <w:color w:val="auto"/>
        </w:rPr>
      </w:pPr>
    </w:p>
    <w:p>
      <w:pPr>
        <w:ind w:left="1480" w:hanging="338"/>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480" w:right="6500"/>
        <w:spacing w:after="0" w:line="260" w:lineRule="auto"/>
        <w:rPr>
          <w:rFonts w:ascii="Arial" w:cs="Arial" w:eastAsia="Arial" w:hAnsi="Arial"/>
          <w:sz w:val="18"/>
          <w:szCs w:val="18"/>
          <w:color w:val="auto"/>
        </w:rPr>
      </w:pPr>
      <w:r>
        <w:rPr>
          <w:rFonts w:ascii="Arial" w:cs="Arial" w:eastAsia="Arial" w:hAnsi="Arial"/>
          <w:sz w:val="18"/>
          <w:szCs w:val="18"/>
          <w:color w:val="auto"/>
        </w:rPr>
        <w:t>First Light Asset Management, LLC – 6.10% Mathew P. Arens – 6.10%</w:t>
      </w:r>
    </w:p>
    <w:p>
      <w:pPr>
        <w:spacing w:after="0" w:line="185" w:lineRule="exact"/>
        <w:rPr>
          <w:rFonts w:ascii="Arial" w:cs="Arial" w:eastAsia="Arial" w:hAnsi="Arial"/>
          <w:sz w:val="18"/>
          <w:szCs w:val="18"/>
          <w:color w:val="auto"/>
        </w:rPr>
      </w:pPr>
    </w:p>
    <w:p>
      <w:pPr>
        <w:ind w:left="1480" w:hanging="338"/>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20" w:right="6520" w:hanging="341"/>
        <w:spacing w:after="0" w:line="263" w:lineRule="auto"/>
        <w:tabs>
          <w:tab w:leader="none" w:pos="1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First Light Asset Management, LLC – 0 Mathew P. Arens – 0</w:t>
      </w:r>
    </w:p>
    <w:p>
      <w:pPr>
        <w:spacing w:after="0" w:line="183" w:lineRule="exact"/>
        <w:rPr>
          <w:rFonts w:ascii="Arial" w:cs="Arial" w:eastAsia="Arial" w:hAnsi="Arial"/>
          <w:sz w:val="18"/>
          <w:szCs w:val="18"/>
          <w:color w:val="auto"/>
        </w:rPr>
      </w:pPr>
    </w:p>
    <w:p>
      <w:pPr>
        <w:ind w:left="1820" w:hanging="341"/>
        <w:spacing w:after="0"/>
        <w:tabs>
          <w:tab w:leader="none" w:pos="1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820" w:right="5900"/>
        <w:spacing w:after="0" w:line="260" w:lineRule="auto"/>
        <w:rPr>
          <w:rFonts w:ascii="Arial" w:cs="Arial" w:eastAsia="Arial" w:hAnsi="Arial"/>
          <w:sz w:val="18"/>
          <w:szCs w:val="18"/>
          <w:color w:val="auto"/>
        </w:rPr>
      </w:pPr>
      <w:r>
        <w:rPr>
          <w:rFonts w:ascii="Arial" w:cs="Arial" w:eastAsia="Arial" w:hAnsi="Arial"/>
          <w:sz w:val="18"/>
          <w:szCs w:val="18"/>
          <w:color w:val="auto"/>
        </w:rPr>
        <w:t>First Light Asset Management, LLC – 2,104,337 Mathew P. Arens – 2,104,337</w:t>
      </w:r>
    </w:p>
    <w:p>
      <w:pPr>
        <w:spacing w:after="0" w:line="185" w:lineRule="exact"/>
        <w:rPr>
          <w:rFonts w:ascii="Arial" w:cs="Arial" w:eastAsia="Arial" w:hAnsi="Arial"/>
          <w:sz w:val="18"/>
          <w:szCs w:val="18"/>
          <w:color w:val="auto"/>
        </w:rPr>
      </w:pPr>
    </w:p>
    <w:p>
      <w:pPr>
        <w:ind w:left="1820" w:right="5700" w:hanging="341"/>
        <w:spacing w:after="0" w:line="263" w:lineRule="auto"/>
        <w:tabs>
          <w:tab w:leader="none" w:pos="1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First Light Asset Management, LLC – 0 Mathew P. Arens – 0</w:t>
      </w:r>
    </w:p>
    <w:p>
      <w:pPr>
        <w:spacing w:after="0" w:line="183" w:lineRule="exact"/>
        <w:rPr>
          <w:rFonts w:ascii="Arial" w:cs="Arial" w:eastAsia="Arial" w:hAnsi="Arial"/>
          <w:sz w:val="18"/>
          <w:szCs w:val="18"/>
          <w:color w:val="auto"/>
        </w:rPr>
      </w:pPr>
    </w:p>
    <w:p>
      <w:pPr>
        <w:ind w:left="1820" w:right="5540" w:hanging="341"/>
        <w:spacing w:after="0" w:line="263" w:lineRule="auto"/>
        <w:tabs>
          <w:tab w:leader="none" w:pos="1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First Light Asset Management, LLC – 2,104,337 Mathew P. Arens – 2,104,337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tabs>
          <w:tab w:leader="none" w:pos="1240" w:val="left"/>
          <w:tab w:leader="none" w:pos="104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825704109</w:t>
      </w:r>
      <w:r>
        <w:rPr>
          <w:sz w:val="20"/>
          <w:szCs w:val="20"/>
          <w:color w:val="auto"/>
        </w:rPr>
        <w:tab/>
      </w:r>
      <w:r>
        <w:rPr>
          <w:rFonts w:ascii="Arial" w:cs="Arial" w:eastAsia="Arial" w:hAnsi="Arial"/>
          <w:sz w:val="16"/>
          <w:szCs w:val="16"/>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1499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left="1140" w:right="8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140" w:right="760" w:hanging="1133"/>
        <w:spacing w:after="0" w:line="261"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ind w:left="11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FIRST LIGHT ASSET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14, 2023</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T. Peterson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Kurt T. Peterson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Compliance Officer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14, 2023</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/s/ 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spacing w:after="0"/>
        <w:tabs>
          <w:tab w:leader="none" w:pos="1240" w:val="left"/>
          <w:tab w:leader="none" w:pos="104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825704109</w:t>
      </w:r>
      <w:r>
        <w:rPr>
          <w:sz w:val="20"/>
          <w:szCs w:val="20"/>
          <w:color w:val="auto"/>
        </w:rPr>
        <w:tab/>
      </w:r>
      <w:r>
        <w:rPr>
          <w:rFonts w:ascii="Arial" w:cs="Arial" w:eastAsia="Arial" w:hAnsi="Arial"/>
          <w:sz w:val="16"/>
          <w:szCs w:val="16"/>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1499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Undersigned agree that the statement on Schedule 13G with respect to the common stock of SI-Bone, Inc dated as of February 14, 2023, is, and any amendment thereto signed by each of the undersigned shall be, filed on behalf of each of them pursuant to and in accordance with the provisions of Rule 13d-1(k) under the Securities Exchange Act of 1934, as amended.</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FIRST LIGHT ASSET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T. Peterson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Kurt T. Peterson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/s/ 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6"/>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2023-02-14T19:32:44Z</dcterms:created>
  <dcterms:modified xsi:type="dcterms:W3CDTF">2023-02-14T19:32:44Z</dcterms:modified>
</cp:coreProperties>
</file>