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Foley Mark J</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8"/>
              </w:rPr>
              <w:t>C/O SI-BONE, INC.</w:t>
            </w: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1060" w:type="dxa"/>
            <w:vAlign w:val="bottom"/>
          </w:tcPr>
          <w:p>
            <w:pPr>
              <w:ind w:left="200"/>
              <w:spacing w:after="0"/>
              <w:rPr>
                <w:sz w:val="20"/>
                <w:szCs w:val="20"/>
                <w:color w:val="auto"/>
              </w:rPr>
            </w:pPr>
            <w:r>
              <w:rPr>
                <w:rFonts w:ascii="Arial" w:cs="Arial" w:eastAsia="Arial" w:hAnsi="Arial"/>
                <w:sz w:val="13"/>
                <w:szCs w:val="13"/>
                <w:color w:val="0000FF"/>
              </w:rPr>
              <w:t>06/13/2019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26,236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26,236</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26,236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36 equal monthly increments over three years starting on the Vesting Commencement Date, such that the shares subject to the option will be fully vested on the third anniversary of the Vesting Commencement Date, subject to the Reporting Person's continuous service as a member of the Issuer's Board of Directors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Mark J.</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52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919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2019-12-24T08:00:09Z</dcterms:created>
  <dcterms:modified xsi:type="dcterms:W3CDTF">2019-12-24T08:00:09Z</dcterms:modified>
</cp:coreProperties>
</file>