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October 15, 2018</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520"/>
        <w:spacing w:after="0"/>
        <w:rPr>
          <w:sz w:val="20"/>
          <w:szCs w:val="20"/>
          <w:color w:val="auto"/>
        </w:rPr>
      </w:pPr>
      <w:r>
        <w:rPr>
          <w:rFonts w:ascii="Arial" w:cs="Arial" w:eastAsia="Arial" w:hAnsi="Arial"/>
          <w:sz w:val="18"/>
          <w:szCs w:val="18"/>
          <w:color w:val="auto"/>
        </w:rPr>
        <w:t>Re: SI-BONE, Inc. (the “Company”)</w:t>
      </w:r>
    </w:p>
    <w:p>
      <w:pPr>
        <w:spacing w:after="0" w:line="23" w:lineRule="exact"/>
        <w:rPr>
          <w:sz w:val="24"/>
          <w:szCs w:val="24"/>
          <w:color w:val="auto"/>
        </w:rPr>
      </w:pPr>
    </w:p>
    <w:p>
      <w:pPr>
        <w:ind w:left="860"/>
        <w:spacing w:after="0"/>
        <w:rPr>
          <w:sz w:val="20"/>
          <w:szCs w:val="20"/>
          <w:color w:val="auto"/>
        </w:rPr>
      </w:pPr>
      <w:r>
        <w:rPr>
          <w:rFonts w:ascii="Arial" w:cs="Arial" w:eastAsia="Arial" w:hAnsi="Arial"/>
          <w:sz w:val="18"/>
          <w:szCs w:val="18"/>
          <w:color w:val="auto"/>
        </w:rPr>
        <w:t>Registration Statement on Form S-1 (File No. 333-227445)</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firstLine="441"/>
        <w:spacing w:after="0" w:line="259" w:lineRule="auto"/>
        <w:rPr>
          <w:sz w:val="20"/>
          <w:szCs w:val="20"/>
          <w:color w:val="auto"/>
        </w:rPr>
      </w:pPr>
      <w:r>
        <w:rPr>
          <w:rFonts w:ascii="Arial" w:cs="Arial" w:eastAsia="Arial" w:hAnsi="Arial"/>
          <w:sz w:val="18"/>
          <w:szCs w:val="18"/>
          <w:color w:val="auto"/>
        </w:rPr>
        <w:t>Pursuant to Rule 461 of the General Rules and Regulations under the Securities Act of 1933, as amended (the “Act”), and as representatives of the several underwriters of the Company’s proposed public offering of up to 6,000,000 shares of common stock, we hereby join the Company’s request for acceleration of the above-referenced Registration Statement, requesting effectiveness for 4:00 p.m. (EDT) on October 16, 2018, or as soon thereafter as is practicable.</w:t>
      </w:r>
    </w:p>
    <w:p>
      <w:pPr>
        <w:spacing w:after="0" w:line="187" w:lineRule="exact"/>
        <w:rPr>
          <w:sz w:val="24"/>
          <w:szCs w:val="24"/>
          <w:color w:val="auto"/>
        </w:rPr>
      </w:pPr>
    </w:p>
    <w:p>
      <w:pPr>
        <w:ind w:right="640" w:firstLine="441"/>
        <w:spacing w:after="0" w:line="277" w:lineRule="auto"/>
        <w:rPr>
          <w:sz w:val="20"/>
          <w:szCs w:val="20"/>
          <w:color w:val="auto"/>
        </w:rPr>
      </w:pPr>
      <w:r>
        <w:rPr>
          <w:rFonts w:ascii="Arial" w:cs="Arial" w:eastAsia="Arial" w:hAnsi="Arial"/>
          <w:sz w:val="18"/>
          <w:szCs w:val="18"/>
          <w:color w:val="auto"/>
        </w:rPr>
        <w:t>Pursuant to Rule 460 under the Act, we wish to advise you that we have effected the following distribution of the Company’s Preliminary Prospectus dated October 5, 2018, through the date hereof:</w:t>
      </w:r>
    </w:p>
    <w:p>
      <w:pPr>
        <w:spacing w:after="0" w:line="170" w:lineRule="exact"/>
        <w:rPr>
          <w:sz w:val="24"/>
          <w:szCs w:val="24"/>
          <w:color w:val="auto"/>
        </w:rPr>
      </w:pPr>
    </w:p>
    <w:p>
      <w:pPr>
        <w:ind w:left="440"/>
        <w:spacing w:after="0"/>
        <w:rPr>
          <w:sz w:val="20"/>
          <w:szCs w:val="20"/>
          <w:color w:val="auto"/>
        </w:rPr>
      </w:pPr>
      <w:r>
        <w:rPr>
          <w:rFonts w:ascii="Arial" w:cs="Arial" w:eastAsia="Arial" w:hAnsi="Arial"/>
          <w:sz w:val="18"/>
          <w:szCs w:val="18"/>
          <w:u w:val="single" w:color="auto"/>
          <w:color w:val="auto"/>
        </w:rPr>
        <w:t>Preliminary Prospectus dated October 5, 2018:</w:t>
      </w:r>
    </w:p>
    <w:p>
      <w:pPr>
        <w:spacing w:after="0" w:line="225" w:lineRule="exact"/>
        <w:rPr>
          <w:sz w:val="24"/>
          <w:szCs w:val="24"/>
          <w:color w:val="auto"/>
        </w:rPr>
      </w:pPr>
    </w:p>
    <w:p>
      <w:pPr>
        <w:ind w:left="440"/>
        <w:spacing w:after="0"/>
        <w:rPr>
          <w:sz w:val="20"/>
          <w:szCs w:val="20"/>
          <w:color w:val="auto"/>
        </w:rPr>
      </w:pPr>
      <w:r>
        <w:rPr>
          <w:rFonts w:ascii="Arial" w:cs="Arial" w:eastAsia="Arial" w:hAnsi="Arial"/>
          <w:sz w:val="18"/>
          <w:szCs w:val="18"/>
          <w:color w:val="auto"/>
        </w:rPr>
        <w:t>1,700 copies to prospective underwriters, institutional investors, dealers and others</w:t>
      </w:r>
    </w:p>
    <w:p>
      <w:pPr>
        <w:spacing w:after="0" w:line="225" w:lineRule="exact"/>
        <w:rPr>
          <w:sz w:val="24"/>
          <w:szCs w:val="24"/>
          <w:color w:val="auto"/>
        </w:rPr>
      </w:pPr>
    </w:p>
    <w:p>
      <w:pPr>
        <w:ind w:right="140" w:firstLine="441"/>
        <w:spacing w:after="0" w:line="308" w:lineRule="auto"/>
        <w:rPr>
          <w:sz w:val="20"/>
          <w:szCs w:val="20"/>
          <w:color w:val="auto"/>
        </w:rPr>
      </w:pPr>
      <w:r>
        <w:rPr>
          <w:rFonts w:ascii="Arial" w:cs="Arial" w:eastAsia="Arial" w:hAnsi="Arial"/>
          <w:sz w:val="17"/>
          <w:szCs w:val="17"/>
          <w:color w:val="auto"/>
        </w:rPr>
        <w:t>The undersigned advise that they have complied and will continue to comply, and that they have been informed by the participating underwriters and dealers that they have complied with and will continue to comply, with Rule 15c2-8 under the Securities Exchange Act of 1934.</w:t>
      </w:r>
    </w:p>
    <w:p>
      <w:pPr>
        <w:spacing w:after="0" w:line="14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ectPr>
          <w:pgSz w:w="11900" w:h="16838" w:orient="portrait"/>
          <w:cols w:equalWidth="0" w:num="1">
            <w:col w:w="11000"/>
          </w:cols>
          <w:pgMar w:left="440" w:top="233" w:right="459" w:bottom="1440" w:gutter="0" w:footer="0" w:header="0"/>
        </w:sectPr>
      </w:pPr>
    </w:p>
    <w:bookmarkStart w:id="1" w:name="page2"/>
    <w:bookmarkEnd w:id="1"/>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As Representatives of the several Underwriters</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MORGAN STANLEY &amp; CO.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Kathy Bergsteinsson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14605</wp:posOffset>
            </wp:positionV>
            <wp:extent cx="25901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Kathy Bergsteinsson, Managing Director</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MERRILL LYNCH, PIERCE, FENNER &amp; SMITH</w:t>
      </w:r>
    </w:p>
    <w:p>
      <w:pPr>
        <w:spacing w:after="0" w:line="35"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INCORPORATED</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Michele A.H. Allong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14605</wp:posOffset>
            </wp:positionV>
            <wp:extent cx="2590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Michele A.H. Allong, Authorized Signatory</w:t>
      </w:r>
    </w:p>
    <w:sectPr>
      <w:pgSz w:w="11900" w:h="16838" w:orient="portrait"/>
      <w:cols w:equalWidth="0" w:num="1">
        <w:col w:w="9660"/>
      </w:cols>
      <w:pgMar w:left="1440" w:top="274"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2019-12-07T15:36:26Z</dcterms:created>
  <dcterms:modified xsi:type="dcterms:W3CDTF">2019-12-07T15:36:26Z</dcterms:modified>
</cp:coreProperties>
</file>