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902"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4"/>
          <w:szCs w:val="24"/>
          <w:color w:val="auto"/>
        </w:rPr>
      </w:pPr>
    </w:p>
    <w:p>
      <w:pPr>
        <w:sectPr>
          <w:pgSz w:w="11900" w:h="16902" w:orient="portrait"/>
          <w:cols w:equalWidth="0" w:num="3">
            <w:col w:w="3200" w:space="720"/>
            <w:col w:w="3103" w:space="720"/>
            <w:col w:w="3337"/>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0"/>
              <w:spacing w:after="0" w:line="14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494</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20.8293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137,796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1,171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20.8293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136,625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433</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20.8293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136,192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3"/>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7,553</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143,745</w:t>
            </w:r>
          </w:p>
        </w:tc>
        <w:tc>
          <w:tcPr>
            <w:tcW w:w="24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3"/>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2,418</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146,163</w:t>
            </w:r>
          </w:p>
        </w:tc>
        <w:tc>
          <w:tcPr>
            <w:tcW w:w="24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7,553</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21.0444</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138,610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2,418</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21.0444</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136,192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08/18/2020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3"/>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8,029</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144,221</w:t>
            </w:r>
          </w:p>
        </w:tc>
        <w:tc>
          <w:tcPr>
            <w:tcW w:w="24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8,029</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21.0444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136,192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931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20.6396</w:t>
            </w:r>
            <w:r>
              <w:rPr>
                <w:rFonts w:ascii="Arial" w:cs="Arial" w:eastAsia="Arial" w:hAnsi="Arial"/>
                <w:sz w:val="21"/>
                <w:szCs w:val="21"/>
                <w:color w:val="008000"/>
                <w:w w:val="86"/>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135,261</w:t>
            </w:r>
            <w:r>
              <w:rPr>
                <w:rFonts w:ascii="Arial" w:cs="Arial" w:eastAsia="Arial" w:hAnsi="Arial"/>
                <w:sz w:val="21"/>
                <w:szCs w:val="21"/>
                <w:color w:val="008000"/>
                <w:w w:val="86"/>
                <w:vertAlign w:val="superscript"/>
              </w:rPr>
              <w:t>(5)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3"/>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4.68</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08/17/2020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2,418</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03/01/2027</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2,418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40" w:type="dxa"/>
            <w:vAlign w:val="bottom"/>
            <w:vMerge w:val="restart"/>
          </w:tcPr>
          <w:p>
            <w:pPr>
              <w:jc w:val="center"/>
              <w:ind w:left="140"/>
              <w:spacing w:after="0"/>
              <w:rPr>
                <w:sz w:val="20"/>
                <w:szCs w:val="20"/>
                <w:color w:val="auto"/>
              </w:rPr>
            </w:pPr>
            <w:r>
              <w:rPr>
                <w:rFonts w:ascii="Arial" w:cs="Arial" w:eastAsia="Arial" w:hAnsi="Arial"/>
                <w:sz w:val="13"/>
                <w:szCs w:val="13"/>
                <w:color w:val="0000FF"/>
                <w:w w:val="90"/>
              </w:rPr>
              <w:t>11,277</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08/17/2020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7,553</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7,553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40" w:type="dxa"/>
            <w:vAlign w:val="bottom"/>
            <w:vMerge w:val="restart"/>
          </w:tcPr>
          <w:p>
            <w:pPr>
              <w:jc w:val="center"/>
              <w:ind w:left="140"/>
              <w:spacing w:after="0"/>
              <w:rPr>
                <w:sz w:val="20"/>
                <w:szCs w:val="20"/>
                <w:color w:val="auto"/>
              </w:rPr>
            </w:pPr>
            <w:r>
              <w:rPr>
                <w:rFonts w:ascii="Arial" w:cs="Arial" w:eastAsia="Arial" w:hAnsi="Arial"/>
                <w:sz w:val="13"/>
                <w:szCs w:val="13"/>
                <w:color w:val="0000FF"/>
                <w:w w:val="93"/>
              </w:rPr>
              <w:t>132,968</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08/18/2020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8,029</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8,029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40" w:type="dxa"/>
            <w:vAlign w:val="bottom"/>
            <w:vMerge w:val="restart"/>
          </w:tcPr>
          <w:p>
            <w:pPr>
              <w:jc w:val="center"/>
              <w:ind w:left="140"/>
              <w:spacing w:after="0"/>
              <w:rPr>
                <w:sz w:val="20"/>
                <w:szCs w:val="20"/>
                <w:color w:val="auto"/>
              </w:rPr>
            </w:pPr>
            <w:r>
              <w:rPr>
                <w:rFonts w:ascii="Arial" w:cs="Arial" w:eastAsia="Arial" w:hAnsi="Arial"/>
                <w:sz w:val="13"/>
                <w:szCs w:val="13"/>
                <w:color w:val="0000FF"/>
                <w:w w:val="93"/>
              </w:rPr>
              <w:t>124,939</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-5969635</wp:posOffset>
            </wp:positionV>
            <wp:extent cx="7033260" cy="6109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61099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$21.00 to $21.36,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$20.51 to $20.94,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80,080 shares issuable on the settlement of restricted stock units granted to the Reporting Person. Each restricted stock unit represents a contingent right to receive one shares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ectPr>
          <w:pgSz w:w="11900" w:h="16902"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08/19/2020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31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2020-08-19T15:46:27Z</dcterms:created>
  <dcterms:modified xsi:type="dcterms:W3CDTF">2020-08-19T15:46:27Z</dcterms:modified>
</cp:coreProperties>
</file>