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1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08/16/2024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08/16/2024</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1,580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13.8401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25,212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103,499</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$13.77 USD to $14.09 USD; the price reported above reflects the weighted average sale price. The Reporting Person undertakes to provide the Issuer, any securityholder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22,381 shares issuable on settlement of restricted stock units granted to the Reporting Person. Each restricted stock unit represents a contingent right to receive on shares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08/20/2024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2024-08-20T18:54:52Z</dcterms:created>
  <dcterms:modified xsi:type="dcterms:W3CDTF">2024-08-20T18:54:52Z</dcterms:modified>
</cp:coreProperties>
</file>