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7471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747141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540"/>
          </w:cols>
          <w:pgMar w:left="460" w:top="225" w:right="4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720" w:type="dxa"/>
            <w:vAlign w:val="bottom"/>
            <w:gridSpan w:val="4"/>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320" w:type="dxa"/>
            <w:vAlign w:val="bottom"/>
            <w:gridSpan w:val="7"/>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Freund John Gordon</w:t>
              </w:r>
            </w:hyperlink>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960" w:type="dxa"/>
            <w:vAlign w:val="bottom"/>
            <w:gridSpan w:val="3"/>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SI-BONE,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SIBN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4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60" w:type="dxa"/>
            <w:vAlign w:val="bottom"/>
            <w:gridSpan w:val="3"/>
            <w:vMerge w:val="continue"/>
          </w:tcPr>
          <w:p>
            <w:pPr>
              <w:spacing w:after="0"/>
              <w:rPr>
                <w:sz w:val="4"/>
                <w:szCs w:val="4"/>
                <w:color w:val="auto"/>
              </w:rPr>
            </w:pPr>
          </w:p>
        </w:tc>
        <w:tc>
          <w:tcPr>
            <w:tcW w:w="15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gridSpan w:val="3"/>
            <w:vMerge w:val="continue"/>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gridSpan w:val="2"/>
            <w:vMerge w:val="restart"/>
          </w:tcPr>
          <w:p>
            <w:pPr>
              <w:ind w:left="280"/>
              <w:spacing w:after="0"/>
              <w:rPr>
                <w:sz w:val="20"/>
                <w:szCs w:val="20"/>
                <w:color w:val="auto"/>
              </w:rPr>
            </w:pPr>
            <w:r>
              <w:rPr>
                <w:rFonts w:ascii="Arial" w:cs="Arial" w:eastAsia="Arial" w:hAnsi="Arial"/>
                <w:sz w:val="17"/>
                <w:szCs w:val="17"/>
                <w:color w:val="0000FF"/>
                <w:w w:val="87"/>
              </w:rPr>
              <w:t>X</w:t>
            </w:r>
          </w:p>
        </w:tc>
        <w:tc>
          <w:tcPr>
            <w:tcW w:w="1040" w:type="dxa"/>
            <w:vAlign w:val="bottom"/>
            <w:vMerge w:val="restart"/>
          </w:tcPr>
          <w:p>
            <w:pPr>
              <w:ind w:left="200"/>
              <w:spacing w:after="0"/>
              <w:rPr>
                <w:sz w:val="20"/>
                <w:szCs w:val="20"/>
                <w:color w:val="auto"/>
              </w:rPr>
            </w:pPr>
            <w:r>
              <w:rPr>
                <w:rFonts w:ascii="Arial" w:cs="Arial" w:eastAsia="Arial" w:hAnsi="Arial"/>
                <w:sz w:val="13"/>
                <w:szCs w:val="13"/>
                <w:color w:val="auto"/>
              </w:rPr>
              <w:t>Director</w:t>
            </w:r>
          </w:p>
        </w:tc>
        <w:tc>
          <w:tcPr>
            <w:tcW w:w="700" w:type="dxa"/>
            <w:vAlign w:val="bottom"/>
          </w:tcPr>
          <w:p>
            <w:pPr>
              <w:spacing w:after="0"/>
              <w:rPr>
                <w:sz w:val="2"/>
                <w:szCs w:val="2"/>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2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1740" w:type="dxa"/>
            <w:vAlign w:val="bottom"/>
            <w:gridSpan w:val="2"/>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1180" w:type="dxa"/>
            <w:vAlign w:val="bottom"/>
            <w:gridSpan w:val="3"/>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15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1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gridSpan w:val="2"/>
            <w:vMerge w:val="continue"/>
          </w:tcPr>
          <w:p>
            <w:pPr>
              <w:spacing w:after="0" w:line="20" w:lineRule="exact"/>
              <w:rPr>
                <w:sz w:val="1"/>
                <w:szCs w:val="1"/>
                <w:color w:val="auto"/>
              </w:rPr>
            </w:pPr>
          </w:p>
        </w:tc>
        <w:tc>
          <w:tcPr>
            <w:tcW w:w="11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140" w:type="dxa"/>
            <w:vAlign w:val="bottom"/>
            <w:gridSpan w:val="5"/>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740" w:type="dxa"/>
            <w:vAlign w:val="bottom"/>
            <w:gridSpan w:val="2"/>
            <w:vMerge w:val="continue"/>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92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3140" w:type="dxa"/>
            <w:vAlign w:val="bottom"/>
            <w:gridSpan w:val="5"/>
            <w:vMerge w:val="continue"/>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ind w:left="2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gridSpan w:val="3"/>
            <w:vMerge w:val="restart"/>
          </w:tcPr>
          <w:p>
            <w:pPr>
              <w:spacing w:after="0"/>
              <w:rPr>
                <w:sz w:val="20"/>
                <w:szCs w:val="20"/>
                <w:color w:val="auto"/>
              </w:rPr>
            </w:pPr>
            <w:r>
              <w:rPr>
                <w:rFonts w:ascii="Arial" w:cs="Arial" w:eastAsia="Arial" w:hAnsi="Arial"/>
                <w:sz w:val="17"/>
                <w:szCs w:val="17"/>
                <w:color w:val="0000FF"/>
                <w:w w:val="99"/>
              </w:rPr>
              <w:t>C/O SKYLINE VENTURES</w:t>
            </w: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ind w:left="80"/>
              <w:spacing w:after="0"/>
              <w:rPr>
                <w:sz w:val="20"/>
                <w:szCs w:val="20"/>
                <w:color w:val="auto"/>
              </w:rPr>
            </w:pPr>
            <w:r>
              <w:rPr>
                <w:rFonts w:ascii="Arial" w:cs="Arial" w:eastAsia="Arial" w:hAnsi="Arial"/>
                <w:sz w:val="17"/>
                <w:szCs w:val="17"/>
                <w:color w:val="0000FF"/>
              </w:rPr>
              <w:t>06/14/2021</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5"/>
            <w:vMerge w:val="restart"/>
          </w:tcPr>
          <w:p>
            <w:pPr>
              <w:spacing w:after="0"/>
              <w:rPr>
                <w:sz w:val="20"/>
                <w:szCs w:val="20"/>
                <w:color w:val="auto"/>
              </w:rPr>
            </w:pPr>
            <w:r>
              <w:rPr>
                <w:rFonts w:ascii="Arial" w:cs="Arial" w:eastAsia="Arial" w:hAnsi="Arial"/>
                <w:sz w:val="17"/>
                <w:szCs w:val="17"/>
                <w:color w:val="0000FF"/>
              </w:rPr>
              <w:t>525 UNIVERSITY AVENUE, SUITE 1350</w:t>
            </w:r>
          </w:p>
        </w:tc>
        <w:tc>
          <w:tcPr>
            <w:tcW w:w="8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6"/>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20" w:type="dxa"/>
            <w:vAlign w:val="bottom"/>
            <w:gridSpan w:val="7"/>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6"/>
            <w:vMerge w:val="continue"/>
          </w:tcPr>
          <w:p>
            <w:pPr>
              <w:spacing w:after="0"/>
              <w:rPr>
                <w:sz w:val="8"/>
                <w:szCs w:val="8"/>
                <w:color w:val="auto"/>
              </w:rPr>
            </w:pPr>
          </w:p>
        </w:tc>
        <w:tc>
          <w:tcPr>
            <w:tcW w:w="332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5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10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10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gridSpan w:val="2"/>
          </w:tcPr>
          <w:p>
            <w:pPr>
              <w:ind w:left="280"/>
              <w:spacing w:after="0"/>
              <w:rPr>
                <w:sz w:val="20"/>
                <w:szCs w:val="20"/>
                <w:color w:val="auto"/>
              </w:rPr>
            </w:pPr>
            <w:r>
              <w:rPr>
                <w:rFonts w:ascii="Arial" w:cs="Arial" w:eastAsia="Arial" w:hAnsi="Arial"/>
                <w:sz w:val="17"/>
                <w:szCs w:val="17"/>
                <w:color w:val="0000FF"/>
                <w:w w:val="87"/>
              </w:rPr>
              <w:t>X</w:t>
            </w:r>
          </w:p>
        </w:tc>
        <w:tc>
          <w:tcPr>
            <w:tcW w:w="2920" w:type="dxa"/>
            <w:vAlign w:val="bottom"/>
            <w:gridSpan w:val="5"/>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PALO ALTO</w:t>
            </w:r>
          </w:p>
        </w:tc>
        <w:tc>
          <w:tcPr>
            <w:tcW w:w="920" w:type="dxa"/>
            <w:vAlign w:val="bottom"/>
            <w:gridSpan w:val="2"/>
          </w:tcPr>
          <w:p>
            <w:pPr>
              <w:ind w:left="80"/>
              <w:spacing w:after="0"/>
              <w:rPr>
                <w:sz w:val="20"/>
                <w:szCs w:val="20"/>
                <w:color w:val="auto"/>
              </w:rPr>
            </w:pPr>
            <w:r>
              <w:rPr>
                <w:rFonts w:ascii="Arial" w:cs="Arial" w:eastAsia="Arial" w:hAnsi="Arial"/>
                <w:sz w:val="17"/>
                <w:szCs w:val="17"/>
                <w:color w:val="0000FF"/>
              </w:rPr>
              <w:t>CA</w:t>
            </w:r>
          </w:p>
        </w:tc>
        <w:tc>
          <w:tcPr>
            <w:tcW w:w="1580" w:type="dxa"/>
            <w:vAlign w:val="bottom"/>
          </w:tcPr>
          <w:p>
            <w:pPr>
              <w:ind w:left="380"/>
              <w:spacing w:after="0"/>
              <w:rPr>
                <w:sz w:val="20"/>
                <w:szCs w:val="20"/>
                <w:color w:val="auto"/>
              </w:rPr>
            </w:pPr>
            <w:r>
              <w:rPr>
                <w:rFonts w:ascii="Arial" w:cs="Arial" w:eastAsia="Arial" w:hAnsi="Arial"/>
                <w:sz w:val="17"/>
                <w:szCs w:val="17"/>
                <w:color w:val="0000FF"/>
              </w:rPr>
              <w:t>94301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920" w:type="dxa"/>
            <w:vAlign w:val="bottom"/>
            <w:gridSpan w:val="5"/>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Pr>
          <w:p>
            <w:pPr>
              <w:ind w:left="200"/>
              <w:spacing w:after="0" w:line="134" w:lineRule="exact"/>
              <w:rPr>
                <w:sz w:val="20"/>
                <w:szCs w:val="20"/>
                <w:color w:val="auto"/>
              </w:rPr>
            </w:pPr>
            <w:r>
              <w:rPr>
                <w:rFonts w:ascii="Arial" w:cs="Arial" w:eastAsia="Arial" w:hAnsi="Arial"/>
                <w:sz w:val="13"/>
                <w:szCs w:val="13"/>
                <w:color w:val="auto"/>
              </w:rPr>
              <w:t>Person</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38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2820" w:type="dxa"/>
            <w:vAlign w:val="bottom"/>
            <w:tcBorders>
              <w:bottom w:val="single" w:sz="8" w:color="2C2C2C"/>
            </w:tcBorders>
            <w:gridSpan w:val="5"/>
          </w:tcPr>
          <w:p>
            <w:pPr>
              <w:spacing w:after="0"/>
              <w:rPr>
                <w:sz w:val="11"/>
                <w:szCs w:val="11"/>
                <w:color w:val="auto"/>
              </w:rPr>
            </w:pPr>
          </w:p>
        </w:tc>
        <w:tc>
          <w:tcPr>
            <w:tcW w:w="1100" w:type="dxa"/>
            <w:vAlign w:val="bottom"/>
            <w:tcBorders>
              <w:bottom w:val="single" w:sz="8" w:color="2C2C2C"/>
            </w:tcBorders>
            <w:gridSpan w:val="2"/>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9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0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9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6. Ownership</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60" w:type="dxa"/>
            <w:vAlign w:val="bottom"/>
            <w:gridSpan w:val="2"/>
          </w:tcPr>
          <w:p>
            <w:pPr>
              <w:ind w:left="68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5"/>
          </w:tcPr>
          <w:p>
            <w:pPr>
              <w:jc w:val="center"/>
              <w:ind w:right="26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1040" w:type="dxa"/>
            <w:vAlign w:val="bottom"/>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Form: Direct</w:t>
            </w:r>
          </w:p>
        </w:tc>
        <w:tc>
          <w:tcPr>
            <w:tcW w:w="9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60" w:type="dxa"/>
            <w:vAlign w:val="bottom"/>
            <w:gridSpan w:val="2"/>
          </w:tcPr>
          <w:p>
            <w:pPr>
              <w:jc w:val="center"/>
              <w:ind w:left="60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22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22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20" w:type="dxa"/>
            <w:vAlign w:val="bottom"/>
          </w:tcPr>
          <w:p>
            <w:pPr>
              <w:spacing w:after="0"/>
              <w:rPr>
                <w:sz w:val="14"/>
                <w:szCs w:val="14"/>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60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1040" w:type="dxa"/>
            <w:vAlign w:val="bottom"/>
          </w:tcPr>
          <w:p>
            <w:pPr>
              <w:spacing w:after="0" w:line="84" w:lineRule="exact"/>
              <w:rPr>
                <w:sz w:val="20"/>
                <w:szCs w:val="20"/>
                <w:color w:val="auto"/>
              </w:rPr>
            </w:pPr>
            <w:r>
              <w:rPr>
                <w:rFonts w:ascii="Arial" w:cs="Arial" w:eastAsia="Arial" w:hAnsi="Arial"/>
                <w:sz w:val="8"/>
                <w:szCs w:val="8"/>
                <w:b w:val="1"/>
                <w:bCs w:val="1"/>
                <w:color w:val="auto"/>
              </w:rPr>
              <w:t>Reported</w:t>
            </w: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0"/>
                <w:szCs w:val="10"/>
                <w:color w:val="auto"/>
              </w:rPr>
            </w:pPr>
          </w:p>
        </w:tc>
        <w:tc>
          <w:tcPr>
            <w:tcW w:w="6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tcPr>
          <w:p>
            <w:pPr>
              <w:spacing w:after="0" w:line="12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40" w:type="dxa"/>
            <w:vAlign w:val="bottom"/>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rPr>
              <w:t>By Skyline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9"/>
              </w:rPr>
              <w:t>Common Stock</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vMerge w:val="restart"/>
          </w:tcPr>
          <w:p>
            <w:pPr>
              <w:jc w:val="center"/>
              <w:ind w:left="685"/>
              <w:spacing w:after="0"/>
              <w:rPr>
                <w:sz w:val="20"/>
                <w:szCs w:val="20"/>
                <w:color w:val="auto"/>
              </w:rPr>
            </w:pPr>
            <w:r>
              <w:rPr>
                <w:rFonts w:ascii="Arial" w:cs="Arial" w:eastAsia="Arial" w:hAnsi="Arial"/>
                <w:sz w:val="17"/>
                <w:szCs w:val="17"/>
                <w:color w:val="0000FF"/>
                <w:w w:val="91"/>
              </w:rPr>
              <w:t>06/14/2021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vMerge w:val="restart"/>
          </w:tcPr>
          <w:p>
            <w:pPr>
              <w:ind w:left="40"/>
              <w:spacing w:after="0"/>
              <w:rPr>
                <w:sz w:val="20"/>
                <w:szCs w:val="20"/>
                <w:color w:val="auto"/>
              </w:rPr>
            </w:pPr>
            <w:r>
              <w:rPr>
                <w:rFonts w:ascii="Arial" w:cs="Arial" w:eastAsia="Arial" w:hAnsi="Arial"/>
                <w:sz w:val="13"/>
                <w:szCs w:val="13"/>
                <w:color w:val="0000FF"/>
              </w:rPr>
              <w:t>S</w:t>
            </w:r>
          </w:p>
        </w:tc>
        <w:tc>
          <w:tcPr>
            <w:tcW w:w="760" w:type="dxa"/>
            <w:vAlign w:val="bottom"/>
            <w:vMerge w:val="restart"/>
          </w:tcPr>
          <w:p>
            <w:pPr>
              <w:jc w:val="right"/>
              <w:ind w:right="107"/>
              <w:spacing w:after="0"/>
              <w:rPr>
                <w:sz w:val="20"/>
                <w:szCs w:val="20"/>
                <w:color w:val="auto"/>
              </w:rPr>
            </w:pPr>
            <w:r>
              <w:rPr>
                <w:rFonts w:ascii="Arial" w:cs="Arial" w:eastAsia="Arial" w:hAnsi="Arial"/>
                <w:sz w:val="17"/>
                <w:szCs w:val="17"/>
                <w:color w:val="0000FF"/>
              </w:rPr>
              <w:t>17,990</w:t>
            </w:r>
          </w:p>
        </w:tc>
        <w:tc>
          <w:tcPr>
            <w:tcW w:w="4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940" w:type="dxa"/>
            <w:vAlign w:val="bottom"/>
            <w:gridSpan w:val="2"/>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31.2806</w:t>
            </w:r>
            <w:r>
              <w:rPr>
                <w:rFonts w:ascii="Arial" w:cs="Arial" w:eastAsia="Arial" w:hAnsi="Arial"/>
                <w:sz w:val="22"/>
                <w:szCs w:val="22"/>
                <w:color w:val="008000"/>
                <w:w w:val="94"/>
                <w:vertAlign w:val="superscript"/>
              </w:rPr>
              <w:t>(1)</w:t>
            </w:r>
          </w:p>
        </w:tc>
        <w:tc>
          <w:tcPr>
            <w:tcW w:w="60" w:type="dxa"/>
            <w:vAlign w:val="bottom"/>
          </w:tcPr>
          <w:p>
            <w:pPr>
              <w:spacing w:after="0"/>
              <w:rPr>
                <w:sz w:val="18"/>
                <w:szCs w:val="18"/>
                <w:color w:val="auto"/>
              </w:rPr>
            </w:pPr>
          </w:p>
        </w:tc>
        <w:tc>
          <w:tcPr>
            <w:tcW w:w="1040" w:type="dxa"/>
            <w:vAlign w:val="bottom"/>
            <w:vMerge w:val="restart"/>
          </w:tcPr>
          <w:p>
            <w:pPr>
              <w:jc w:val="center"/>
              <w:spacing w:after="0"/>
              <w:rPr>
                <w:sz w:val="20"/>
                <w:szCs w:val="20"/>
                <w:color w:val="auto"/>
              </w:rPr>
            </w:pPr>
            <w:r>
              <w:rPr>
                <w:rFonts w:ascii="Arial" w:cs="Arial" w:eastAsia="Arial" w:hAnsi="Arial"/>
                <w:sz w:val="17"/>
                <w:szCs w:val="17"/>
                <w:color w:val="0000FF"/>
                <w:w w:val="91"/>
              </w:rPr>
              <w:t>365,468</w:t>
            </w:r>
          </w:p>
        </w:tc>
        <w:tc>
          <w:tcPr>
            <w:tcW w:w="700" w:type="dxa"/>
            <w:vAlign w:val="bottom"/>
            <w:vMerge w:val="restart"/>
          </w:tcPr>
          <w:p>
            <w:pPr>
              <w:jc w:val="center"/>
              <w:ind w:left="167"/>
              <w:spacing w:after="0"/>
              <w:rPr>
                <w:sz w:val="20"/>
                <w:szCs w:val="20"/>
                <w:color w:val="auto"/>
              </w:rPr>
            </w:pPr>
            <w:r>
              <w:rPr>
                <w:rFonts w:ascii="Arial" w:cs="Arial" w:eastAsia="Arial" w:hAnsi="Arial"/>
                <w:sz w:val="17"/>
                <w:szCs w:val="17"/>
                <w:color w:val="0000FF"/>
              </w:rPr>
              <w:t>I</w:t>
            </w:r>
          </w:p>
        </w:tc>
        <w:tc>
          <w:tcPr>
            <w:tcW w:w="2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rPr>
              <w:t>Venture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7"/>
                <w:szCs w:val="17"/>
                <w:color w:val="0000FF"/>
              </w:rPr>
              <w:t>Partners V,</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rPr>
              <w:t>LP</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rPr>
              <w:t>By Skyline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9"/>
              </w:rPr>
              <w:t>Common Stock</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vMerge w:val="restart"/>
          </w:tcPr>
          <w:p>
            <w:pPr>
              <w:jc w:val="center"/>
              <w:ind w:left="685"/>
              <w:spacing w:after="0"/>
              <w:rPr>
                <w:sz w:val="20"/>
                <w:szCs w:val="20"/>
                <w:color w:val="auto"/>
              </w:rPr>
            </w:pPr>
            <w:r>
              <w:rPr>
                <w:rFonts w:ascii="Arial" w:cs="Arial" w:eastAsia="Arial" w:hAnsi="Arial"/>
                <w:sz w:val="17"/>
                <w:szCs w:val="17"/>
                <w:color w:val="0000FF"/>
                <w:w w:val="91"/>
              </w:rPr>
              <w:t>06/15/2021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vMerge w:val="restart"/>
          </w:tcPr>
          <w:p>
            <w:pPr>
              <w:ind w:left="40"/>
              <w:spacing w:after="0"/>
              <w:rPr>
                <w:sz w:val="20"/>
                <w:szCs w:val="20"/>
                <w:color w:val="auto"/>
              </w:rPr>
            </w:pPr>
            <w:r>
              <w:rPr>
                <w:rFonts w:ascii="Arial" w:cs="Arial" w:eastAsia="Arial" w:hAnsi="Arial"/>
                <w:sz w:val="13"/>
                <w:szCs w:val="13"/>
                <w:color w:val="0000FF"/>
              </w:rPr>
              <w:t>S</w:t>
            </w:r>
          </w:p>
        </w:tc>
        <w:tc>
          <w:tcPr>
            <w:tcW w:w="760" w:type="dxa"/>
            <w:vAlign w:val="bottom"/>
            <w:vMerge w:val="restart"/>
          </w:tcPr>
          <w:p>
            <w:pPr>
              <w:jc w:val="right"/>
              <w:ind w:right="107"/>
              <w:spacing w:after="0"/>
              <w:rPr>
                <w:sz w:val="20"/>
                <w:szCs w:val="20"/>
                <w:color w:val="auto"/>
              </w:rPr>
            </w:pPr>
            <w:r>
              <w:rPr>
                <w:rFonts w:ascii="Arial" w:cs="Arial" w:eastAsia="Arial" w:hAnsi="Arial"/>
                <w:sz w:val="17"/>
                <w:szCs w:val="17"/>
                <w:color w:val="0000FF"/>
              </w:rPr>
              <w:t>21,511</w:t>
            </w:r>
          </w:p>
        </w:tc>
        <w:tc>
          <w:tcPr>
            <w:tcW w:w="4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940" w:type="dxa"/>
            <w:vAlign w:val="bottom"/>
            <w:gridSpan w:val="2"/>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31.1067</w:t>
            </w:r>
            <w:r>
              <w:rPr>
                <w:rFonts w:ascii="Arial" w:cs="Arial" w:eastAsia="Arial" w:hAnsi="Arial"/>
                <w:sz w:val="22"/>
                <w:szCs w:val="22"/>
                <w:color w:val="008000"/>
                <w:w w:val="94"/>
                <w:vertAlign w:val="superscript"/>
              </w:rPr>
              <w:t>(2)</w:t>
            </w:r>
          </w:p>
        </w:tc>
        <w:tc>
          <w:tcPr>
            <w:tcW w:w="60" w:type="dxa"/>
            <w:vAlign w:val="bottom"/>
          </w:tcPr>
          <w:p>
            <w:pPr>
              <w:spacing w:after="0"/>
              <w:rPr>
                <w:sz w:val="18"/>
                <w:szCs w:val="18"/>
                <w:color w:val="auto"/>
              </w:rPr>
            </w:pPr>
          </w:p>
        </w:tc>
        <w:tc>
          <w:tcPr>
            <w:tcW w:w="1040" w:type="dxa"/>
            <w:vAlign w:val="bottom"/>
            <w:vMerge w:val="restart"/>
          </w:tcPr>
          <w:p>
            <w:pPr>
              <w:jc w:val="center"/>
              <w:spacing w:after="0"/>
              <w:rPr>
                <w:sz w:val="20"/>
                <w:szCs w:val="20"/>
                <w:color w:val="auto"/>
              </w:rPr>
            </w:pPr>
            <w:r>
              <w:rPr>
                <w:rFonts w:ascii="Arial" w:cs="Arial" w:eastAsia="Arial" w:hAnsi="Arial"/>
                <w:sz w:val="17"/>
                <w:szCs w:val="17"/>
                <w:color w:val="0000FF"/>
                <w:w w:val="91"/>
              </w:rPr>
              <w:t>343,957</w:t>
            </w:r>
          </w:p>
        </w:tc>
        <w:tc>
          <w:tcPr>
            <w:tcW w:w="700" w:type="dxa"/>
            <w:vAlign w:val="bottom"/>
            <w:vMerge w:val="restart"/>
          </w:tcPr>
          <w:p>
            <w:pPr>
              <w:jc w:val="center"/>
              <w:ind w:left="167"/>
              <w:spacing w:after="0"/>
              <w:rPr>
                <w:sz w:val="20"/>
                <w:szCs w:val="20"/>
                <w:color w:val="auto"/>
              </w:rPr>
            </w:pPr>
            <w:r>
              <w:rPr>
                <w:rFonts w:ascii="Arial" w:cs="Arial" w:eastAsia="Arial" w:hAnsi="Arial"/>
                <w:sz w:val="17"/>
                <w:szCs w:val="17"/>
                <w:color w:val="0000FF"/>
              </w:rPr>
              <w:t>I</w:t>
            </w:r>
          </w:p>
        </w:tc>
        <w:tc>
          <w:tcPr>
            <w:tcW w:w="2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rPr>
              <w:t>Venture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7"/>
                <w:szCs w:val="17"/>
                <w:color w:val="0000FF"/>
              </w:rPr>
              <w:t>Partners V,</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rPr>
              <w:t>LP</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rPr>
              <w:t>By Skyline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9"/>
              </w:rPr>
              <w:t>Common Stock</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vMerge w:val="restart"/>
          </w:tcPr>
          <w:p>
            <w:pPr>
              <w:jc w:val="center"/>
              <w:ind w:left="685"/>
              <w:spacing w:after="0"/>
              <w:rPr>
                <w:sz w:val="20"/>
                <w:szCs w:val="20"/>
                <w:color w:val="auto"/>
              </w:rPr>
            </w:pPr>
            <w:r>
              <w:rPr>
                <w:rFonts w:ascii="Arial" w:cs="Arial" w:eastAsia="Arial" w:hAnsi="Arial"/>
                <w:sz w:val="17"/>
                <w:szCs w:val="17"/>
                <w:color w:val="0000FF"/>
                <w:w w:val="91"/>
              </w:rPr>
              <w:t>06/16/2021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vMerge w:val="restart"/>
          </w:tcPr>
          <w:p>
            <w:pPr>
              <w:ind w:left="40"/>
              <w:spacing w:after="0"/>
              <w:rPr>
                <w:sz w:val="20"/>
                <w:szCs w:val="20"/>
                <w:color w:val="auto"/>
              </w:rPr>
            </w:pPr>
            <w:r>
              <w:rPr>
                <w:rFonts w:ascii="Arial" w:cs="Arial" w:eastAsia="Arial" w:hAnsi="Arial"/>
                <w:sz w:val="13"/>
                <w:szCs w:val="13"/>
                <w:color w:val="0000FF"/>
              </w:rPr>
              <w:t>S</w:t>
            </w:r>
          </w:p>
        </w:tc>
        <w:tc>
          <w:tcPr>
            <w:tcW w:w="760" w:type="dxa"/>
            <w:vAlign w:val="bottom"/>
            <w:vMerge w:val="restart"/>
          </w:tcPr>
          <w:p>
            <w:pPr>
              <w:jc w:val="right"/>
              <w:ind w:right="107"/>
              <w:spacing w:after="0"/>
              <w:rPr>
                <w:sz w:val="20"/>
                <w:szCs w:val="20"/>
                <w:color w:val="auto"/>
              </w:rPr>
            </w:pPr>
            <w:r>
              <w:rPr>
                <w:rFonts w:ascii="Arial" w:cs="Arial" w:eastAsia="Arial" w:hAnsi="Arial"/>
                <w:sz w:val="17"/>
                <w:szCs w:val="17"/>
                <w:color w:val="0000FF"/>
              </w:rPr>
              <w:t>12,591</w:t>
            </w:r>
          </w:p>
        </w:tc>
        <w:tc>
          <w:tcPr>
            <w:tcW w:w="4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940" w:type="dxa"/>
            <w:vAlign w:val="bottom"/>
            <w:gridSpan w:val="2"/>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31.4055</w:t>
            </w:r>
            <w:r>
              <w:rPr>
                <w:rFonts w:ascii="Arial" w:cs="Arial" w:eastAsia="Arial" w:hAnsi="Arial"/>
                <w:sz w:val="22"/>
                <w:szCs w:val="22"/>
                <w:color w:val="008000"/>
                <w:w w:val="94"/>
                <w:vertAlign w:val="superscript"/>
              </w:rPr>
              <w:t>(3)</w:t>
            </w:r>
          </w:p>
        </w:tc>
        <w:tc>
          <w:tcPr>
            <w:tcW w:w="60" w:type="dxa"/>
            <w:vAlign w:val="bottom"/>
          </w:tcPr>
          <w:p>
            <w:pPr>
              <w:spacing w:after="0"/>
              <w:rPr>
                <w:sz w:val="18"/>
                <w:szCs w:val="18"/>
                <w:color w:val="auto"/>
              </w:rPr>
            </w:pPr>
          </w:p>
        </w:tc>
        <w:tc>
          <w:tcPr>
            <w:tcW w:w="1040" w:type="dxa"/>
            <w:vAlign w:val="bottom"/>
            <w:vMerge w:val="restart"/>
          </w:tcPr>
          <w:p>
            <w:pPr>
              <w:jc w:val="center"/>
              <w:spacing w:after="0"/>
              <w:rPr>
                <w:sz w:val="20"/>
                <w:szCs w:val="20"/>
                <w:color w:val="auto"/>
              </w:rPr>
            </w:pPr>
            <w:r>
              <w:rPr>
                <w:rFonts w:ascii="Arial" w:cs="Arial" w:eastAsia="Arial" w:hAnsi="Arial"/>
                <w:sz w:val="17"/>
                <w:szCs w:val="17"/>
                <w:color w:val="0000FF"/>
                <w:w w:val="91"/>
              </w:rPr>
              <w:t>331,366</w:t>
            </w:r>
          </w:p>
        </w:tc>
        <w:tc>
          <w:tcPr>
            <w:tcW w:w="700" w:type="dxa"/>
            <w:vAlign w:val="bottom"/>
            <w:vMerge w:val="restart"/>
          </w:tcPr>
          <w:p>
            <w:pPr>
              <w:jc w:val="center"/>
              <w:ind w:left="167"/>
              <w:spacing w:after="0"/>
              <w:rPr>
                <w:sz w:val="20"/>
                <w:szCs w:val="20"/>
                <w:color w:val="auto"/>
              </w:rPr>
            </w:pPr>
            <w:r>
              <w:rPr>
                <w:rFonts w:ascii="Arial" w:cs="Arial" w:eastAsia="Arial" w:hAnsi="Arial"/>
                <w:sz w:val="17"/>
                <w:szCs w:val="17"/>
                <w:color w:val="0000FF"/>
              </w:rPr>
              <w:t>I</w:t>
            </w:r>
          </w:p>
        </w:tc>
        <w:tc>
          <w:tcPr>
            <w:tcW w:w="2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rPr>
              <w:t>Venture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7"/>
                <w:szCs w:val="17"/>
                <w:color w:val="0000FF"/>
              </w:rPr>
              <w:t>Partners V,</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2"/>
          </w:tcPr>
          <w:p>
            <w:pPr>
              <w:ind w:left="80"/>
              <w:spacing w:after="0" w:line="275" w:lineRule="exact"/>
              <w:rPr>
                <w:sz w:val="20"/>
                <w:szCs w:val="20"/>
                <w:color w:val="auto"/>
              </w:rPr>
            </w:pPr>
            <w:r>
              <w:rPr>
                <w:rFonts w:ascii="Arial" w:cs="Arial" w:eastAsia="Arial" w:hAnsi="Arial"/>
                <w:sz w:val="31"/>
                <w:szCs w:val="31"/>
                <w:color w:val="0000FF"/>
                <w:vertAlign w:val="subscript"/>
              </w:rPr>
              <w:t>LP</w:t>
            </w:r>
            <w:r>
              <w:rPr>
                <w:rFonts w:ascii="Arial" w:cs="Arial" w:eastAsia="Arial" w:hAnsi="Arial"/>
                <w:sz w:val="11"/>
                <w:szCs w:val="11"/>
                <w:color w:val="008000"/>
              </w:rPr>
              <w:t>(4)</w:t>
            </w: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top w:val="single" w:sz="8" w:color="2C2C2C"/>
              <w:bottom w:val="single" w:sz="8" w:color="2C2C2C"/>
            </w:tcBorders>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640" w:type="dxa"/>
            <w:vAlign w:val="bottom"/>
            <w:tcBorders>
              <w:top w:val="single" w:sz="8" w:color="2C2C2C"/>
              <w:bottom w:val="single" w:sz="8" w:color="2C2C2C"/>
            </w:tcBorders>
          </w:tcPr>
          <w:p>
            <w:pPr>
              <w:spacing w:after="0"/>
              <w:rPr>
                <w:sz w:val="24"/>
                <w:szCs w:val="24"/>
                <w:color w:val="auto"/>
              </w:rPr>
            </w:pPr>
          </w:p>
        </w:tc>
        <w:tc>
          <w:tcPr>
            <w:tcW w:w="280" w:type="dxa"/>
            <w:vAlign w:val="bottom"/>
            <w:tcBorders>
              <w:top w:val="single" w:sz="8" w:color="2C2C2C"/>
              <w:bottom w:val="single" w:sz="8" w:color="2C2C2C"/>
            </w:tcBorders>
          </w:tcPr>
          <w:p>
            <w:pPr>
              <w:spacing w:after="0"/>
              <w:rPr>
                <w:sz w:val="24"/>
                <w:szCs w:val="24"/>
                <w:color w:val="auto"/>
              </w:rPr>
            </w:pPr>
          </w:p>
        </w:tc>
        <w:tc>
          <w:tcPr>
            <w:tcW w:w="158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120" w:type="dxa"/>
            <w:vAlign w:val="bottom"/>
            <w:tcBorders>
              <w:top w:val="single" w:sz="8" w:color="2C2C2C"/>
              <w:bottom w:val="single" w:sz="8" w:color="2C2C2C"/>
            </w:tcBorders>
          </w:tcPr>
          <w:p>
            <w:pPr>
              <w:spacing w:after="0"/>
              <w:rPr>
                <w:sz w:val="24"/>
                <w:szCs w:val="24"/>
                <w:color w:val="auto"/>
              </w:rPr>
            </w:pPr>
          </w:p>
        </w:tc>
        <w:tc>
          <w:tcPr>
            <w:tcW w:w="14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104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7"/>
                <w:szCs w:val="17"/>
                <w:color w:val="0000FF"/>
                <w:w w:val="85"/>
              </w:rPr>
              <w:t>12,645</w:t>
            </w:r>
            <w:r>
              <w:rPr>
                <w:rFonts w:ascii="Arial" w:cs="Arial" w:eastAsia="Arial" w:hAnsi="Arial"/>
                <w:sz w:val="22"/>
                <w:szCs w:val="22"/>
                <w:color w:val="008000"/>
                <w:w w:val="85"/>
                <w:vertAlign w:val="superscript"/>
              </w:rPr>
              <w:t>(5)</w:t>
            </w:r>
          </w:p>
        </w:tc>
        <w:tc>
          <w:tcPr>
            <w:tcW w:w="700" w:type="dxa"/>
            <w:vAlign w:val="bottom"/>
            <w:tcBorders>
              <w:top w:val="single" w:sz="8" w:color="2C2C2C"/>
              <w:bottom w:val="single" w:sz="8" w:color="2C2C2C"/>
            </w:tcBorders>
          </w:tcPr>
          <w:p>
            <w:pPr>
              <w:jc w:val="center"/>
              <w:ind w:left="187"/>
              <w:spacing w:after="0"/>
              <w:rPr>
                <w:sz w:val="20"/>
                <w:szCs w:val="20"/>
                <w:color w:val="auto"/>
              </w:rPr>
            </w:pPr>
            <w:r>
              <w:rPr>
                <w:rFonts w:ascii="Arial" w:cs="Arial" w:eastAsia="Arial" w:hAnsi="Arial"/>
                <w:sz w:val="17"/>
                <w:szCs w:val="17"/>
                <w:color w:val="0000FF"/>
                <w:w w:val="97"/>
              </w:rPr>
              <w:t>D</w:t>
            </w:r>
          </w:p>
        </w:tc>
        <w:tc>
          <w:tcPr>
            <w:tcW w:w="220" w:type="dxa"/>
            <w:vAlign w:val="bottom"/>
            <w:tcBorders>
              <w:top w:val="single" w:sz="8" w:color="2C2C2C"/>
              <w:bottom w:val="single" w:sz="8" w:color="2C2C2C"/>
            </w:tcBorders>
          </w:tcPr>
          <w:p>
            <w:pPr>
              <w:spacing w:after="0"/>
              <w:rPr>
                <w:sz w:val="24"/>
                <w:szCs w:val="24"/>
                <w:color w:val="auto"/>
              </w:rPr>
            </w:pPr>
          </w:p>
        </w:tc>
        <w:tc>
          <w:tcPr>
            <w:tcW w:w="94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rPr>
              <w:t>By John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rPr>
              <w:t>Freund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0000FF"/>
                <w:w w:val="91"/>
              </w:rPr>
              <w:t>100,750</w:t>
            </w:r>
          </w:p>
        </w:tc>
        <w:tc>
          <w:tcPr>
            <w:tcW w:w="700" w:type="dxa"/>
            <w:vAlign w:val="bottom"/>
          </w:tcPr>
          <w:p>
            <w:pPr>
              <w:jc w:val="center"/>
              <w:ind w:left="167"/>
              <w:spacing w:after="0"/>
              <w:rPr>
                <w:sz w:val="20"/>
                <w:szCs w:val="20"/>
                <w:color w:val="auto"/>
              </w:rPr>
            </w:pPr>
            <w:r>
              <w:rPr>
                <w:rFonts w:ascii="Arial" w:cs="Arial" w:eastAsia="Arial" w:hAnsi="Arial"/>
                <w:sz w:val="17"/>
                <w:szCs w:val="17"/>
                <w:color w:val="0000FF"/>
              </w:rPr>
              <w:t>I</w:t>
            </w:r>
          </w:p>
        </w:tc>
        <w:tc>
          <w:tcPr>
            <w:tcW w:w="2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w w:val="98"/>
              </w:rPr>
              <w:t>Partnership</w:t>
            </w:r>
          </w:p>
        </w:tc>
        <w:tc>
          <w:tcPr>
            <w:tcW w:w="0" w:type="dxa"/>
            <w:vAlign w:val="bottom"/>
          </w:tcPr>
          <w:p>
            <w:pPr>
              <w:spacing w:after="0"/>
              <w:rPr>
                <w:sz w:val="1"/>
                <w:szCs w:val="1"/>
                <w:color w:val="auto"/>
              </w:rPr>
            </w:pPr>
          </w:p>
        </w:tc>
      </w:tr>
      <w:tr>
        <w:trPr>
          <w:trHeight w:val="282"/>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0000FF"/>
              </w:rPr>
              <w:t>IV, L.P</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bl>
    <w:p>
      <w:pPr>
        <w:spacing w:after="0" w:line="6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weighted-average price. The shares were sold in multiple transactions ranging from $31.09 to $31.65, inclusive. The Reporting Person undertakes to provide the Issuer, any securityholder of the Issuer, or the Staff of the Securities and Exchange Commission, upon request, full information regarding the number of shares sold at each separate price within the range set forth in these footnotes.</w:t>
      </w:r>
    </w:p>
    <w:p>
      <w:pPr>
        <w:spacing w:after="0" w:line="25" w:lineRule="exact"/>
        <w:rPr>
          <w:rFonts w:ascii="Arial" w:cs="Arial" w:eastAsia="Arial" w:hAnsi="Arial"/>
          <w:sz w:val="13"/>
          <w:szCs w:val="13"/>
          <w:color w:val="008000"/>
        </w:rPr>
      </w:pPr>
    </w:p>
    <w:p>
      <w:pPr>
        <w:ind w:left="40" w:right="1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weighted-average price. The shares were sold in multiple transactions ranging from $30.74 to $31.75, inclusive. The Reporting Person undertakes to provide the Issuer, any securityholder of the Issuer, or the Staff of the Securities and Exchange Commission, upon request, full information regarding the number of shares sold at each separate price within the range set forth in these footnotes.</w:t>
      </w:r>
    </w:p>
    <w:p>
      <w:pPr>
        <w:spacing w:after="0" w:line="25" w:lineRule="exact"/>
        <w:rPr>
          <w:rFonts w:ascii="Arial" w:cs="Arial" w:eastAsia="Arial" w:hAnsi="Arial"/>
          <w:sz w:val="13"/>
          <w:szCs w:val="13"/>
          <w:color w:val="008000"/>
        </w:rPr>
      </w:pPr>
    </w:p>
    <w:p>
      <w:pPr>
        <w:ind w:left="40" w:right="1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weighted-average price. The shares were sold in multiple transactions ranging from $30.84 to $31.96, inclusive. The Reporting Person undertakes to provide the Issuer, any securityholder of the Issuer, or the Staff of the Securities and Exchange Commission, upon request, full information regarding the number of shares sold at each separate price within the range set forth in these footnotes.</w:t>
      </w:r>
    </w:p>
    <w:p>
      <w:pPr>
        <w:spacing w:after="0" w:line="25" w:lineRule="exact"/>
        <w:rPr>
          <w:rFonts w:ascii="Arial" w:cs="Arial" w:eastAsia="Arial" w:hAnsi="Arial"/>
          <w:sz w:val="13"/>
          <w:szCs w:val="13"/>
          <w:color w:val="008000"/>
        </w:rPr>
      </w:pPr>
    </w:p>
    <w:p>
      <w:pPr>
        <w:ind w:left="40" w:right="1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held by SVP V. Skyline Venture Management V, LLC ("LLC") is the general partner of SVP V and as such may be deemed to have voting and investment power with respect to the securities of SVP V. Reporting Person, a member of Issuer's board of directors, is a managing director of LLC and may be deemed to have voting and investment power with respect to the securities held by SVP V. Reporting Person disclaims beneficial ownership of such securities, except to the extent of his pecuniary interest therein.</w:t>
      </w:r>
    </w:p>
    <w:p>
      <w:pPr>
        <w:spacing w:after="0" w:line="25" w:lineRule="exact"/>
        <w:rPr>
          <w:rFonts w:ascii="Arial" w:cs="Arial" w:eastAsia="Arial" w:hAnsi="Arial"/>
          <w:sz w:val="13"/>
          <w:szCs w:val="13"/>
          <w:color w:val="008000"/>
        </w:rPr>
      </w:pPr>
    </w:p>
    <w:p>
      <w:pPr>
        <w:ind w:left="40" w:right="4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3,848 shares issuable on the settlement of restricted stock units granted to the Reporting Person. Each restricted stock unit represents a contingent right to receive one share of the Issuer's common stock.</w:t>
      </w:r>
    </w:p>
    <w:p>
      <w:pPr>
        <w:spacing w:after="0" w:line="15" w:lineRule="exact"/>
        <w:rPr>
          <w:rFonts w:ascii="Arial" w:cs="Arial" w:eastAsia="Arial" w:hAnsi="Arial"/>
          <w:sz w:val="13"/>
          <w:szCs w:val="13"/>
          <w:color w:val="008000"/>
        </w:rPr>
      </w:pPr>
    </w:p>
    <w:p>
      <w:pPr>
        <w:ind w:left="40" w:right="200" w:firstLine="7"/>
        <w:spacing w:after="0" w:line="308"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Shares held by John Freund Family Partnership IV, L.P. ("Family LP"). Reporting Person, a member of Issuer's board of directors, is a general partner of Family LP and may be deemed to have voting and investment power with respect to the securities held by Family LP. Reporting Person disclaims beneficial ownership of such securities, except to the extent of his pecuniary interest therein.</w:t>
      </w:r>
    </w:p>
    <w:p>
      <w:pPr>
        <w:sectPr>
          <w:pgSz w:w="11900" w:h="16838" w:orient="portrait"/>
          <w:cols w:equalWidth="0" w:num="1">
            <w:col w:w="11000"/>
          </w:cols>
          <w:pgMar w:left="460" w:top="225" w:right="439" w:bottom="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40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5"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7"/>
          <w:szCs w:val="17"/>
          <w:color w:val="0000FF"/>
        </w:rPr>
        <w:t>Attorney-in-Fact for John G.</w:t>
      </w:r>
      <w:r>
        <w:rPr>
          <w:sz w:val="20"/>
          <w:szCs w:val="20"/>
          <w:color w:val="auto"/>
        </w:rPr>
        <w:tab/>
      </w:r>
      <w:r>
        <w:rPr>
          <w:rFonts w:ascii="Arial" w:cs="Arial" w:eastAsia="Arial" w:hAnsi="Arial"/>
          <w:sz w:val="15"/>
          <w:szCs w:val="15"/>
          <w:color w:val="0000FF"/>
        </w:rPr>
        <w:t>06/16/2021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Freund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52"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1"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96771"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2021-06-16T16:50:30Z</dcterms:created>
  <dcterms:modified xsi:type="dcterms:W3CDTF">2021-06-16T16:50:30Z</dcterms:modified>
</cp:coreProperties>
</file>