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2)*</w:t>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jc w:val="both"/>
        <w:ind w:left="660" w:right="9320" w:hanging="4"/>
        <w:spacing w:after="0" w:line="288" w:lineRule="auto"/>
        <w:tabs>
          <w:tab w:leader="none" w:pos="903"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13d-1(c)</w:t>
      </w:r>
      <w:r>
        <w:rPr>
          <w:rFonts w:ascii="Wingdings" w:cs="Wingdings" w:eastAsia="Wingdings" w:hAnsi="Wingdings"/>
          <w:sz w:val="19"/>
          <w:szCs w:val="19"/>
          <w:b w:val="1"/>
          <w:bCs w:val="1"/>
          <w:color w:val="auto"/>
        </w:rPr>
        <w:t xml:space="preserve"> o </w:t>
      </w:r>
      <w:r>
        <w:rPr>
          <w:rFonts w:ascii="Times New Roman" w:cs="Times New Roman" w:eastAsia="Times New Roman" w:hAnsi="Times New Roman"/>
          <w:sz w:val="15"/>
          <w:szCs w:val="15"/>
          <w:color w:val="auto"/>
        </w:rPr>
        <w:t>Rule 13d-1(d)</w:t>
      </w:r>
    </w:p>
    <w:p>
      <w:pPr>
        <w:spacing w:after="0" w:line="3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color w:val="auto"/>
                <w:highlight w:val="white"/>
              </w:rPr>
              <w:t>825704109</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7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1</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OrbiMed Capital LLC</w:t>
            </w: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2</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vMerge w:val="continue"/>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40" w:type="dxa"/>
            <w:vAlign w:val="bottom"/>
            <w:tcBorders>
              <w:right w:val="single" w:sz="8" w:color="auto"/>
            </w:tcBorders>
            <w:shd w:val="clear" w:color="auto" w:fill="000000"/>
          </w:tcPr>
          <w:p>
            <w:pPr>
              <w:spacing w:after="0"/>
              <w:rPr>
                <w:sz w:val="24"/>
                <w:szCs w:val="24"/>
                <w:color w:val="auto"/>
              </w:rPr>
            </w:pPr>
          </w:p>
        </w:tc>
        <w:tc>
          <w:tcPr>
            <w:tcW w:w="500" w:type="dxa"/>
            <w:vAlign w:val="bottom"/>
          </w:tcPr>
          <w:p>
            <w:pPr>
              <w:jc w:val="center"/>
              <w:ind w:left="104"/>
              <w:spacing w:after="0"/>
              <w:rPr>
                <w:sz w:val="20"/>
                <w:szCs w:val="20"/>
                <w:color w:val="auto"/>
              </w:rPr>
            </w:pPr>
            <w:r>
              <w:rPr>
                <w:rFonts w:ascii="Times New Roman" w:cs="Times New Roman" w:eastAsia="Times New Roman" w:hAnsi="Times New Roman"/>
                <w:sz w:val="25"/>
                <w:szCs w:val="25"/>
                <w:color w:val="auto"/>
                <w:w w:val="95"/>
              </w:rPr>
              <w:t>3</w:t>
            </w:r>
          </w:p>
        </w:tc>
        <w:tc>
          <w:tcPr>
            <w:tcW w:w="260" w:type="dxa"/>
            <w:vAlign w:val="bottom"/>
            <w:tcBorders>
              <w:right w:val="single" w:sz="8" w:color="auto"/>
            </w:tcBorders>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5080" w:type="dxa"/>
            <w:vAlign w:val="bottom"/>
            <w:tcBorders>
              <w:bottom w:val="single" w:sz="8" w:color="auto"/>
            </w:tcBorders>
            <w:gridSpan w:val="2"/>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4</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20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Pr>
          <w:p>
            <w:pPr>
              <w:spacing w:after="0"/>
              <w:rPr>
                <w:sz w:val="20"/>
                <w:szCs w:val="20"/>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5</w:t>
            </w:r>
          </w:p>
        </w:tc>
        <w:tc>
          <w:tcPr>
            <w:tcW w:w="5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auto"/>
            </w:tcBorders>
            <w:shd w:val="clear" w:color="auto" w:fill="000000"/>
          </w:tcPr>
          <w:p>
            <w:pPr>
              <w:spacing w:after="0"/>
              <w:rPr>
                <w:sz w:val="15"/>
                <w:szCs w:val="15"/>
                <w:color w:val="auto"/>
              </w:rPr>
            </w:pPr>
          </w:p>
        </w:tc>
        <w:tc>
          <w:tcPr>
            <w:tcW w:w="2040" w:type="dxa"/>
            <w:vAlign w:val="bottom"/>
            <w:tcBorders>
              <w:right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5080" w:type="dxa"/>
            <w:vAlign w:val="bottom"/>
            <w:gridSpan w:val="2"/>
          </w:tcPr>
          <w:p>
            <w:pPr>
              <w:ind w:left="60"/>
              <w:spacing w:after="0" w:line="181" w:lineRule="exact"/>
              <w:rPr>
                <w:sz w:val="20"/>
                <w:szCs w:val="20"/>
                <w:color w:val="auto"/>
              </w:rPr>
            </w:pPr>
            <w:r>
              <w:rPr>
                <w:rFonts w:ascii="Times New Roman" w:cs="Times New Roman" w:eastAsia="Times New Roman" w:hAnsi="Times New Roman"/>
                <w:sz w:val="18"/>
                <w:szCs w:val="18"/>
                <w:color w:val="auto"/>
              </w:rPr>
              <w:t>2,144,631</w:t>
            </w: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00" w:type="dxa"/>
            <w:vAlign w:val="bottom"/>
          </w:tcPr>
          <w:p>
            <w:pPr>
              <w:spacing w:after="0"/>
              <w:rPr>
                <w:sz w:val="8"/>
                <w:szCs w:val="8"/>
                <w:color w:val="auto"/>
              </w:rPr>
            </w:pPr>
          </w:p>
        </w:tc>
        <w:tc>
          <w:tcPr>
            <w:tcW w:w="1540" w:type="dxa"/>
            <w:vAlign w:val="bottom"/>
            <w:tcBorders>
              <w:right w:val="single" w:sz="8" w:color="auto"/>
            </w:tcBorders>
            <w:gridSpan w:val="2"/>
            <w:vMerge w:val="restart"/>
          </w:tcPr>
          <w:p>
            <w:pPr>
              <w:jc w:val="center"/>
              <w:ind w:right="45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00" w:type="dxa"/>
            <w:vAlign w:val="bottom"/>
          </w:tcPr>
          <w:p>
            <w:pPr>
              <w:spacing w:after="0"/>
              <w:rPr>
                <w:sz w:val="6"/>
                <w:szCs w:val="6"/>
                <w:color w:val="auto"/>
              </w:rPr>
            </w:pPr>
          </w:p>
        </w:tc>
        <w:tc>
          <w:tcPr>
            <w:tcW w:w="15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60" w:type="dxa"/>
            <w:vAlign w:val="bottom"/>
          </w:tcPr>
          <w:p>
            <w:pPr>
              <w:spacing w:after="0"/>
              <w:rPr>
                <w:sz w:val="14"/>
                <w:szCs w:val="14"/>
                <w:color w:val="auto"/>
              </w:rPr>
            </w:pPr>
          </w:p>
        </w:tc>
        <w:tc>
          <w:tcPr>
            <w:tcW w:w="580" w:type="dxa"/>
            <w:vAlign w:val="bottom"/>
            <w:tcBorders>
              <w:right w:val="single" w:sz="8" w:color="auto"/>
            </w:tcBorders>
            <w:vMerge w:val="restart"/>
          </w:tcPr>
          <w:p>
            <w:pPr>
              <w:jc w:val="right"/>
              <w:ind w:right="194"/>
              <w:spacing w:after="0" w:line="216" w:lineRule="exact"/>
              <w:rPr>
                <w:sz w:val="20"/>
                <w:szCs w:val="20"/>
                <w:color w:val="auto"/>
              </w:rPr>
            </w:pPr>
            <w:r>
              <w:rPr>
                <w:rFonts w:ascii="Times New Roman" w:cs="Times New Roman" w:eastAsia="Times New Roman" w:hAnsi="Times New Roman"/>
                <w:sz w:val="25"/>
                <w:szCs w:val="25"/>
                <w:color w:val="auto"/>
              </w:rPr>
              <w:t>6</w:t>
            </w: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Borders>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4"/>
                <w:szCs w:val="4"/>
                <w:color w:val="auto"/>
              </w:rPr>
            </w:pPr>
          </w:p>
        </w:tc>
        <w:tc>
          <w:tcPr>
            <w:tcW w:w="33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Times New Roman" w:cs="Times New Roman" w:eastAsia="Times New Roman" w:hAnsi="Times New Roman"/>
                <w:sz w:val="18"/>
                <w:szCs w:val="18"/>
                <w:color w:val="auto"/>
                <w:w w:val="99"/>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7</w:t>
            </w:r>
          </w:p>
        </w:tc>
        <w:tc>
          <w:tcPr>
            <w:tcW w:w="508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Times New Roman" w:cs="Times New Roman" w:eastAsia="Times New Roman" w:hAnsi="Times New Roman"/>
                <w:sz w:val="18"/>
                <w:szCs w:val="18"/>
                <w:color w:val="auto"/>
                <w:w w:val="98"/>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2,144,631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00" w:type="dxa"/>
            <w:vAlign w:val="bottom"/>
          </w:tcPr>
          <w:p>
            <w:pPr>
              <w:spacing w:after="0"/>
              <w:rPr>
                <w:sz w:val="8"/>
                <w:szCs w:val="8"/>
                <w:color w:val="auto"/>
              </w:rPr>
            </w:pPr>
          </w:p>
        </w:tc>
        <w:tc>
          <w:tcPr>
            <w:tcW w:w="1540" w:type="dxa"/>
            <w:vAlign w:val="bottom"/>
            <w:tcBorders>
              <w:right w:val="single" w:sz="8" w:color="auto"/>
            </w:tcBorders>
            <w:gridSpan w:val="2"/>
            <w:vMerge w:val="restart"/>
          </w:tcPr>
          <w:p>
            <w:pPr>
              <w:jc w:val="center"/>
              <w:ind w:right="450"/>
              <w:spacing w:after="0" w:line="198" w:lineRule="exact"/>
              <w:rPr>
                <w:sz w:val="20"/>
                <w:szCs w:val="20"/>
                <w:color w:val="auto"/>
              </w:rPr>
            </w:pPr>
            <w:r>
              <w:rPr>
                <w:rFonts w:ascii="Times New Roman" w:cs="Times New Roman" w:eastAsia="Times New Roman" w:hAnsi="Times New Roman"/>
                <w:sz w:val="18"/>
                <w:szCs w:val="18"/>
                <w:color w:val="auto"/>
                <w:w w:val="98"/>
              </w:rPr>
              <w:t>PERSON</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00" w:type="dxa"/>
            <w:vAlign w:val="bottom"/>
          </w:tcPr>
          <w:p>
            <w:pPr>
              <w:spacing w:after="0"/>
              <w:rPr>
                <w:sz w:val="6"/>
                <w:szCs w:val="6"/>
                <w:color w:val="auto"/>
              </w:rPr>
            </w:pPr>
          </w:p>
        </w:tc>
        <w:tc>
          <w:tcPr>
            <w:tcW w:w="15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Times New Roman" w:cs="Times New Roman" w:eastAsia="Times New Roman" w:hAnsi="Times New Roman"/>
                <w:sz w:val="18"/>
                <w:szCs w:val="18"/>
                <w:color w:val="auto"/>
              </w:rPr>
              <w:t>WITH</w:t>
            </w:r>
          </w:p>
        </w:tc>
        <w:tc>
          <w:tcPr>
            <w:tcW w:w="160" w:type="dxa"/>
            <w:vAlign w:val="bottom"/>
          </w:tcPr>
          <w:p>
            <w:pPr>
              <w:spacing w:after="0"/>
              <w:rPr>
                <w:sz w:val="14"/>
                <w:szCs w:val="14"/>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8</w:t>
            </w: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Borders>
              <w:right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560" w:type="dxa"/>
            <w:vAlign w:val="bottom"/>
            <w:vMerge w:val="continue"/>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9</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2,144,631</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24"/>
              <w:spacing w:after="0"/>
              <w:rPr>
                <w:sz w:val="20"/>
                <w:szCs w:val="20"/>
                <w:color w:val="auto"/>
              </w:rPr>
            </w:pPr>
            <w:r>
              <w:rPr>
                <w:rFonts w:ascii="Times New Roman" w:cs="Times New Roman" w:eastAsia="Times New Roman" w:hAnsi="Times New Roman"/>
                <w:sz w:val="25"/>
                <w:szCs w:val="25"/>
                <w:color w:val="auto"/>
              </w:rPr>
              <w:t>10</w:t>
            </w:r>
          </w:p>
        </w:tc>
        <w:tc>
          <w:tcPr>
            <w:tcW w:w="260" w:type="dxa"/>
            <w:vAlign w:val="bottom"/>
            <w:tcBorders>
              <w:right w:val="single" w:sz="8" w:color="auto"/>
            </w:tcBorders>
          </w:tcPr>
          <w:p>
            <w:pPr>
              <w:spacing w:after="0"/>
              <w:rPr>
                <w:sz w:val="20"/>
                <w:szCs w:val="20"/>
                <w:color w:val="auto"/>
              </w:rPr>
            </w:pPr>
          </w:p>
        </w:tc>
        <w:tc>
          <w:tcPr>
            <w:tcW w:w="710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5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7100" w:type="dxa"/>
            <w:vAlign w:val="bottom"/>
            <w:gridSpan w:val="5"/>
            <w:vMerge w:val="continue"/>
          </w:tcPr>
          <w:p>
            <w:pPr>
              <w:spacing w:after="0"/>
              <w:rPr>
                <w:sz w:val="9"/>
                <w:szCs w:val="9"/>
                <w:color w:val="auto"/>
              </w:rPr>
            </w:pP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7100" w:type="dxa"/>
            <w:vAlign w:val="bottom"/>
            <w:tcBorders>
              <w:bottom w:val="single" w:sz="8" w:color="auto"/>
            </w:tcBorders>
            <w:gridSpan w:val="5"/>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11</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24"/>
              <w:spacing w:after="0"/>
              <w:rPr>
                <w:sz w:val="20"/>
                <w:szCs w:val="20"/>
                <w:color w:val="auto"/>
              </w:rPr>
            </w:pPr>
            <w:r>
              <w:rPr>
                <w:rFonts w:ascii="Times New Roman" w:cs="Times New Roman" w:eastAsia="Times New Roman" w:hAnsi="Times New Roman"/>
                <w:sz w:val="25"/>
                <w:szCs w:val="25"/>
                <w:color w:val="auto"/>
              </w:rPr>
              <w:t>12</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color w:val="auto"/>
                <w:highlight w:val="white"/>
              </w:rPr>
              <w:t>825704109</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7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1</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OrbiMed Advisors LLC</w:t>
            </w: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2</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vMerge w:val="continue"/>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40" w:type="dxa"/>
            <w:vAlign w:val="bottom"/>
            <w:tcBorders>
              <w:right w:val="single" w:sz="8" w:color="auto"/>
            </w:tcBorders>
            <w:shd w:val="clear" w:color="auto" w:fill="000000"/>
          </w:tcPr>
          <w:p>
            <w:pPr>
              <w:spacing w:after="0"/>
              <w:rPr>
                <w:sz w:val="24"/>
                <w:szCs w:val="24"/>
                <w:color w:val="auto"/>
              </w:rPr>
            </w:pPr>
          </w:p>
        </w:tc>
        <w:tc>
          <w:tcPr>
            <w:tcW w:w="500" w:type="dxa"/>
            <w:vAlign w:val="bottom"/>
          </w:tcPr>
          <w:p>
            <w:pPr>
              <w:jc w:val="center"/>
              <w:ind w:left="104"/>
              <w:spacing w:after="0"/>
              <w:rPr>
                <w:sz w:val="20"/>
                <w:szCs w:val="20"/>
                <w:color w:val="auto"/>
              </w:rPr>
            </w:pPr>
            <w:r>
              <w:rPr>
                <w:rFonts w:ascii="Times New Roman" w:cs="Times New Roman" w:eastAsia="Times New Roman" w:hAnsi="Times New Roman"/>
                <w:sz w:val="25"/>
                <w:szCs w:val="25"/>
                <w:color w:val="auto"/>
                <w:w w:val="95"/>
              </w:rPr>
              <w:t>3</w:t>
            </w:r>
          </w:p>
        </w:tc>
        <w:tc>
          <w:tcPr>
            <w:tcW w:w="260" w:type="dxa"/>
            <w:vAlign w:val="bottom"/>
            <w:tcBorders>
              <w:right w:val="single" w:sz="8" w:color="auto"/>
            </w:tcBorders>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5080" w:type="dxa"/>
            <w:vAlign w:val="bottom"/>
            <w:tcBorders>
              <w:bottom w:val="single" w:sz="8" w:color="auto"/>
            </w:tcBorders>
            <w:gridSpan w:val="2"/>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4</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20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Pr>
          <w:p>
            <w:pPr>
              <w:spacing w:after="0"/>
              <w:rPr>
                <w:sz w:val="20"/>
                <w:szCs w:val="20"/>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5</w:t>
            </w:r>
          </w:p>
        </w:tc>
        <w:tc>
          <w:tcPr>
            <w:tcW w:w="5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auto"/>
            </w:tcBorders>
            <w:shd w:val="clear" w:color="auto" w:fill="000000"/>
          </w:tcPr>
          <w:p>
            <w:pPr>
              <w:spacing w:after="0"/>
              <w:rPr>
                <w:sz w:val="15"/>
                <w:szCs w:val="15"/>
                <w:color w:val="auto"/>
              </w:rPr>
            </w:pPr>
          </w:p>
        </w:tc>
        <w:tc>
          <w:tcPr>
            <w:tcW w:w="2040" w:type="dxa"/>
            <w:vAlign w:val="bottom"/>
            <w:tcBorders>
              <w:right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56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00" w:type="dxa"/>
            <w:vAlign w:val="bottom"/>
          </w:tcPr>
          <w:p>
            <w:pPr>
              <w:spacing w:after="0"/>
              <w:rPr>
                <w:sz w:val="8"/>
                <w:szCs w:val="8"/>
                <w:color w:val="auto"/>
              </w:rPr>
            </w:pPr>
          </w:p>
        </w:tc>
        <w:tc>
          <w:tcPr>
            <w:tcW w:w="1540" w:type="dxa"/>
            <w:vAlign w:val="bottom"/>
            <w:tcBorders>
              <w:right w:val="single" w:sz="8" w:color="auto"/>
            </w:tcBorders>
            <w:gridSpan w:val="2"/>
            <w:vMerge w:val="restart"/>
          </w:tcPr>
          <w:p>
            <w:pPr>
              <w:jc w:val="center"/>
              <w:ind w:right="45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00" w:type="dxa"/>
            <w:vAlign w:val="bottom"/>
          </w:tcPr>
          <w:p>
            <w:pPr>
              <w:spacing w:after="0"/>
              <w:rPr>
                <w:sz w:val="6"/>
                <w:szCs w:val="6"/>
                <w:color w:val="auto"/>
              </w:rPr>
            </w:pPr>
          </w:p>
        </w:tc>
        <w:tc>
          <w:tcPr>
            <w:tcW w:w="15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60" w:type="dxa"/>
            <w:vAlign w:val="bottom"/>
          </w:tcPr>
          <w:p>
            <w:pPr>
              <w:spacing w:after="0"/>
              <w:rPr>
                <w:sz w:val="14"/>
                <w:szCs w:val="14"/>
                <w:color w:val="auto"/>
              </w:rPr>
            </w:pPr>
          </w:p>
        </w:tc>
        <w:tc>
          <w:tcPr>
            <w:tcW w:w="580" w:type="dxa"/>
            <w:vAlign w:val="bottom"/>
            <w:tcBorders>
              <w:right w:val="single" w:sz="8" w:color="auto"/>
            </w:tcBorders>
            <w:vMerge w:val="restart"/>
          </w:tcPr>
          <w:p>
            <w:pPr>
              <w:jc w:val="right"/>
              <w:ind w:right="194"/>
              <w:spacing w:after="0" w:line="216" w:lineRule="exact"/>
              <w:rPr>
                <w:sz w:val="20"/>
                <w:szCs w:val="20"/>
                <w:color w:val="auto"/>
              </w:rPr>
            </w:pPr>
            <w:r>
              <w:rPr>
                <w:rFonts w:ascii="Times New Roman" w:cs="Times New Roman" w:eastAsia="Times New Roman" w:hAnsi="Times New Roman"/>
                <w:sz w:val="25"/>
                <w:szCs w:val="25"/>
                <w:color w:val="auto"/>
              </w:rPr>
              <w:t>6</w:t>
            </w: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Borders>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5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147,900</w:t>
            </w:r>
          </w:p>
        </w:tc>
        <w:tc>
          <w:tcPr>
            <w:tcW w:w="33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Times New Roman" w:cs="Times New Roman" w:eastAsia="Times New Roman" w:hAnsi="Times New Roman"/>
                <w:sz w:val="18"/>
                <w:szCs w:val="18"/>
                <w:color w:val="auto"/>
                <w:w w:val="99"/>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08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7</w:t>
            </w:r>
          </w:p>
        </w:tc>
        <w:tc>
          <w:tcPr>
            <w:tcW w:w="508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Times New Roman" w:cs="Times New Roman" w:eastAsia="Times New Roman" w:hAnsi="Times New Roman"/>
                <w:sz w:val="18"/>
                <w:szCs w:val="18"/>
                <w:color w:val="auto"/>
                <w:w w:val="98"/>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00" w:type="dxa"/>
            <w:vAlign w:val="bottom"/>
          </w:tcPr>
          <w:p>
            <w:pPr>
              <w:spacing w:after="0"/>
              <w:rPr>
                <w:sz w:val="8"/>
                <w:szCs w:val="8"/>
                <w:color w:val="auto"/>
              </w:rPr>
            </w:pPr>
          </w:p>
        </w:tc>
        <w:tc>
          <w:tcPr>
            <w:tcW w:w="1540" w:type="dxa"/>
            <w:vAlign w:val="bottom"/>
            <w:tcBorders>
              <w:right w:val="single" w:sz="8" w:color="auto"/>
            </w:tcBorders>
            <w:gridSpan w:val="2"/>
            <w:vMerge w:val="restart"/>
          </w:tcPr>
          <w:p>
            <w:pPr>
              <w:jc w:val="center"/>
              <w:ind w:right="450"/>
              <w:spacing w:after="0" w:line="198" w:lineRule="exact"/>
              <w:rPr>
                <w:sz w:val="20"/>
                <w:szCs w:val="20"/>
                <w:color w:val="auto"/>
              </w:rPr>
            </w:pPr>
            <w:r>
              <w:rPr>
                <w:rFonts w:ascii="Times New Roman" w:cs="Times New Roman" w:eastAsia="Times New Roman" w:hAnsi="Times New Roman"/>
                <w:sz w:val="18"/>
                <w:szCs w:val="18"/>
                <w:color w:val="auto"/>
                <w:w w:val="98"/>
              </w:rPr>
              <w:t>PERSON</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00" w:type="dxa"/>
            <w:vAlign w:val="bottom"/>
          </w:tcPr>
          <w:p>
            <w:pPr>
              <w:spacing w:after="0"/>
              <w:rPr>
                <w:sz w:val="6"/>
                <w:szCs w:val="6"/>
                <w:color w:val="auto"/>
              </w:rPr>
            </w:pPr>
          </w:p>
        </w:tc>
        <w:tc>
          <w:tcPr>
            <w:tcW w:w="15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Times New Roman" w:cs="Times New Roman" w:eastAsia="Times New Roman" w:hAnsi="Times New Roman"/>
                <w:sz w:val="18"/>
                <w:szCs w:val="18"/>
                <w:color w:val="auto"/>
              </w:rPr>
              <w:t>WITH</w:t>
            </w:r>
          </w:p>
        </w:tc>
        <w:tc>
          <w:tcPr>
            <w:tcW w:w="160" w:type="dxa"/>
            <w:vAlign w:val="bottom"/>
          </w:tcPr>
          <w:p>
            <w:pPr>
              <w:spacing w:after="0"/>
              <w:rPr>
                <w:sz w:val="14"/>
                <w:szCs w:val="14"/>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8</w:t>
            </w: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Borders>
              <w:right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5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147,900</w:t>
            </w: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5080" w:type="dxa"/>
            <w:vAlign w:val="bottom"/>
            <w:gridSpan w:val="2"/>
            <w:vMerge w:val="continue"/>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9</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147,900</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24"/>
              <w:spacing w:after="0"/>
              <w:rPr>
                <w:sz w:val="20"/>
                <w:szCs w:val="20"/>
                <w:color w:val="auto"/>
              </w:rPr>
            </w:pPr>
            <w:r>
              <w:rPr>
                <w:rFonts w:ascii="Times New Roman" w:cs="Times New Roman" w:eastAsia="Times New Roman" w:hAnsi="Times New Roman"/>
                <w:sz w:val="25"/>
                <w:szCs w:val="25"/>
                <w:color w:val="auto"/>
              </w:rPr>
              <w:t>10</w:t>
            </w:r>
          </w:p>
        </w:tc>
        <w:tc>
          <w:tcPr>
            <w:tcW w:w="260" w:type="dxa"/>
            <w:vAlign w:val="bottom"/>
            <w:tcBorders>
              <w:right w:val="single" w:sz="8" w:color="auto"/>
            </w:tcBorders>
          </w:tcPr>
          <w:p>
            <w:pPr>
              <w:spacing w:after="0"/>
              <w:rPr>
                <w:sz w:val="20"/>
                <w:szCs w:val="20"/>
                <w:color w:val="auto"/>
              </w:rPr>
            </w:pPr>
          </w:p>
        </w:tc>
        <w:tc>
          <w:tcPr>
            <w:tcW w:w="710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5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7100" w:type="dxa"/>
            <w:vAlign w:val="bottom"/>
            <w:gridSpan w:val="5"/>
            <w:vMerge w:val="continue"/>
          </w:tcPr>
          <w:p>
            <w:pPr>
              <w:spacing w:after="0"/>
              <w:rPr>
                <w:sz w:val="9"/>
                <w:szCs w:val="9"/>
                <w:color w:val="auto"/>
              </w:rPr>
            </w:pP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7100" w:type="dxa"/>
            <w:vAlign w:val="bottom"/>
            <w:tcBorders>
              <w:bottom w:val="single" w:sz="8" w:color="auto"/>
            </w:tcBorders>
            <w:gridSpan w:val="5"/>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11</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24"/>
              <w:spacing w:after="0"/>
              <w:rPr>
                <w:sz w:val="20"/>
                <w:szCs w:val="20"/>
                <w:color w:val="auto"/>
              </w:rPr>
            </w:pPr>
            <w:r>
              <w:rPr>
                <w:rFonts w:ascii="Times New Roman" w:cs="Times New Roman" w:eastAsia="Times New Roman" w:hAnsi="Times New Roman"/>
                <w:sz w:val="25"/>
                <w:szCs w:val="25"/>
                <w:color w:val="auto"/>
              </w:rPr>
              <w:t>12</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3" w:name="page4"/>
    <w:bookmarkEnd w:id="3"/>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color w:val="auto"/>
                <w:highlight w:val="white"/>
              </w:rPr>
              <w:t>825704109</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7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SI-BONE, Inc.</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471 El Camino Real</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Suite 101</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Santa Clara, CA 95050</w:t>
      </w:r>
    </w:p>
    <w:p>
      <w:pPr>
        <w:spacing w:after="0" w:line="11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 of Person Filing</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OrbiMed Capital LLC</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OrbiMed Advisors LLC</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601 Lexington Avenue, 54th Floor</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 Citizenship</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Please refer to Item 4 on each cover page for each Reporting Person.</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p>
      <w:pPr>
        <w:spacing w:after="0" w:line="1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par value $0.0001 per share</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 CUSIP No.:</w:t>
      </w:r>
    </w:p>
    <w:p>
      <w:pPr>
        <w:spacing w:after="0" w:line="1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848995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color w:val="auto"/>
                <w:highlight w:val="white"/>
              </w:rPr>
              <w:t>825704109</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7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29"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OrbiMed Advisors LLC (“Advisors”) and OrbiMed Capital LLC (“Capital”) are investment advisors in accordance with ss.240.13d-1(b)(1)(ii)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3825875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color w:val="auto"/>
                <w:highlight w:val="white"/>
              </w:rPr>
              <w:t>825704109</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7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31" w:lineRule="exact"/>
        <w:rPr>
          <w:sz w:val="20"/>
          <w:szCs w:val="20"/>
          <w:color w:val="auto"/>
        </w:rPr>
      </w:pPr>
    </w:p>
    <w:p>
      <w:pPr>
        <w:jc w:val="both"/>
        <w:ind w:left="800"/>
        <w:spacing w:after="0" w:line="260"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as of December 31, 2023 is incorporated by reference to items (5) - (9) and (11) of the cover page for the Reporting Person.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jc w:val="both"/>
        <w:ind w:left="800"/>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both"/>
        <w:ind w:left="800"/>
        <w:spacing w:after="0" w:line="253" w:lineRule="auto"/>
        <w:rPr>
          <w:sz w:val="20"/>
          <w:szCs w:val="20"/>
          <w:color w:val="auto"/>
        </w:rPr>
      </w:pPr>
      <w:r>
        <w:rPr>
          <w:rFonts w:ascii="Times New Roman" w:cs="Times New Roman" w:eastAsia="Times New Roman" w:hAnsi="Times New Roman"/>
          <w:sz w:val="18"/>
          <w:szCs w:val="18"/>
          <w:color w:val="auto"/>
        </w:rPr>
        <w:t>The Reporting Persons are holding 5.7% of the shares of Common Stock in the aggregate on behalf of other persons who have the right to receive or the power to direct the receipt of dividends from, or proceeds from the sale of, such securities. Advisors and Capital exercise investment and voting power over the shares of Common Stock through a management committee comprised of Carl L. Gordon, Sven H. Borho, and W. Carter Neild, each of whom disclaims beneficial ownership of the shares of Common Stock reported herein.</w:t>
      </w:r>
    </w:p>
    <w:p>
      <w:pPr>
        <w:spacing w:after="0" w:line="77" w:lineRule="exact"/>
        <w:rPr>
          <w:sz w:val="20"/>
          <w:szCs w:val="20"/>
          <w:color w:val="auto"/>
        </w:rPr>
      </w:pPr>
    </w:p>
    <w:p>
      <w:pPr>
        <w:ind w:left="580" w:hanging="566"/>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31" w:lineRule="exact"/>
        <w:rPr>
          <w:sz w:val="20"/>
          <w:szCs w:val="20"/>
          <w:color w:val="auto"/>
        </w:rPr>
      </w:pPr>
    </w:p>
    <w:p>
      <w:pPr>
        <w:jc w:val="both"/>
        <w:ind w:left="800"/>
        <w:spacing w:after="0" w:line="253"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1511935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color w:val="auto"/>
                <w:highlight w:val="white"/>
              </w:rPr>
              <w:t>825704109</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7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Advisors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Capital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-119380</wp:posOffset>
            </wp:positionV>
            <wp:extent cx="29914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1"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2843530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agree that this Amendment No. 2 to the Statement on Schedule 13G, dated December 31, 2023 (this “Schedule 13G”), with respect to the Common Stock, $0.0001 par value per share, of SI-BONE, Inc. is filed on behalf of each of us pursuant to and in accordance with the provisions of Rule 13d-1(k) under the Securities Exchange Act of 1934, as amended, and that this Joint Filing Agreement shall be included as an Exhibit to this Schedule 13G. Each of the undersigned agrees to be responsible for the timely filing of this Schedule 13G and for the completeness and accuracy of the information concerning itself contained therein. This Joint Filing Agreement may be executed in any number of counterparts, all of which taken together shall constitute one and the same instrument.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Joint Filing Agreement as of February 14, 2024.</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Advisors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Capital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2414905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2024-02-14T19:04:33Z</dcterms:created>
  <dcterms:modified xsi:type="dcterms:W3CDTF">2024-02-14T19:04:33Z</dcterms:modified>
</cp:coreProperties>
</file>