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1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8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19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5366385</wp:posOffset>
            </wp:positionH>
            <wp:positionV relativeFrom="paragraph">
              <wp:posOffset>-609600</wp:posOffset>
            </wp:positionV>
            <wp:extent cx="8255" cy="6102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4047490</wp:posOffset>
            </wp:positionH>
            <wp:positionV relativeFrom="paragraph">
              <wp:posOffset>-617855</wp:posOffset>
            </wp:positionV>
            <wp:extent cx="8255" cy="6184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4072255</wp:posOffset>
            </wp:positionH>
            <wp:positionV relativeFrom="paragraph">
              <wp:posOffset>-593090</wp:posOffset>
            </wp:positionV>
            <wp:extent cx="1278255" cy="5689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255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-1558925</wp:posOffset>
            </wp:positionH>
            <wp:positionV relativeFrom="paragraph">
              <wp:posOffset>36830</wp:posOffset>
            </wp:positionV>
            <wp:extent cx="6967220" cy="1756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60" w:space="400"/>
            <w:col w:w="86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Pisetsky Michael 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SI-BONE,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471 EL CAMINO REAL,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SI-BONE,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SIBN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GC &amp; Chief Compliance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CLARA 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52,252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49,252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4.32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07/26/2026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17,038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-3364230</wp:posOffset>
            </wp:positionV>
            <wp:extent cx="7033260" cy="3504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50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on this Form 4 was effected pursuant to a 10b5-1 trading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35,988 shares issuable on the settlement of restricted stock units granted to the Reporting Person. Each restricted stock unit represents a contingent right to receive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vest in equal monthly installments over four years commencing on vesting commencement date, subject to Reporting Person's continued service through each relevant vesting date.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A. Pisetsky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09/22/2020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4765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2020-09-22T15:10:16Z</dcterms:created>
  <dcterms:modified xsi:type="dcterms:W3CDTF">2020-09-22T15:10:16Z</dcterms:modified>
</cp:coreProperties>
</file>