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5"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6, 2023</w:t>
      </w:r>
    </w:p>
    <w:p>
      <w:pPr>
        <w:spacing w:after="0" w:line="26"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61"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34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Delaware</w:t>
            </w:r>
          </w:p>
        </w:tc>
        <w:tc>
          <w:tcPr>
            <w:tcW w:w="51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26-2216351</w:t>
            </w:r>
          </w:p>
        </w:tc>
      </w:tr>
      <w:tr>
        <w:trPr>
          <w:trHeight w:val="172"/>
        </w:trPr>
        <w:tc>
          <w:tcPr>
            <w:tcW w:w="2340" w:type="dxa"/>
            <w:vAlign w:val="bottom"/>
          </w:tcPr>
          <w:p>
            <w:pPr>
              <w:jc w:val="center"/>
              <w:ind w:right="29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8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4"/>
              </w:rPr>
              <w:t>(Commission</w:t>
            </w:r>
          </w:p>
        </w:tc>
        <w:tc>
          <w:tcPr>
            <w:tcW w:w="1720" w:type="dxa"/>
            <w:vAlign w:val="bottom"/>
          </w:tcPr>
          <w:p>
            <w:pPr>
              <w:jc w:val="center"/>
              <w:ind w:left="41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2340" w:type="dxa"/>
            <w:vAlign w:val="bottom"/>
          </w:tcPr>
          <w:p>
            <w:pPr>
              <w:jc w:val="center"/>
              <w:ind w:right="299"/>
              <w:spacing w:after="0"/>
              <w:rPr>
                <w:sz w:val="20"/>
                <w:szCs w:val="20"/>
                <w:color w:val="auto"/>
              </w:rPr>
            </w:pPr>
            <w:r>
              <w:rPr>
                <w:rFonts w:ascii="Arial" w:cs="Arial" w:eastAsia="Arial" w:hAnsi="Arial"/>
                <w:sz w:val="16"/>
                <w:szCs w:val="16"/>
                <w:color w:val="auto"/>
                <w:w w:val="94"/>
              </w:rPr>
              <w:t>incorporation or organization)</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720" w:type="dxa"/>
            <w:vAlign w:val="bottom"/>
          </w:tcPr>
          <w:p>
            <w:pPr>
              <w:jc w:val="center"/>
              <w:ind w:left="419"/>
              <w:spacing w:after="0"/>
              <w:rPr>
                <w:sz w:val="20"/>
                <w:szCs w:val="20"/>
                <w:color w:val="auto"/>
              </w:rPr>
            </w:pPr>
            <w:r>
              <w:rPr>
                <w:rFonts w:ascii="Arial" w:cs="Arial" w:eastAsia="Arial" w:hAnsi="Arial"/>
                <w:sz w:val="16"/>
                <w:szCs w:val="16"/>
                <w:color w:val="auto"/>
                <w:w w:val="97"/>
              </w:rPr>
              <w:t>Identification No.)</w:t>
            </w:r>
          </w:p>
        </w:tc>
      </w:tr>
      <w:tr>
        <w:trPr>
          <w:trHeight w:val="519"/>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207"/>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7"/>
                <w:szCs w:val="17"/>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ind w:left="860"/>
              <w:spacing w:after="0"/>
              <w:rPr>
                <w:sz w:val="20"/>
                <w:szCs w:val="20"/>
                <w:color w:val="auto"/>
              </w:rPr>
            </w:pPr>
            <w:r>
              <w:rPr>
                <w:rFonts w:ascii="Arial" w:cs="Arial" w:eastAsia="Arial" w:hAnsi="Arial"/>
                <w:sz w:val="16"/>
                <w:szCs w:val="16"/>
                <w:color w:val="auto"/>
              </w:rPr>
              <w:t>(Address of principal executive offices) (Zip Code)</w:t>
            </w:r>
          </w:p>
        </w:tc>
        <w:tc>
          <w:tcPr>
            <w:tcW w:w="1720" w:type="dxa"/>
            <w:vAlign w:val="bottom"/>
          </w:tcPr>
          <w:p>
            <w:pPr>
              <w:spacing w:after="0"/>
              <w:rPr>
                <w:sz w:val="17"/>
                <w:szCs w:val="17"/>
                <w:color w:val="auto"/>
              </w:rPr>
            </w:pPr>
          </w:p>
        </w:tc>
      </w:tr>
      <w:tr>
        <w:trPr>
          <w:trHeight w:val="428"/>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Arial" w:cs="Arial" w:eastAsia="Arial" w:hAnsi="Arial"/>
                <w:sz w:val="16"/>
                <w:szCs w:val="16"/>
                <w:color w:val="auto"/>
                <w:w w:val="90"/>
              </w:rPr>
              <w:t>Common Stock, par value $0.0001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3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3"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8" w:lineRule="exact"/>
        <w:rPr>
          <w:sz w:val="24"/>
          <w:szCs w:val="24"/>
          <w:color w:val="auto"/>
        </w:rPr>
      </w:pPr>
    </w:p>
    <w:p>
      <w:pPr>
        <w:jc w:val="cente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1304290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On November 6, 2023, SI-BONE, Inc. (the "Company") issued a press release (the “Press Release”) announcing results for the quarter ended September 30, 2023. A copy of the Press Release is attached as Exhibit 99.1 to this current report on Form 8-K and is incorporated by reference herein.</w:t>
      </w:r>
    </w:p>
    <w:p>
      <w:pPr>
        <w:spacing w:after="0" w:line="15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6"/>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0000FF"/>
              </w:rPr>
              <w:t>Press release dated November 6, 2023</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r>
      <w:tr>
        <w:trPr>
          <w:trHeight w:val="250"/>
        </w:trPr>
        <w:tc>
          <w:tcPr>
            <w:tcW w:w="92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Cover Page Interactive Date File (embedded within the Inline XBRL document)</w:t>
            </w:r>
          </w:p>
        </w:tc>
      </w:tr>
      <w:tr>
        <w:trPr>
          <w:trHeight w:val="1222"/>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800" w:type="dxa"/>
            <w:vAlign w:val="bottom"/>
            <w:gridSpan w:val="2"/>
          </w:tcPr>
          <w:p>
            <w:pPr>
              <w:ind w:left="1260"/>
              <w:spacing w:after="0"/>
              <w:rPr>
                <w:sz w:val="20"/>
                <w:szCs w:val="20"/>
                <w:color w:val="auto"/>
              </w:rPr>
            </w:pPr>
            <w:r>
              <w:rPr>
                <w:rFonts w:ascii="Arial" w:cs="Arial" w:eastAsia="Arial" w:hAnsi="Arial"/>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200"/>
              <w:spacing w:after="0"/>
              <w:rPr>
                <w:sz w:val="20"/>
                <w:szCs w:val="20"/>
                <w:color w:val="auto"/>
              </w:rPr>
            </w:pPr>
            <w:r>
              <w:rPr>
                <w:rFonts w:ascii="Arial" w:cs="Arial" w:eastAsia="Arial" w:hAnsi="Arial"/>
                <w:sz w:val="18"/>
                <w:szCs w:val="18"/>
                <w:color w:val="auto"/>
              </w:rPr>
              <w:t>November 6, 2023</w:t>
            </w:r>
          </w:p>
        </w:tc>
        <w:tc>
          <w:tcPr>
            <w:tcW w:w="1980" w:type="dxa"/>
            <w:vAlign w:val="bottom"/>
          </w:tcPr>
          <w:p>
            <w:pPr>
              <w:ind w:left="126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Anshul Maheshwari</w:t>
            </w:r>
          </w:p>
        </w:tc>
      </w:tr>
      <w:tr>
        <w:trPr>
          <w:trHeight w:val="224"/>
        </w:trPr>
        <w:tc>
          <w:tcPr>
            <w:tcW w:w="6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Anshul Maheshwari</w:t>
            </w:r>
          </w:p>
        </w:tc>
      </w:tr>
    </w:tbl>
    <w:p>
      <w:pPr>
        <w:ind w:left="54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17145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Record Financial Results for the Third Quarter 2023 and Raises Annual Guidance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Annual guidance increased to $136 million - $137 million, implying annual growth of 28%-29%</w:t>
      </w:r>
    </w:p>
    <w:p>
      <w:pPr>
        <w:spacing w:after="0" w:line="234" w:lineRule="exact"/>
        <w:rPr>
          <w:sz w:val="20"/>
          <w:szCs w:val="20"/>
          <w:color w:val="auto"/>
        </w:rPr>
      </w:pPr>
    </w:p>
    <w:p>
      <w:pPr>
        <w:spacing w:after="0" w:line="352" w:lineRule="auto"/>
        <w:rPr>
          <w:sz w:val="20"/>
          <w:szCs w:val="20"/>
          <w:color w:val="auto"/>
        </w:rPr>
      </w:pPr>
      <w:r>
        <w:rPr>
          <w:rFonts w:ascii="Arial" w:cs="Arial" w:eastAsia="Arial" w:hAnsi="Arial"/>
          <w:sz w:val="19"/>
          <w:szCs w:val="19"/>
          <w:b w:val="1"/>
          <w:bCs w:val="1"/>
          <w:color w:val="auto"/>
        </w:rPr>
        <w:t xml:space="preserve">SANTA CLARA, Calif. </w:t>
      </w:r>
      <w:r>
        <w:rPr>
          <w:rFonts w:ascii="Arial" w:cs="Arial" w:eastAsia="Arial" w:hAnsi="Arial"/>
          <w:sz w:val="19"/>
          <w:szCs w:val="19"/>
          <w:color w:val="auto"/>
        </w:rPr>
        <w:t>November 6, 2023 - SI-BONE, Inc. (Nasdaq:SIBN), a medical device company dedicated to solving</w:t>
      </w:r>
      <w:r>
        <w:rPr>
          <w:rFonts w:ascii="Arial" w:cs="Arial" w:eastAsia="Arial" w:hAnsi="Arial"/>
          <w:sz w:val="19"/>
          <w:szCs w:val="19"/>
          <w:b w:val="1"/>
          <w:bCs w:val="1"/>
          <w:color w:val="auto"/>
        </w:rPr>
        <w:t xml:space="preserve"> </w:t>
      </w:r>
      <w:r>
        <w:rPr>
          <w:rFonts w:ascii="Arial" w:cs="Arial" w:eastAsia="Arial" w:hAnsi="Arial"/>
          <w:sz w:val="19"/>
          <w:szCs w:val="19"/>
          <w:color w:val="auto"/>
        </w:rPr>
        <w:t>musculoskeletal disorders of the sacropelvic anatomy, today reported financial results for the quarter ended September 30, 2023.</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Financial Highlights</w:t>
      </w:r>
    </w:p>
    <w:p>
      <w:pPr>
        <w:spacing w:after="0" w:line="60" w:lineRule="exact"/>
        <w:rPr>
          <w:sz w:val="20"/>
          <w:szCs w:val="20"/>
          <w:color w:val="auto"/>
        </w:rPr>
      </w:pPr>
    </w:p>
    <w:p>
      <w:pPr>
        <w:ind w:left="420" w:hanging="412"/>
        <w:spacing w:after="0" w:line="295"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worldwide revenue of $34.0 million for the third quarter 2023, representing approximately 29% growth over the corresponding period in 2022</w:t>
      </w:r>
    </w:p>
    <w:p>
      <w:pPr>
        <w:spacing w:after="0" w:line="1" w:lineRule="exact"/>
        <w:rPr>
          <w:rFonts w:ascii="Arial" w:cs="Arial" w:eastAsia="Arial" w:hAnsi="Arial"/>
          <w:sz w:val="20"/>
          <w:szCs w:val="20"/>
          <w:color w:val="auto"/>
        </w:rPr>
      </w:pPr>
    </w:p>
    <w:p>
      <w:pPr>
        <w:ind w:left="420" w:right="20" w:hanging="412"/>
        <w:spacing w:after="0" w:line="295"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U.S. revenue of $32.3 million for the third quarter 2023, representing approximately 31% growth over the corresponding period in 2022</w:t>
      </w:r>
    </w:p>
    <w:p>
      <w:pPr>
        <w:spacing w:after="0" w:line="1"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margin of approximately 79% for the third quarter 2023</w:t>
      </w:r>
    </w:p>
    <w:p>
      <w:pPr>
        <w:spacing w:after="0" w:line="53" w:lineRule="exact"/>
        <w:rPr>
          <w:rFonts w:ascii="Arial" w:cs="Arial" w:eastAsia="Arial" w:hAnsi="Arial"/>
          <w:sz w:val="20"/>
          <w:szCs w:val="20"/>
          <w:color w:val="auto"/>
        </w:rPr>
      </w:pPr>
    </w:p>
    <w:p>
      <w:pPr>
        <w:ind w:left="420" w:hanging="412"/>
        <w:spacing w:after="0" w:line="295" w:lineRule="auto"/>
        <w:tabs>
          <w:tab w:leader="none" w:pos="40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Over 1,040 U.S. active surgeons in the third quarter 2023, representing approximately 30% growth over the corresponding period in 2022</w:t>
      </w:r>
    </w:p>
    <w:p>
      <w:pPr>
        <w:spacing w:after="0" w:line="1" w:lineRule="exact"/>
        <w:rPr>
          <w:rFonts w:ascii="Arial" w:cs="Arial" w:eastAsia="Arial" w:hAnsi="Arial"/>
          <w:sz w:val="20"/>
          <w:szCs w:val="20"/>
          <w:b w:val="1"/>
          <w:bCs w:val="1"/>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$166.8 million in cash and equivalents at the end of the third quarter; cash use of $2.7 million in the quarter</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Operational Highlights</w:t>
      </w:r>
    </w:p>
    <w:p>
      <w:pPr>
        <w:spacing w:after="0" w:line="60" w:lineRule="exact"/>
        <w:rPr>
          <w:sz w:val="20"/>
          <w:szCs w:val="20"/>
          <w:color w:val="auto"/>
        </w:rPr>
      </w:pPr>
    </w:p>
    <w:p>
      <w:pPr>
        <w:ind w:left="420" w:hanging="412"/>
        <w:spacing w:after="0" w:line="295" w:lineRule="auto"/>
        <w:tabs>
          <w:tab w:leader="none" w:pos="408" w:val="left"/>
        </w:tabs>
        <w:numPr>
          <w:ilvl w:val="0"/>
          <w:numId w:val="3"/>
        </w:numPr>
        <w:rPr>
          <w:rFonts w:ascii="Arial" w:cs="Arial" w:eastAsia="Arial" w:hAnsi="Arial"/>
          <w:sz w:val="20"/>
          <w:szCs w:val="20"/>
          <w:color w:val="auto"/>
        </w:rPr>
      </w:pPr>
      <w:r>
        <w:rPr>
          <w:rFonts w:ascii="Arial" w:cs="Arial" w:eastAsia="Arial" w:hAnsi="Arial"/>
          <w:sz w:val="20"/>
          <w:szCs w:val="20"/>
          <w:color w:val="auto"/>
        </w:rPr>
        <w:t>Received patent for triangular broach instrument, a crucial technology to place triangular implants in the SI joint, providing protection through 2034</w:t>
      </w:r>
    </w:p>
    <w:p>
      <w:pPr>
        <w:spacing w:after="0" w:line="1" w:lineRule="exact"/>
        <w:rPr>
          <w:rFonts w:ascii="Arial" w:cs="Arial" w:eastAsia="Arial" w:hAnsi="Arial"/>
          <w:sz w:val="20"/>
          <w:szCs w:val="20"/>
          <w:color w:val="auto"/>
        </w:rPr>
      </w:pPr>
    </w:p>
    <w:p>
      <w:pPr>
        <w:ind w:left="420" w:right="20" w:hanging="412"/>
        <w:spacing w:after="0" w:line="295" w:lineRule="auto"/>
        <w:tabs>
          <w:tab w:leader="none" w:pos="40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International Journal of Spine Surgery published a meta-analysis of 57 studies with over 2,800 patients which reaffirmed SI-BONE's technique delivers highest improvement in pain and disability scores</w:t>
      </w:r>
    </w:p>
    <w:p>
      <w:pPr>
        <w:spacing w:after="0" w:line="1" w:lineRule="exact"/>
        <w:rPr>
          <w:rFonts w:ascii="Arial" w:cs="Arial" w:eastAsia="Arial" w:hAnsi="Arial"/>
          <w:sz w:val="20"/>
          <w:szCs w:val="20"/>
          <w:color w:val="auto"/>
        </w:rPr>
      </w:pP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Surpassed 90,000 procedures performed by over 3,500 surgeons worldwide</w:t>
      </w:r>
    </w:p>
    <w:p>
      <w:pPr>
        <w:spacing w:after="0" w:line="54" w:lineRule="exact"/>
        <w:rPr>
          <w:sz w:val="20"/>
          <w:szCs w:val="20"/>
          <w:color w:val="auto"/>
        </w:rPr>
      </w:pPr>
    </w:p>
    <w:p>
      <w:pPr>
        <w:jc w:val="both"/>
        <w:spacing w:after="0" w:line="319" w:lineRule="auto"/>
        <w:rPr>
          <w:sz w:val="20"/>
          <w:szCs w:val="20"/>
          <w:color w:val="auto"/>
        </w:rPr>
      </w:pPr>
      <w:r>
        <w:rPr>
          <w:rFonts w:ascii="Arial" w:cs="Arial" w:eastAsia="Arial" w:hAnsi="Arial"/>
          <w:sz w:val="19"/>
          <w:szCs w:val="19"/>
          <w:color w:val="auto"/>
        </w:rPr>
        <w:t>“I am proud of the team's execution as we defied industry seasonality and delivered another exceptional quarter with a 34% increase in U.S. procedure volume, as we exceeded 1,000 U.S. active surgeons in a quarter for the first time in company's history. Additionally, we continued our progress toward profitability as the record revenue in the quarter translated to significant operating leverage and reduced cash usage," said Laura Francis, Chief Executive Officer. "As we exit 2023 with strong momentum, our planned product portfolio expansions combined with the demand inflection in our large addressable market of almost half a million annual procedures gives me confidence that we are in the early phase of growing demand for our solutions. As well, we have the operational framework and strong balance sheet to deliver long-term, strong and sustainable revenue growth."</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2023 Financial Results</w:t>
      </w:r>
    </w:p>
    <w:p>
      <w:pPr>
        <w:spacing w:after="0" w:line="289"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Worldwide revenue was $34.0 million in the third quarter 2023, a 29% increase from $26.4 million in the corresponding period in 2022. U.S. revenue for the third quarter 2023 was $32.3 million, a 31% increase from $24.6 million in the corresponding period in 2022. International revenue growth for the third quarter 2023 was $1.7 million compared to $1.8 million in the corresponding period in 2022.</w:t>
      </w:r>
    </w:p>
    <w:p>
      <w:pPr>
        <w:sectPr>
          <w:pgSz w:w="11900" w:h="16838" w:orient="portrait"/>
          <w:cols w:equalWidth="0" w:num="1">
            <w:col w:w="11240"/>
          </w:cols>
          <w:pgMar w:left="320" w:top="891" w:right="339" w:bottom="1440" w:gutter="0" w:footer="0" w:header="0"/>
        </w:sectPr>
      </w:pPr>
    </w:p>
    <w:bookmarkStart w:id="4" w:name="page5"/>
    <w:bookmarkEnd w:id="4"/>
    <w:p>
      <w:pPr>
        <w:jc w:val="both"/>
        <w:spacing w:after="0" w:line="302" w:lineRule="auto"/>
        <w:rPr>
          <w:sz w:val="20"/>
          <w:szCs w:val="20"/>
          <w:color w:val="auto"/>
        </w:rPr>
      </w:pPr>
      <w:r>
        <w:rPr>
          <w:rFonts w:ascii="Arial" w:cs="Arial" w:eastAsia="Arial" w:hAnsi="Arial"/>
          <w:sz w:val="20"/>
          <w:szCs w:val="20"/>
          <w:color w:val="auto"/>
        </w:rPr>
        <w:t>Gross margin was 79% for the third quarter 2023, as compared to 84% in the corresponding period in 2022. Gross margin in the third quarter 2023 was impacted by procedure and product mix given the higher total costs of iFuse-TORQ and iFuse Bedrock Granite. Gross margin also includes the impact of higher depreciation from instrument trays to support the growth of the business and depreciation associated with our second facility in Santa Clara.</w:t>
      </w:r>
    </w:p>
    <w:p>
      <w:pPr>
        <w:spacing w:after="0" w:line="219" w:lineRule="exact"/>
        <w:rPr>
          <w:sz w:val="20"/>
          <w:szCs w:val="20"/>
          <w:color w:val="auto"/>
        </w:rPr>
      </w:pPr>
    </w:p>
    <w:p>
      <w:pPr>
        <w:jc w:val="both"/>
        <w:ind w:right="20"/>
        <w:spacing w:after="0" w:line="313" w:lineRule="auto"/>
        <w:rPr>
          <w:sz w:val="20"/>
          <w:szCs w:val="20"/>
          <w:color w:val="auto"/>
        </w:rPr>
      </w:pPr>
      <w:r>
        <w:rPr>
          <w:rFonts w:ascii="Arial" w:cs="Arial" w:eastAsia="Arial" w:hAnsi="Arial"/>
          <w:sz w:val="20"/>
          <w:szCs w:val="20"/>
          <w:color w:val="auto"/>
        </w:rPr>
        <w:t>Operating expenses increased 6% to $38.1 million in the third quarter 2023, as compared to $35.8 million in the corresponding period in 2022. The change in operating expenses was primarily driven by increases in commission related to revenue growth, research and development investments, and commercial activities to support revenue and active surgeon growth.</w:t>
      </w:r>
    </w:p>
    <w:p>
      <w:pPr>
        <w:spacing w:after="0" w:line="207"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Operating loss improved by 18% to $11.2 million in the third quarter 2023, as compared to an operating loss of $13.6 million in the corresponding period in 2022.</w:t>
      </w:r>
    </w:p>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Net loss improved by 29%, to $10.0 million, or $0.25 per diluted share for the third quarter 2023, as compared to a net loss of $14.2 million, or $0.41 per diluted share in the corresponding period in 2022. Net loss per diluted share for the third quarter 2023 includes the impact of increase in shares outstanding as a result of a follow-on common stock offering in May 2023.</w:t>
      </w:r>
    </w:p>
    <w:p>
      <w:pPr>
        <w:spacing w:after="0" w:line="214"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Adjusted EBITDA loss improved by approximately 44% to negative $3.9 million, in the third quarter 2023, as compared to an adjusted EBITDA loss of negative $6.9 million, in the corresponding period in 2022.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Cash and marketable securities were $166.8 million and borrowings were $36.0 million as of September 30, 2023.</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Updated Financial Guidance</w:t>
      </w:r>
    </w:p>
    <w:p>
      <w:pPr>
        <w:spacing w:after="0" w:line="316"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Based on the strength of the Company's year-to-date performance, and the momentum exiting the third quarter of 2023, SI-BONE is increasing its 2023 worldwide revenue guidance to be in the range of $136 million to $137 million from the previous guidance of $132 million to $134 million. The updated guidance translates to growth of approximately 28% to 29% compared to fiscal year 2022, versus the previous revenue growth of approximately 24% to 26%.</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Information</w:t>
      </w:r>
    </w:p>
    <w:p>
      <w:pPr>
        <w:spacing w:after="0" w:line="276"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SI-BONE will host a conference call to discuss the third quarter 2023 financial results after market close on Monday, November 6, 2023 at 4:30 P.M. Eastern Time. The conference call can be accessed live over webcast at https://edge.media-server.com/mmc/p/jw54nzhx. Live audio of the webcast will be available on the “Investors” section of the company’s website at: www.si-bone.com. The webcast will be archived and available for replay for at least 90 days after the event.</w:t>
      </w:r>
    </w:p>
    <w:p>
      <w:pPr>
        <w:sectPr>
          <w:pgSz w:w="11900" w:h="16838" w:orient="portrait"/>
          <w:cols w:equalWidth="0" w:num="1">
            <w:col w:w="11240"/>
          </w:cols>
          <w:pgMar w:left="320" w:top="919"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SI-BONE, Inc.</w:t>
      </w:r>
    </w:p>
    <w:p>
      <w:pPr>
        <w:spacing w:after="0" w:line="303"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SI-BONE (NASDAQ: SIBN) is a global leader in technology for surgical treatment of musculoskeletal disorders of the sacropelvic anatomy. Since pioneering minimally invasive SI joint surgery in 2009, SI-BONE has supported over 3,500 surgeons in performing a total of over 90,000 sacropelvic procedures. A unique body of clinical evidence supports the use of SI-BONE’s technologies, including two randomized controlled trials and over 120 peer reviewed publications. SI-BONE has leveraged its leadership in minimally invasive SI joint fusion to commercialize novel solutions for adjacent markets, including adult deformity, spinopelvic fixation and pelvic trauma.</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For additional information on the company or the products including risks and benefits, please visit www.si-bone.com.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iFuse Bedrock Granite, iFuse-TORQ and SI-BONE are registered trademarks of SI-BONE, Inc. ©2023 SI-BONE, Inc. All Rights Reserved.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303" w:lineRule="exact"/>
        <w:rPr>
          <w:sz w:val="20"/>
          <w:szCs w:val="20"/>
          <w:color w:val="auto"/>
        </w:rPr>
      </w:pPr>
    </w:p>
    <w:p>
      <w:pPr>
        <w:jc w:val="both"/>
        <w:spacing w:after="0" w:line="316" w:lineRule="auto"/>
        <w:rPr>
          <w:sz w:val="20"/>
          <w:szCs w:val="20"/>
          <w:color w:val="auto"/>
        </w:rPr>
      </w:pPr>
      <w:r>
        <w:rPr>
          <w:rFonts w:ascii="Arial" w:cs="Arial" w:eastAsia="Arial" w:hAnsi="Arial"/>
          <w:sz w:val="19"/>
          <w:szCs w:val="19"/>
          <w:color w:val="auto"/>
        </w:rPr>
        <w:t>The statements in this press release regarding expectations of future events or results, including SI-BONE’s expectations of continued revenue and procedure growth and financial outlook, contained in this press release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any future economic weakness on the ability and desire of patients to undergo elective procedures including those using SI-BONE's devices, SI-BONE's ability to manage risks to its supply chain, future capital requirements driven by new surgical systems requiring instrument tray investment, and the pace of the re-normalization of the healthcare operating environment including the ability and desire of patients and physicians to undergo and perform procedures using SI-BONE's devices.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303" w:lineRule="exact"/>
        <w:rPr>
          <w:sz w:val="20"/>
          <w:szCs w:val="20"/>
          <w:color w:val="auto"/>
        </w:rPr>
      </w:pPr>
    </w:p>
    <w:p>
      <w:pPr>
        <w:jc w:val="both"/>
        <w:spacing w:after="0" w:line="387" w:lineRule="auto"/>
        <w:rPr>
          <w:sz w:val="20"/>
          <w:szCs w:val="20"/>
          <w:color w:val="auto"/>
        </w:rPr>
      </w:pPr>
      <w:r>
        <w:rPr>
          <w:rFonts w:ascii="Arial" w:cs="Arial" w:eastAsia="Arial" w:hAnsi="Arial"/>
          <w:sz w:val="16"/>
          <w:szCs w:val="16"/>
          <w:color w:val="auto"/>
        </w:rPr>
        <w:t>SI-BONE uses adjusted EBITDA, a non-GAAP financial measures that excludes from net loss the effects of interest income, interest expense, depreciation and amortization and stock-based compensation. SI-BONE believes the presentation of adjusted EBITDA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adjusted EBITDA is useful to investors and other interested persons as it enables these persons to use this additional information to assess the company’s performance in using this additional metric that management uses to assess the company’s performance.</w:t>
      </w:r>
    </w:p>
    <w:p>
      <w:pPr>
        <w:sectPr>
          <w:pgSz w:w="11900" w:h="16838" w:orient="portrait"/>
          <w:cols w:equalWidth="0" w:num="1">
            <w:col w:w="11240"/>
          </w:cols>
          <w:pgMar w:left="320" w:top="913" w:right="339" w:bottom="1440" w:gutter="0" w:footer="0" w:header="0"/>
        </w:sectPr>
      </w:pPr>
    </w:p>
    <w:bookmarkStart w:id="6" w:name="page7"/>
    <w:bookmarkEnd w:id="6"/>
    <w:p>
      <w:pPr>
        <w:jc w:val="both"/>
        <w:spacing w:after="0" w:line="345" w:lineRule="auto"/>
        <w:rPr>
          <w:sz w:val="20"/>
          <w:szCs w:val="20"/>
          <w:color w:val="auto"/>
        </w:rPr>
      </w:pPr>
      <w:r>
        <w:rPr>
          <w:rFonts w:ascii="Arial" w:cs="Arial" w:eastAsia="Arial" w:hAnsi="Arial"/>
          <w:sz w:val="18"/>
          <w:szCs w:val="18"/>
          <w:color w:val="auto"/>
        </w:rPr>
        <w:t>Adjusted EBITDA should be considered supplemental to, and not a substitute for, financial information prepared in accordance with GAAP. Because adjusted EBITDA excludes the effect of items that increase or decrease SI-BONE's reported results of operations, management strongly encourages investors to review, when they become available, the company's consolidated financial statements and publicly filed reports in their entirety. The company's definition of adjusted EBITDA may differ from similarly titled measures used by others.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Saqib Iqbal</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Sr. Director, FP&amp;A and Investor Relations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investors@SI-BONE.com</w:t>
      </w:r>
    </w:p>
    <w:p>
      <w:pPr>
        <w:sectPr>
          <w:pgSz w:w="11900" w:h="16838" w:orient="portrait"/>
          <w:cols w:equalWidth="0" w:num="1">
            <w:col w:w="11240"/>
          </w:cols>
          <w:pgMar w:left="320" w:top="116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Pr>
          <w:p>
            <w:pPr>
              <w:spacing w:after="0"/>
              <w:rPr>
                <w:sz w:val="16"/>
                <w:szCs w:val="16"/>
                <w:color w:val="auto"/>
              </w:rPr>
            </w:pPr>
          </w:p>
        </w:tc>
        <w:tc>
          <w:tcPr>
            <w:tcW w:w="2560" w:type="dxa"/>
            <w:vAlign w:val="bottom"/>
            <w:gridSpan w:val="4"/>
            <w:vMerge w:val="restart"/>
          </w:tcPr>
          <w:p>
            <w:pPr>
              <w:jc w:val="right"/>
              <w:ind w:right="30"/>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25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6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26,432</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74,456</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22,264</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63,840</w:t>
            </w:r>
          </w:p>
        </w:tc>
        <w:tc>
          <w:tcPr>
            <w:tcW w:w="0" w:type="dxa"/>
            <w:vAlign w:val="bottom"/>
          </w:tcPr>
          <w:p>
            <w:pPr>
              <w:spacing w:after="0"/>
              <w:rPr>
                <w:sz w:val="1"/>
                <w:szCs w:val="1"/>
                <w:color w:val="auto"/>
              </w:rPr>
            </w:pPr>
          </w:p>
        </w:tc>
      </w:tr>
      <w:tr>
        <w:trPr>
          <w:trHeight w:val="209"/>
        </w:trPr>
        <w:tc>
          <w:tcPr>
            <w:tcW w:w="562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25,669</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80,117</w:t>
            </w:r>
          </w:p>
        </w:tc>
        <w:tc>
          <w:tcPr>
            <w:tcW w:w="0" w:type="dxa"/>
            <w:vAlign w:val="bottom"/>
          </w:tcPr>
          <w:p>
            <w:pPr>
              <w:spacing w:after="0"/>
              <w:rPr>
                <w:sz w:val="1"/>
                <w:szCs w:val="1"/>
                <w:color w:val="auto"/>
              </w:rPr>
            </w:pPr>
          </w:p>
        </w:tc>
      </w:tr>
      <w:tr>
        <w:trPr>
          <w:trHeight w:val="230"/>
        </w:trPr>
        <w:tc>
          <w:tcPr>
            <w:tcW w:w="562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10,147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35,830</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115,169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112,155</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(13,566)</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(48,315)</w:t>
            </w:r>
          </w:p>
        </w:tc>
        <w:tc>
          <w:tcPr>
            <w:tcW w:w="0" w:type="dxa"/>
            <w:vAlign w:val="bottom"/>
          </w:tcPr>
          <w:p>
            <w:pPr>
              <w:spacing w:after="0"/>
              <w:rPr>
                <w:sz w:val="1"/>
                <w:szCs w:val="1"/>
                <w:color w:val="auto"/>
              </w:rPr>
            </w:pPr>
          </w:p>
        </w:tc>
      </w:tr>
      <w:tr>
        <w:trPr>
          <w:trHeight w:val="230"/>
        </w:trPr>
        <w:tc>
          <w:tcPr>
            <w:tcW w:w="5620" w:type="dxa"/>
            <w:vAlign w:val="bottom"/>
          </w:tcPr>
          <w:p>
            <w:pPr>
              <w:ind w:left="6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9"/>
        </w:trPr>
        <w:tc>
          <w:tcPr>
            <w:tcW w:w="562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96"/>
        </w:trPr>
        <w:tc>
          <w:tcPr>
            <w:tcW w:w="5620" w:type="dxa"/>
            <w:vAlign w:val="bottom"/>
          </w:tcPr>
          <w:p>
            <w:pPr>
              <w:ind w:left="60"/>
              <w:spacing w:after="0" w:line="196" w:lineRule="exact"/>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(10,022)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(14,158)</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(32,353)</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(50,081)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6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20" w:type="dxa"/>
            <w:vAlign w:val="bottom"/>
            <w:shd w:val="clear" w:color="auto" w:fill="CCEEFF"/>
          </w:tcPr>
          <w:p>
            <w:pPr>
              <w:ind w:left="60"/>
              <w:spacing w:after="0" w:line="142" w:lineRule="exact"/>
              <w:rPr>
                <w:sz w:val="20"/>
                <w:szCs w:val="20"/>
                <w:color w:val="auto"/>
              </w:rPr>
            </w:pPr>
            <w:r>
              <w:rPr>
                <w:rFonts w:ascii="Arial" w:cs="Arial" w:eastAsia="Arial" w:hAnsi="Arial"/>
                <w:sz w:val="16"/>
                <w:szCs w:val="16"/>
                <w:color w:val="auto"/>
              </w:rPr>
              <w:t>Weighted-average number of common shares used to compute basic and</w:t>
            </w:r>
          </w:p>
        </w:tc>
        <w:tc>
          <w:tcPr>
            <w:tcW w:w="2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40,265,520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34,356,850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37,702,207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34,069,357</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 net loss per share</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9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2023</w:t>
            </w:r>
          </w:p>
        </w:tc>
        <w:tc>
          <w:tcPr>
            <w:tcW w:w="1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6"/>
                <w:szCs w:val="16"/>
                <w:b w:val="1"/>
                <w:bCs w:val="1"/>
                <w:color w:val="auto"/>
                <w:w w:val="90"/>
              </w:rPr>
              <w:t>December 31, 2022</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20,717</w:t>
            </w: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113,261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76,573</w:t>
            </w: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w:t>
            </w:r>
          </w:p>
        </w:tc>
      </w:tr>
      <w:tr>
        <w:trPr>
          <w:trHeight w:val="229"/>
        </w:trPr>
        <w:tc>
          <w:tcPr>
            <w:tcW w:w="70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17,282</w:t>
            </w:r>
          </w:p>
        </w:tc>
      </w:tr>
      <w:tr>
        <w:trPr>
          <w:trHeight w:val="230"/>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137,611</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15,564</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4,002</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706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230,878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157,552</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4,420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6,279</w:t>
            </w:r>
          </w:p>
        </w:tc>
      </w:tr>
      <w:tr>
        <w:trPr>
          <w:trHeight w:val="229"/>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w:t>
            </w:r>
          </w:p>
        </w:tc>
      </w:tr>
      <w:tr>
        <w:trPr>
          <w:trHeight w:val="229"/>
        </w:trPr>
        <w:tc>
          <w:tcPr>
            <w:tcW w:w="7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Operating lease liabilities, current portion</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21,178</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35,171</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59,250</w:t>
            </w:r>
          </w:p>
        </w:tc>
      </w:tr>
      <w:tr>
        <w:trPr>
          <w:trHeight w:val="250"/>
        </w:trPr>
        <w:tc>
          <w:tcPr>
            <w:tcW w:w="7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Common stock and additional paid-in capital</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562,702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455,175</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(389,458)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(357,105)</w:t>
            </w:r>
          </w:p>
        </w:tc>
      </w:tr>
      <w:tr>
        <w:trPr>
          <w:trHeight w:val="223"/>
        </w:trPr>
        <w:tc>
          <w:tcPr>
            <w:tcW w:w="7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173,600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98,302</w:t>
            </w:r>
          </w:p>
        </w:tc>
      </w:tr>
      <w:tr>
        <w:trPr>
          <w:trHeight w:val="223"/>
        </w:trPr>
        <w:tc>
          <w:tcPr>
            <w:tcW w:w="706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230,878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157,552</w:t>
            </w:r>
          </w:p>
        </w:tc>
      </w:tr>
      <w:tr>
        <w:trPr>
          <w:trHeight w:val="20"/>
        </w:trPr>
        <w:tc>
          <w:tcPr>
            <w:tcW w:w="7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60"/>
          </w:cols>
          <w:pgMar w:left="820" w:top="891" w:right="81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00"/>
        <w:spacing w:after="0" w:line="325" w:lineRule="auto"/>
        <w:rPr>
          <w:sz w:val="20"/>
          <w:szCs w:val="20"/>
          <w:color w:val="auto"/>
        </w:rPr>
      </w:pPr>
      <w:r>
        <w:rPr>
          <w:rFonts w:ascii="Arial" w:cs="Arial" w:eastAsia="Arial" w:hAnsi="Arial"/>
          <w:sz w:val="16"/>
          <w:szCs w:val="16"/>
          <w:color w:val="auto"/>
        </w:rPr>
        <w:t>Depreciation and amortization Stock-based compensation</w:t>
      </w:r>
    </w:p>
    <w:p>
      <w:pPr>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jc w:val="center"/>
        <w:ind w:right="268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color w:val="auto"/>
        </w:rPr>
        <w:t>RECONCILIATION OF NET LOSS TO NON-GAAP ADJUSTED EBITDA</w:t>
      </w:r>
    </w:p>
    <w:p>
      <w:pPr>
        <w:spacing w:after="0" w:line="9"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194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31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r>
      <w:tr>
        <w:trPr>
          <w:trHeight w:val="225"/>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(14,158)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(32,353)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(50,081)</w:t>
            </w:r>
          </w:p>
        </w:tc>
      </w:tr>
      <w:tr>
        <w:trPr>
          <w:trHeight w:val="229"/>
        </w:trPr>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229"/>
        </w:trPr>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2,450</w:t>
            </w:r>
          </w:p>
        </w:tc>
      </w:tr>
      <w:tr>
        <w:trPr>
          <w:trHeight w:val="230"/>
        </w:trPr>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17,180</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-925195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-625475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-334010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sectPr>
      <w:pgSz w:w="11900" w:h="16838" w:orient="portrait"/>
      <w:cols w:equalWidth="0" w:num="2">
        <w:col w:w="2400" w:space="260"/>
        <w:col w:w="8560"/>
      </w:cols>
      <w:pgMar w:left="34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2023-11-06T15:32:30Z</dcterms:created>
  <dcterms:modified xsi:type="dcterms:W3CDTF">2023-11-06T15:32:30Z</dcterms:modified>
</cp:coreProperties>
</file>