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Maheshwari Anshul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41,802</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80,042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13,934</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93,976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2022, and will be released in quarterly installments commencing on May 15, 2022,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unit represents a contingent right to receive one share of the Issuer's common stock. The shares are subjected to the restricted stock unit vest, if at all, over three years based on the Issuer's total shareholder return (TSR) as measured against the TSR of the company at the median of the range TSRs of a set of peer companies established by the Issuer as set forth in the grant.</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93,976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Anshul</w:t>
      </w:r>
      <w:r>
        <w:rPr>
          <w:sz w:val="20"/>
          <w:szCs w:val="20"/>
          <w:color w:val="auto"/>
        </w:rPr>
        <w:tab/>
      </w:r>
      <w:r>
        <w:rPr>
          <w:rFonts w:ascii="Arial" w:cs="Arial" w:eastAsia="Arial" w:hAnsi="Arial"/>
          <w:sz w:val="15"/>
          <w:szCs w:val="15"/>
          <w:color w:val="0000FF"/>
        </w:rPr>
        <w:t>01/10/2022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2022-01-10T14:10:29Z</dcterms:created>
  <dcterms:modified xsi:type="dcterms:W3CDTF">2022-01-10T14:10:29Z</dcterms:modified>
</cp:coreProperties>
</file>