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00" w:type="dxa"/>
            <w:vAlign w:val="bottom"/>
            <w:gridSpan w:val="3"/>
          </w:tcPr>
          <w:p>
            <w:pPr>
              <w:ind w:left="4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Freund John Gordon</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2"/>
          </w:tcPr>
          <w:p>
            <w:pPr>
              <w:ind w:left="4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80" w:type="dxa"/>
            <w:vAlign w:val="bottom"/>
          </w:tcPr>
          <w:p>
            <w:pPr>
              <w:spacing w:after="0"/>
              <w:rPr>
                <w:sz w:val="13"/>
                <w:szCs w:val="13"/>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820" w:type="dxa"/>
            <w:vAlign w:val="bottom"/>
            <w:gridSpan w:val="2"/>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gridSpan w:val="3"/>
            <w:vMerge w:val="restart"/>
          </w:tcPr>
          <w:p>
            <w:pPr>
              <w:ind w:left="4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7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290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280"/>
              <w:spacing w:after="0"/>
              <w:rPr>
                <w:sz w:val="20"/>
                <w:szCs w:val="20"/>
                <w:color w:val="auto"/>
              </w:rPr>
            </w:pPr>
            <w:r>
              <w:rPr>
                <w:rFonts w:ascii="Arial" w:cs="Arial" w:eastAsia="Arial" w:hAnsi="Arial"/>
                <w:sz w:val="13"/>
                <w:szCs w:val="13"/>
                <w:color w:val="auto"/>
              </w:rPr>
              <w:t>below)</w:t>
            </w:r>
          </w:p>
        </w:tc>
        <w:tc>
          <w:tcPr>
            <w:tcW w:w="68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vMerge w:val="restart"/>
          </w:tcPr>
          <w:p>
            <w:pPr>
              <w:spacing w:after="0"/>
              <w:rPr>
                <w:sz w:val="20"/>
                <w:szCs w:val="20"/>
                <w:color w:val="auto"/>
              </w:rPr>
            </w:pPr>
            <w:r>
              <w:rPr>
                <w:rFonts w:ascii="Arial" w:cs="Arial" w:eastAsia="Arial" w:hAnsi="Arial"/>
                <w:sz w:val="17"/>
                <w:szCs w:val="17"/>
                <w:color w:val="0000FF"/>
                <w:w w:val="99"/>
              </w:rPr>
              <w:t>C/O SKYLINE VENTURES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ind w:left="40"/>
              <w:spacing w:after="0"/>
              <w:rPr>
                <w:sz w:val="20"/>
                <w:szCs w:val="20"/>
                <w:color w:val="auto"/>
              </w:rPr>
            </w:pPr>
            <w:r>
              <w:rPr>
                <w:rFonts w:ascii="Arial" w:cs="Arial" w:eastAsia="Arial" w:hAnsi="Arial"/>
                <w:sz w:val="17"/>
                <w:szCs w:val="17"/>
                <w:color w:val="0000FF"/>
              </w:rPr>
              <w:t>03/11/2021</w:t>
            </w: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4"/>
            <w:vMerge w:val="restart"/>
          </w:tcPr>
          <w:p>
            <w:pPr>
              <w:spacing w:after="0"/>
              <w:rPr>
                <w:sz w:val="20"/>
                <w:szCs w:val="20"/>
                <w:color w:val="auto"/>
              </w:rPr>
            </w:pPr>
            <w:r>
              <w:rPr>
                <w:rFonts w:ascii="Arial" w:cs="Arial" w:eastAsia="Arial" w:hAnsi="Arial"/>
                <w:sz w:val="17"/>
                <w:szCs w:val="17"/>
                <w:color w:val="0000FF"/>
              </w:rPr>
              <w:t>525 UNIVERSITY AVENUE, SUITE 1350</w:t>
            </w:r>
          </w:p>
        </w:tc>
        <w:tc>
          <w:tcPr>
            <w:tcW w:w="4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3780" w:type="dxa"/>
            <w:vAlign w:val="bottom"/>
            <w:gridSpan w:val="5"/>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780" w:type="dxa"/>
            <w:vAlign w:val="bottom"/>
            <w:gridSpan w:val="5"/>
            <w:vMerge w:val="continue"/>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6"/>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PALO ALTO</w:t>
            </w:r>
          </w:p>
        </w:tc>
        <w:tc>
          <w:tcPr>
            <w:tcW w:w="920" w:type="dxa"/>
            <w:vAlign w:val="bottom"/>
          </w:tcPr>
          <w:p>
            <w:pPr>
              <w:ind w:left="80"/>
              <w:spacing w:after="0"/>
              <w:rPr>
                <w:sz w:val="20"/>
                <w:szCs w:val="20"/>
                <w:color w:val="auto"/>
              </w:rPr>
            </w:pPr>
            <w:r>
              <w:rPr>
                <w:rFonts w:ascii="Arial" w:cs="Arial" w:eastAsia="Arial" w:hAnsi="Arial"/>
                <w:sz w:val="17"/>
                <w:szCs w:val="17"/>
                <w:color w:val="0000FF"/>
              </w:rPr>
              <w:t>CA</w:t>
            </w:r>
          </w:p>
        </w:tc>
        <w:tc>
          <w:tcPr>
            <w:tcW w:w="1580" w:type="dxa"/>
            <w:vAlign w:val="bottom"/>
          </w:tcPr>
          <w:p>
            <w:pPr>
              <w:ind w:left="380"/>
              <w:spacing w:after="0"/>
              <w:rPr>
                <w:sz w:val="20"/>
                <w:szCs w:val="20"/>
                <w:color w:val="auto"/>
              </w:rPr>
            </w:pPr>
            <w:r>
              <w:rPr>
                <w:rFonts w:ascii="Arial" w:cs="Arial" w:eastAsia="Arial" w:hAnsi="Arial"/>
                <w:sz w:val="17"/>
                <w:szCs w:val="17"/>
                <w:color w:val="0000FF"/>
              </w:rPr>
              <w:t>94301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5"/>
          </w:tcPr>
          <w:p>
            <w:pPr>
              <w:ind w:left="28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ind w:left="280"/>
              <w:spacing w:after="0" w:line="134" w:lineRule="exact"/>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7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140" w:type="dxa"/>
            <w:vAlign w:val="bottom"/>
            <w:tcBorders>
              <w:bottom w:val="single" w:sz="8" w:color="2C2C2C"/>
            </w:tcBorders>
            <w:gridSpan w:val="8"/>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tcPr>
          <w:p>
            <w:pPr>
              <w:ind w:left="2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00" w:type="dxa"/>
            <w:vAlign w:val="bottom"/>
            <w:gridSpan w:val="3"/>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96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ind w:right="4"/>
              <w:spacing w:after="0" w:line="133" w:lineRule="exact"/>
              <w:rPr>
                <w:sz w:val="20"/>
                <w:szCs w:val="20"/>
                <w:color w:val="auto"/>
              </w:rPr>
            </w:pPr>
            <w:r>
              <w:rPr>
                <w:rFonts w:ascii="Arial" w:cs="Arial" w:eastAsia="Arial" w:hAnsi="Arial"/>
                <w:sz w:val="12"/>
                <w:szCs w:val="12"/>
                <w:b w:val="1"/>
                <w:bCs w:val="1"/>
                <w:color w:val="auto"/>
                <w:w w:val="99"/>
              </w:rPr>
              <w:t>(A) or</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920" w:type="dxa"/>
            <w:vAlign w:val="bottom"/>
          </w:tcPr>
          <w:p>
            <w:pPr>
              <w:spacing w:after="0"/>
              <w:rPr>
                <w:sz w:val="18"/>
                <w:szCs w:val="18"/>
                <w:color w:val="auto"/>
              </w:rPr>
            </w:pPr>
          </w:p>
        </w:tc>
        <w:tc>
          <w:tcPr>
            <w:tcW w:w="1700" w:type="dxa"/>
            <w:vAlign w:val="bottom"/>
            <w:gridSpan w:val="3"/>
            <w:vMerge w:val="restart"/>
          </w:tcPr>
          <w:p>
            <w:pPr>
              <w:jc w:val="right"/>
              <w:ind w:right="40"/>
              <w:spacing w:after="0"/>
              <w:rPr>
                <w:sz w:val="20"/>
                <w:szCs w:val="20"/>
                <w:color w:val="auto"/>
              </w:rPr>
            </w:pPr>
            <w:r>
              <w:rPr>
                <w:rFonts w:ascii="Arial" w:cs="Arial" w:eastAsia="Arial" w:hAnsi="Arial"/>
                <w:sz w:val="17"/>
                <w:szCs w:val="17"/>
                <w:color w:val="0000FF"/>
              </w:rPr>
              <w:t>03/11/2021</w:t>
            </w:r>
          </w:p>
        </w:tc>
        <w:tc>
          <w:tcPr>
            <w:tcW w:w="12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47"/>
              <w:spacing w:after="0"/>
              <w:rPr>
                <w:sz w:val="20"/>
                <w:szCs w:val="20"/>
                <w:color w:val="auto"/>
              </w:rPr>
            </w:pPr>
            <w:r>
              <w:rPr>
                <w:rFonts w:ascii="Arial" w:cs="Arial" w:eastAsia="Arial" w:hAnsi="Arial"/>
                <w:sz w:val="17"/>
                <w:szCs w:val="17"/>
                <w:color w:val="0000FF"/>
              </w:rPr>
              <w:t>63,928</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31.0465</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1,418,118</w:t>
            </w:r>
          </w:p>
        </w:tc>
        <w:tc>
          <w:tcPr>
            <w:tcW w:w="68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920" w:type="dxa"/>
            <w:vAlign w:val="bottom"/>
          </w:tcPr>
          <w:p>
            <w:pPr>
              <w:spacing w:after="0"/>
              <w:rPr>
                <w:sz w:val="18"/>
                <w:szCs w:val="18"/>
                <w:color w:val="auto"/>
              </w:rPr>
            </w:pPr>
          </w:p>
        </w:tc>
        <w:tc>
          <w:tcPr>
            <w:tcW w:w="170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03/12/2021</w:t>
            </w:r>
          </w:p>
        </w:tc>
        <w:tc>
          <w:tcPr>
            <w:tcW w:w="12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47"/>
              <w:spacing w:after="0"/>
              <w:rPr>
                <w:sz w:val="20"/>
                <w:szCs w:val="20"/>
                <w:color w:val="auto"/>
              </w:rPr>
            </w:pPr>
            <w:r>
              <w:rPr>
                <w:rFonts w:ascii="Arial" w:cs="Arial" w:eastAsia="Arial" w:hAnsi="Arial"/>
                <w:sz w:val="17"/>
                <w:szCs w:val="17"/>
                <w:color w:val="0000FF"/>
              </w:rPr>
              <w:t>91,072</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31.3912</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1,327,046</w:t>
            </w:r>
          </w:p>
        </w:tc>
        <w:tc>
          <w:tcPr>
            <w:tcW w:w="68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920" w:type="dxa"/>
            <w:vAlign w:val="bottom"/>
          </w:tcPr>
          <w:p>
            <w:pPr>
              <w:spacing w:after="0"/>
              <w:rPr>
                <w:sz w:val="18"/>
                <w:szCs w:val="18"/>
                <w:color w:val="auto"/>
              </w:rPr>
            </w:pPr>
          </w:p>
        </w:tc>
        <w:tc>
          <w:tcPr>
            <w:tcW w:w="170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03/15/2021</w:t>
            </w:r>
          </w:p>
        </w:tc>
        <w:tc>
          <w:tcPr>
            <w:tcW w:w="12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840" w:type="dxa"/>
            <w:vAlign w:val="bottom"/>
            <w:vMerge w:val="restart"/>
          </w:tcPr>
          <w:p>
            <w:pPr>
              <w:jc w:val="right"/>
              <w:ind w:right="147"/>
              <w:spacing w:after="0"/>
              <w:rPr>
                <w:sz w:val="20"/>
                <w:szCs w:val="20"/>
                <w:color w:val="auto"/>
              </w:rPr>
            </w:pPr>
            <w:r>
              <w:rPr>
                <w:rFonts w:ascii="Arial" w:cs="Arial" w:eastAsia="Arial" w:hAnsi="Arial"/>
                <w:sz w:val="17"/>
                <w:szCs w:val="17"/>
                <w:color w:val="0000FF"/>
              </w:rPr>
              <w:t>80,887</w:t>
            </w:r>
          </w:p>
        </w:tc>
        <w:tc>
          <w:tcPr>
            <w:tcW w:w="40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30.9022</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1,246,159</w:t>
            </w:r>
          </w:p>
        </w:tc>
        <w:tc>
          <w:tcPr>
            <w:tcW w:w="680" w:type="dxa"/>
            <w:vAlign w:val="bottom"/>
            <w:vMerge w:val="restart"/>
          </w:tcPr>
          <w:p>
            <w:pPr>
              <w:ind w:left="42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John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Freund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1"/>
              </w:rPr>
              <w:t>100,570</w:t>
            </w:r>
          </w:p>
        </w:tc>
        <w:tc>
          <w:tcPr>
            <w:tcW w:w="680" w:type="dxa"/>
            <w:vAlign w:val="bottom"/>
          </w:tcPr>
          <w:p>
            <w:pPr>
              <w:ind w:left="420"/>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w w:val="98"/>
              </w:rPr>
              <w:t>Partnership</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IV, L.P</w:t>
            </w:r>
            <w:r>
              <w:rPr>
                <w:rFonts w:ascii="Arial" w:cs="Arial" w:eastAsia="Arial" w:hAnsi="Arial"/>
                <w:sz w:val="22"/>
                <w:szCs w:val="22"/>
                <w:color w:val="008000"/>
                <w:vertAlign w:val="superscript"/>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5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-3561715</wp:posOffset>
            </wp:positionV>
            <wp:extent cx="7031355" cy="5339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533908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SVP V. Skyline Venture Management V, LLC ("LLC") is the general partner of SVP V and as such may be deemed to have voting and investment power with respect to the securities of SVP V. Reporting Person, a member of Issuer's board of directors, is a managing director of LLC and may be deemed to have voting and investment power with respect to the securities held by SVP V. Reporting Person disclaims beneficial ownership of such securities, except to the extent of his pecuniary interest therein.</w:t>
      </w:r>
    </w:p>
    <w:p>
      <w:pPr>
        <w:spacing w:after="0" w:line="25" w:lineRule="exact"/>
        <w:rPr>
          <w:rFonts w:ascii="Arial" w:cs="Arial" w:eastAsia="Arial" w:hAnsi="Arial"/>
          <w:sz w:val="13"/>
          <w:szCs w:val="13"/>
          <w:color w:val="008000"/>
        </w:rPr>
      </w:pPr>
    </w:p>
    <w:p>
      <w:pPr>
        <w:ind w:left="40" w:right="28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03/15/2021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2021-03-15T17:36:33Z</dcterms:created>
  <dcterms:modified xsi:type="dcterms:W3CDTF">2021-03-15T17:36:33Z</dcterms:modified>
</cp:coreProperties>
</file>