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71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1500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Pisetsky Michael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05/17/2021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77"/>
        <w:spacing w:after="0"/>
        <w:rPr>
          <w:sz w:val="20"/>
          <w:szCs w:val="20"/>
          <w:color w:val="auto"/>
        </w:rPr>
      </w:pPr>
      <w:r>
        <w:rPr>
          <w:rFonts w:ascii="Arial" w:cs="Arial" w:eastAsia="Arial" w:hAnsi="Arial"/>
          <w:sz w:val="17"/>
          <w:szCs w:val="17"/>
          <w:color w:val="0000FF"/>
        </w:rPr>
        <w:t>GC &amp; Chief Compliance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9"/>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SANTA CLARA 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95050</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5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91"/>
              </w:rPr>
              <w:t>05/17/2021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0000FF"/>
                <w:w w:val="89"/>
              </w:rPr>
              <w:t>1,008</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31.4016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78,420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91"/>
              </w:rPr>
              <w:t>05/17/2021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4"/>
              </w:rPr>
              <w:t>894</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31.4016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77,526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jc w:val="center"/>
              <w:ind w:left="470"/>
              <w:spacing w:after="0"/>
              <w:rPr>
                <w:sz w:val="20"/>
                <w:szCs w:val="20"/>
                <w:color w:val="auto"/>
              </w:rPr>
            </w:pPr>
            <w:r>
              <w:rPr>
                <w:rFonts w:ascii="Arial" w:cs="Arial" w:eastAsia="Arial" w:hAnsi="Arial"/>
                <w:sz w:val="17"/>
                <w:szCs w:val="17"/>
                <w:color w:val="0000FF"/>
                <w:w w:val="91"/>
              </w:rPr>
              <w:t>05/18/2021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Arial" w:cs="Arial" w:eastAsia="Arial" w:hAnsi="Arial"/>
                <w:sz w:val="13"/>
                <w:szCs w:val="13"/>
                <w:color w:val="0000FF"/>
              </w:rPr>
              <w:t>M</w:t>
            </w:r>
          </w:p>
        </w:tc>
        <w:tc>
          <w:tcPr>
            <w:tcW w:w="680" w:type="dxa"/>
            <w:vAlign w:val="bottom"/>
          </w:tcPr>
          <w:p>
            <w:pPr>
              <w:jc w:val="center"/>
              <w:ind w:left="71"/>
              <w:spacing w:after="0"/>
              <w:rPr>
                <w:sz w:val="20"/>
                <w:szCs w:val="20"/>
                <w:color w:val="auto"/>
              </w:rPr>
            </w:pPr>
            <w:r>
              <w:rPr>
                <w:rFonts w:ascii="Arial" w:cs="Arial" w:eastAsia="Arial" w:hAnsi="Arial"/>
                <w:sz w:val="17"/>
                <w:szCs w:val="17"/>
                <w:color w:val="0000FF"/>
                <w:w w:val="89"/>
              </w:rPr>
              <w:t>1,975</w:t>
            </w:r>
          </w:p>
        </w:tc>
        <w:tc>
          <w:tcPr>
            <w:tcW w:w="68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7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79,501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91"/>
              </w:rPr>
              <w:t>05/18/2021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68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0000FF"/>
                <w:w w:val="89"/>
              </w:rPr>
              <w:t>1,975</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1"/>
              </w:rPr>
              <w:t>79,036</w:t>
            </w:r>
            <w:r>
              <w:rPr>
                <w:rFonts w:ascii="Arial" w:cs="Arial" w:eastAsia="Arial" w:hAnsi="Arial"/>
                <w:sz w:val="21"/>
                <w:szCs w:val="21"/>
                <w:color w:val="008000"/>
                <w:w w:val="81"/>
                <w:vertAlign w:val="superscript"/>
              </w:rPr>
              <w:t>(3)(4)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05/18/2021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Arial" w:cs="Arial" w:eastAsia="Arial" w:hAnsi="Arial"/>
                <w:sz w:val="13"/>
                <w:szCs w:val="13"/>
                <w:color w:val="0000FF"/>
              </w:rPr>
              <w:t>1,975</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ind w:left="20"/>
              <w:spacing w:after="0"/>
              <w:rPr>
                <w:sz w:val="20"/>
                <w:szCs w:val="20"/>
                <w:color w:val="auto"/>
              </w:rPr>
            </w:pPr>
            <w:r>
              <w:rPr>
                <w:rFonts w:ascii="Arial" w:cs="Arial" w:eastAsia="Arial" w:hAnsi="Arial"/>
                <w:sz w:val="13"/>
                <w:szCs w:val="13"/>
                <w:color w:val="0000FF"/>
                <w:w w:val="98"/>
              </w:rPr>
              <w:t>07/26/2026</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1,975</w:t>
            </w:r>
          </w:p>
        </w:tc>
        <w:tc>
          <w:tcPr>
            <w:tcW w:w="18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12,938</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1,510 shares acquired under the SI-BONE, Inc. 2018 Employee Stock Purchase Plan on May 17, 2021.</w:t>
      </w:r>
    </w:p>
    <w:p>
      <w:pPr>
        <w:spacing w:after="0" w:line="45" w:lineRule="exact"/>
        <w:rPr>
          <w:rFonts w:ascii="Arial" w:cs="Arial" w:eastAsia="Arial" w:hAnsi="Arial"/>
          <w:sz w:val="13"/>
          <w:szCs w:val="13"/>
          <w:color w:val="008000"/>
        </w:rPr>
      </w:pPr>
    </w:p>
    <w:p>
      <w:pPr>
        <w:ind w:left="40" w:right="2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57,434 shares issuable on the settlement of restricted stock units granted to the Reporting Person. Each restricted stock unit represents a contingent right to receive one share of the Issuer's common stock.</w:t>
      </w:r>
    </w:p>
    <w:p>
      <w:pPr>
        <w:spacing w:after="0" w:line="23"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Michael A. Pisetsky</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05/19/2021</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2021-05-19T16:15:16Z</dcterms:created>
  <dcterms:modified xsi:type="dcterms:W3CDTF">2021-05-19T16:15:16Z</dcterms:modified>
</cp:coreProperties>
</file>