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333-235714</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C00000"/>
        </w:rPr>
        <w:t>The information in this preliminary prospectus supplement is not complete and may be changed. A registration statement relating to these securities has been declared effective by the Securities and Exchange Commission is effective. This preliminary prospectus supplement and accompanying prospectus are not an offer to sell these securities, and we and the selling stockholders are not soliciting offers to buy these securities, in any jurisdiction where such offer or sale is not permitted.</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00000"/>
        </w:rPr>
        <w:t>SUBJECT TO COMPLETION, DATED JANUARY 21, 2020</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January 2, 2020)</w:t>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4,300,000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158115</wp:posOffset>
            </wp:positionV>
            <wp:extent cx="240093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79"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offering 2,490,053 shares of our common stock, and the selling stockholders named in this prospectus supplement are offering 1,809,947 shares of our common stock.</w:t>
      </w:r>
    </w:p>
    <w:p>
      <w:pPr>
        <w:spacing w:after="0" w:line="6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“SIBN.” On January 17, 2020, the last reported sale price of our common stock was $21.76 per share.</w:t>
      </w:r>
    </w:p>
    <w:p>
      <w:pPr>
        <w:spacing w:after="0" w:line="6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Supplement Summary - Implications of Being an Emerging Growth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beginning on page S-7.</w:t>
      </w:r>
    </w:p>
    <w:p>
      <w:pPr>
        <w:spacing w:after="0" w:line="16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5"/>
                <w:szCs w:val="25"/>
                <w:color w:val="auto"/>
                <w:vertAlign w:val="superscript"/>
              </w:rPr>
              <w:t>(1)</w:t>
            </w: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Proceeds to the selling stockholders, before expenses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(1) See "Underwriting" for additional information regarding underwriting compensation payable by us and payable by the selling stockholders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17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645,000 additional shares of our common stock.</w:t>
      </w:r>
    </w:p>
    <w:p>
      <w:pPr>
        <w:spacing w:after="0" w:line="2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underwriters expect to deliver the shares against payment in New York, New York on , 2020.</w:t>
      </w:r>
    </w:p>
    <w:p>
      <w:pPr>
        <w:spacing w:after="0" w:line="167"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153" w:lineRule="exact"/>
        <w:rPr>
          <w:sz w:val="24"/>
          <w:szCs w:val="24"/>
          <w:color w:val="auto"/>
        </w:rPr>
      </w:pPr>
    </w:p>
    <w:p>
      <w:pPr>
        <w:ind w:left="280"/>
        <w:spacing w:after="0"/>
        <w:tabs>
          <w:tab w:leader="none" w:pos="898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28"/>
          <w:szCs w:val="28"/>
          <w:b w:val="1"/>
          <w:bCs w:val="1"/>
          <w:color w:val="auto"/>
        </w:rPr>
        <w:t>BofA Securities</w:t>
      </w:r>
    </w:p>
    <w:p>
      <w:pPr>
        <w:sectPr>
          <w:pgSz w:w="11900" w:h="16838" w:orient="portrait"/>
          <w:cols w:equalWidth="0" w:num="1">
            <w:col w:w="11420"/>
          </w:cols>
          <w:pgMar w:left="240" w:top="864" w:right="239" w:bottom="1440" w:gutter="0" w:footer="0" w:header="0"/>
        </w:sectPr>
      </w:pPr>
    </w:p>
    <w:p>
      <w:pPr>
        <w:spacing w:after="0" w:line="26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 2020.</w:t>
      </w:r>
    </w:p>
    <w:p>
      <w:pPr>
        <w:sectPr>
          <w:pgSz w:w="11900" w:h="16838" w:orient="portrait"/>
          <w:cols w:equalWidth="0" w:num="1">
            <w:col w:w="11420"/>
          </w:cols>
          <w:pgMar w:left="240" w:top="86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89"/>
              </w:rPr>
              <w:t>Page</w:t>
            </w:r>
          </w:p>
        </w:tc>
      </w:tr>
      <w:tr>
        <w:trPr>
          <w:trHeight w:val="270"/>
        </w:trPr>
        <w:tc>
          <w:tcPr>
            <w:tcW w:w="20" w:type="dxa"/>
            <w:vAlign w:val="bottom"/>
          </w:tcPr>
          <w:p>
            <w:pPr>
              <w:spacing w:after="0"/>
              <w:rPr>
                <w:sz w:val="23"/>
                <w:szCs w:val="23"/>
                <w:color w:val="auto"/>
              </w:rPr>
            </w:pPr>
          </w:p>
        </w:tc>
        <w:tc>
          <w:tcPr>
            <w:tcW w:w="96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9"/>
            <w:shd w:val="clear" w:color="auto" w:fill="CCEEFF"/>
          </w:tcPr>
          <w:p>
            <w:pPr>
              <w:jc w:val="center"/>
              <w:ind w:right="18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S-ii</w:t>
              </w:r>
            </w:hyperlink>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0000EE"/>
            </w:tcBorders>
            <w:gridSpan w:val="19"/>
          </w:tcPr>
          <w:p>
            <w:pPr>
              <w:spacing w:after="0" w:line="20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PROSPECTUS SUPPLEMENT SUMMARY</w:t>
              </w:r>
            </w:hyperlink>
          </w:p>
        </w:tc>
        <w:tc>
          <w:tcPr>
            <w:tcW w:w="6200" w:type="dxa"/>
            <w:vAlign w:val="bottom"/>
            <w:tcBorders>
              <w:top w:val="single" w:sz="8" w:color="CCEEFF"/>
            </w:tcBorders>
            <w:gridSpan w:val="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0000EE"/>
            </w:tcBorders>
            <w:gridSpan w:val="6"/>
          </w:tcPr>
          <w:p>
            <w:pPr>
              <w:jc w:val="center"/>
              <w:ind w:right="20"/>
              <w:spacing w:after="0" w:line="202"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c>
          <w:tcPr>
            <w:tcW w:w="180" w:type="dxa"/>
            <w:vAlign w:val="bottom"/>
            <w:tcBorders>
              <w:top w:val="single" w:sz="8" w:color="CCEEFF"/>
            </w:tcBorders>
            <w:gridSpan w:val="3"/>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6"/>
            <w:shd w:val="clear" w:color="auto" w:fill="CCEEFF"/>
          </w:tcPr>
          <w:p>
            <w:pPr>
              <w:spacing w:after="0" w:line="202"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8380" w:type="dxa"/>
            <w:vAlign w:val="bottom"/>
            <w:gridSpan w:val="18"/>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9"/>
            <w:shd w:val="clear" w:color="auto" w:fill="CCEEFF"/>
          </w:tcPr>
          <w:p>
            <w:pPr>
              <w:jc w:val="center"/>
              <w:ind w:right="200"/>
              <w:spacing w:after="0" w:line="202"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S-7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9"/>
          </w:tcPr>
          <w:p>
            <w:pPr>
              <w:jc w:val="center"/>
              <w:ind w:right="200"/>
              <w:spacing w:after="0" w:line="202"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S-8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03"/>
        </w:trPr>
        <w:tc>
          <w:tcPr>
            <w:tcW w:w="20" w:type="dxa"/>
            <w:vAlign w:val="bottom"/>
            <w:tcBorders>
              <w:top w:val="single" w:sz="8" w:color="CCEEFF"/>
            </w:tcBorders>
          </w:tcPr>
          <w:p>
            <w:pPr>
              <w:spacing w:after="0"/>
              <w:rPr>
                <w:sz w:val="17"/>
                <w:szCs w:val="17"/>
                <w:color w:val="auto"/>
              </w:rPr>
            </w:pPr>
          </w:p>
        </w:tc>
        <w:tc>
          <w:tcPr>
            <w:tcW w:w="158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CAPITALIZATION</w:t>
              </w:r>
            </w:hyperlink>
          </w:p>
        </w:tc>
        <w:tc>
          <w:tcPr>
            <w:tcW w:w="8060" w:type="dxa"/>
            <w:vAlign w:val="bottom"/>
            <w:tcBorders>
              <w:top w:val="single" w:sz="8" w:color="CCEEFF"/>
            </w:tcBorders>
            <w:gridSpan w:val="1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gridSpan w:val="9"/>
          </w:tcPr>
          <w:p>
            <w:pPr>
              <w:jc w:val="center"/>
              <w:ind w:right="20"/>
              <w:spacing w:after="0" w:line="202"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S-11</w:t>
              </w:r>
            </w:hyperlink>
          </w:p>
        </w:tc>
        <w:tc>
          <w:tcPr>
            <w:tcW w:w="14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DILUTION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SELLING STOCKHOLDERS</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S-13</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940" w:type="dxa"/>
            <w:vAlign w:val="bottom"/>
            <w:gridSpan w:val="23"/>
            <w:shd w:val="clear" w:color="auto" w:fill="CCEEFF"/>
          </w:tcPr>
          <w:p>
            <w:pPr>
              <w:spacing w:after="0" w:line="202"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MATERIAL U.S. FEDERAL INCOME TAX CONSEQUENCES TO NON-U.S. HOLDERS OF OUR COMMON STOCK</w:t>
              </w:r>
            </w:hyperlink>
          </w:p>
        </w:tc>
        <w:tc>
          <w:tcPr>
            <w:tcW w:w="700" w:type="dxa"/>
            <w:vAlign w:val="bottom"/>
            <w:shd w:val="clear" w:color="auto" w:fill="CCEEFF"/>
          </w:tcPr>
          <w:p>
            <w:pPr>
              <w:spacing w:after="0"/>
              <w:rPr>
                <w:sz w:val="17"/>
                <w:szCs w:val="17"/>
                <w:color w:val="auto"/>
              </w:rPr>
            </w:pPr>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6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40" w:type="dxa"/>
            <w:vAlign w:val="bottom"/>
            <w:gridSpan w:val="23"/>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UNDERWRITING</w:t>
              </w:r>
            </w:hyperlink>
          </w:p>
        </w:tc>
        <w:tc>
          <w:tcPr>
            <w:tcW w:w="700" w:type="dxa"/>
            <w:vAlign w:val="bottom"/>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S-18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60" w:type="dxa"/>
            <w:vAlign w:val="bottom"/>
            <w:gridSpan w:val="8"/>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8180" w:type="dxa"/>
            <w:vAlign w:val="bottom"/>
            <w:gridSpan w:val="16"/>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ADDITIONAL INFORMATION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INFORMATION BY REFERENCE</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S-25</w:t>
              </w:r>
            </w:hyperlink>
          </w:p>
        </w:tc>
      </w:tr>
      <w:tr>
        <w:trPr>
          <w:trHeight w:val="615"/>
        </w:trPr>
        <w:tc>
          <w:tcPr>
            <w:tcW w:w="20" w:type="dxa"/>
            <w:vAlign w:val="bottom"/>
          </w:tcPr>
          <w:p>
            <w:pPr>
              <w:spacing w:after="0"/>
              <w:rPr>
                <w:sz w:val="24"/>
                <w:szCs w:val="24"/>
                <w:color w:val="auto"/>
              </w:rPr>
            </w:pPr>
          </w:p>
        </w:tc>
        <w:tc>
          <w:tcPr>
            <w:tcW w:w="5180" w:type="dxa"/>
            <w:vAlign w:val="bottom"/>
            <w:tcBorders>
              <w:top w:val="single" w:sz="8" w:color="0000EE"/>
            </w:tcBorders>
            <w:gridSpan w:val="21"/>
          </w:tcPr>
          <w:p>
            <w:pPr>
              <w:spacing w:after="0"/>
              <w:rPr>
                <w:sz w:val="20"/>
                <w:szCs w:val="20"/>
                <w:color w:val="auto"/>
              </w:rPr>
            </w:pPr>
            <w:r>
              <w:rPr>
                <w:rFonts w:ascii="Arial" w:cs="Arial" w:eastAsia="Arial" w:hAnsi="Arial"/>
                <w:sz w:val="18"/>
                <w:szCs w:val="18"/>
                <w:b w:val="1"/>
                <w:bCs w:val="1"/>
                <w:color w:val="auto"/>
              </w:rPr>
              <w:t>PROSPECTUS</w:t>
            </w:r>
          </w:p>
        </w:tc>
        <w:tc>
          <w:tcPr>
            <w:tcW w:w="44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13"/>
          </w:tcPr>
          <w:p>
            <w:pPr>
              <w:spacing w:after="0" w:line="20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PROSPECTUS SUMMARY</w:t>
              </w:r>
            </w:hyperlink>
          </w:p>
        </w:tc>
        <w:tc>
          <w:tcPr>
            <w:tcW w:w="7420" w:type="dxa"/>
            <w:vAlign w:val="bottom"/>
            <w:gridSpan w:val="11"/>
          </w:tcPr>
          <w:p>
            <w:pPr>
              <w:spacing w:after="0"/>
              <w:rPr>
                <w:sz w:val="17"/>
                <w:szCs w:val="17"/>
                <w:color w:val="auto"/>
              </w:rPr>
            </w:pPr>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9"/>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8060" w:type="dxa"/>
            <w:vAlign w:val="bottom"/>
            <w:gridSpan w:val="15"/>
            <w:shd w:val="clear" w:color="auto" w:fill="CCEEFF"/>
          </w:tcPr>
          <w:p>
            <w:pPr>
              <w:spacing w:after="0"/>
              <w:rPr>
                <w:sz w:val="17"/>
                <w:szCs w:val="17"/>
                <w:color w:val="auto"/>
              </w:rPr>
            </w:pPr>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10</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7"/>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6620" w:type="dxa"/>
            <w:vAlign w:val="bottom"/>
            <w:gridSpan w:val="7"/>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OWNERSHIP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5"/>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6900" w:type="dxa"/>
            <w:vAlign w:val="bottom"/>
            <w:gridSpan w:val="9"/>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10"/>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600" w:type="dxa"/>
            <w:vAlign w:val="bottom"/>
            <w:gridSpan w:val="14"/>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ADDITIONAL INFORMATION</w:t>
              </w:r>
            </w:hyperlink>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INFORMATION BY REFERENCE</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280"/>
          </w:cols>
          <w:pgMar w:left="820" w:top="769" w:right="7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“shelf” registration statement on Form S-3 (File No. 333-235714) that we initially filed with the Securities and Exchange Commission (SEC) on December 27, 2019, and that was declared effective by the SEC on January 2, 2020.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selling stockholders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stockholders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spacing w:after="0" w:line="39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the selling stockholders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3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Unless the context indicates otherwise, as used in this prospectus supplement and accompanying prospectus, the terms “SI-BONE” and “iFuse Implant System” 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S-ii</w:t>
      </w:r>
    </w:p>
    <w:p>
      <w:pPr>
        <w:sectPr>
          <w:pgSz w:w="11900" w:h="16838" w:orient="portrait"/>
          <w:cols w:equalWidth="0" w:num="1">
            <w:col w:w="11420"/>
          </w:cols>
          <w:pgMar w:left="240" w:top="75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Key Metrics for Studies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Statistical significance in the studies described in this prospectus supplement and accompanying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for subjects surgically treated with iFuse is evaluated using a number of commonly used metrics, including the following:</w:t>
      </w:r>
    </w:p>
    <w:p>
      <w:pPr>
        <w:spacing w:after="0" w:line="200" w:lineRule="exact"/>
        <w:rPr>
          <w:sz w:val="20"/>
          <w:szCs w:val="20"/>
          <w:color w:val="auto"/>
        </w:rPr>
      </w:pPr>
    </w:p>
    <w:p>
      <w:pPr>
        <w:spacing w:after="0" w:line="237" w:lineRule="exact"/>
        <w:rPr>
          <w:sz w:val="20"/>
          <w:szCs w:val="20"/>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worst pain imaginable. The VAS score is used to calculate changes in patient pain.</w:t>
      </w:r>
    </w:p>
    <w:p>
      <w:pPr>
        <w:spacing w:after="0" w:line="161"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60 represent very severe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47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477250"/>
                    </a:xfrm>
                    <a:prstGeom prst="rect">
                      <a:avLst/>
                    </a:prstGeom>
                    <a:noFill/>
                  </pic:spPr>
                </pic:pic>
              </a:graphicData>
            </a:graphic>
          </wp:anchor>
        </w:drawing>
        <w:t>PROSPECTUS SUPPLEMENT SUMMARY</w:t>
      </w:r>
    </w:p>
    <w:p>
      <w:pPr>
        <w:spacing w:after="0" w:line="2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more than 44,000 procedures have been performed by over 2,000 surgeons in the United States and 35 other countries.</w:t>
      </w:r>
    </w:p>
    <w:p>
      <w:pPr>
        <w:spacing w:after="0" w:line="13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that the United States market opportunity for sacroiliac joint fusion may be as large as 279,000 procedures per year. In 2019, our implants were used in over 6,400 sacroiliac fusions in the United States, and we believe that iFuse is currently used in the majority of minimally invasive surgical fusions of the sacroiliac joint.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growth rate has recently increased, which we attribute to our commercial progress in 2019 including:</w:t>
      </w:r>
    </w:p>
    <w:p>
      <w:pPr>
        <w:spacing w:after="0" w:line="167" w:lineRule="exact"/>
        <w:rPr>
          <w:sz w:val="20"/>
          <w:szCs w:val="20"/>
          <w:color w:val="auto"/>
        </w:rPr>
      </w:pPr>
    </w:p>
    <w:p>
      <w:pPr>
        <w:jc w:val="both"/>
        <w:ind w:left="660" w:hanging="334"/>
        <w:spacing w:after="0" w:line="25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Expanding our sales organization </w:t>
      </w:r>
      <w:r>
        <w:rPr>
          <w:rFonts w:ascii="Arial" w:cs="Arial" w:eastAsia="Arial" w:hAnsi="Arial"/>
          <w:sz w:val="18"/>
          <w:szCs w:val="18"/>
          <w:color w:val="auto"/>
        </w:rPr>
        <w:t>- we made significant investments in our U.S. salesforce in 2019, adding 40 field-based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to finish the year with 107 (56 sales reps, 51 clinical support specialists) field-based representatives in the United States. We increased our sales and marketing expense by 54% for the nine months ended September 30, 2019 compared to the nine-months ended September 30, 2018. We believe that our expanded field organization allows us to reach more surgeons, educating them to include the sacroiliac joint in their differential diagnosis of lower back pain and regularly perform the iFuse procedure for patients for whom the procedure is indicated.</w:t>
      </w:r>
    </w:p>
    <w:p>
      <w:pPr>
        <w:spacing w:after="0" w:line="133" w:lineRule="exact"/>
        <w:rPr>
          <w:rFonts w:ascii="Arial" w:cs="Arial" w:eastAsia="Arial" w:hAnsi="Arial"/>
          <w:sz w:val="18"/>
          <w:szCs w:val="18"/>
          <w:b w:val="1"/>
          <w:bCs w:val="1"/>
          <w:color w:val="auto"/>
        </w:rPr>
      </w:pPr>
    </w:p>
    <w:p>
      <w:pPr>
        <w:ind w:left="660" w:hanging="334"/>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Influencing reimbursement </w:t>
      </w:r>
      <w:r>
        <w:rPr>
          <w:rFonts w:ascii="Arial" w:cs="Arial" w:eastAsia="Arial" w:hAnsi="Arial"/>
          <w:sz w:val="18"/>
          <w:szCs w:val="18"/>
          <w:color w:val="auto"/>
        </w:rPr>
        <w:t>- we made progress in both the number of covered lives and the Medicare physician fee for surgeons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minimally invasive sacroiliac fusion in the U.S.</w:t>
      </w:r>
    </w:p>
    <w:p>
      <w:pPr>
        <w:spacing w:after="0" w:line="111" w:lineRule="exact"/>
        <w:rPr>
          <w:rFonts w:ascii="Arial" w:cs="Arial" w:eastAsia="Arial" w:hAnsi="Arial"/>
          <w:sz w:val="18"/>
          <w:szCs w:val="18"/>
          <w:b w:val="1"/>
          <w:bCs w:val="1"/>
          <w:color w:val="auto"/>
        </w:rPr>
      </w:pPr>
    </w:p>
    <w:p>
      <w:pPr>
        <w:jc w:val="both"/>
        <w:ind w:left="980" w:hanging="330"/>
        <w:spacing w:after="0" w:line="289" w:lineRule="auto"/>
        <w:tabs>
          <w:tab w:leader="none" w:pos="980" w:val="left"/>
        </w:tabs>
        <w:numPr>
          <w:ilvl w:val="1"/>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Covered lives </w:t>
      </w:r>
      <w:r>
        <w:rPr>
          <w:rFonts w:ascii="Arial" w:cs="Arial" w:eastAsia="Arial" w:hAnsi="Arial"/>
          <w:sz w:val="16"/>
          <w:szCs w:val="16"/>
          <w:color w:val="auto"/>
        </w:rPr>
        <w:t>- in September 2019, we published five-year outcomes data from our long-term prospective clinical trial, LOIS.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we have over 80 published clinical studies and papers, including two randomized controlled trials. Many private commercial payors consider longer-term data from clinical trials necessary to support coverage for surgical procedures. In December 2019, Cigna, a large private health insurer covering approximately 14.6 million lives in the United States, announced a positive coverage policy for minimally invasive sacroiliac joint dysfunction. We started the new year with over 282 million covered lives in the United States, with over 60 million of those lives covered by 35 payors who reimburse for minimally invasive sacroiliac fusion exclusively when performed with iFuse. These payors have based their exclusive coverage decisions on the quality of our data. There are now 112 payors in the United States which cover iFuse. We believe that the full impact of each coverage decision grows over time as surgeons gain confidence that they will receive reimbursement for the majority of their diagnosed patients.</w:t>
      </w:r>
    </w:p>
    <w:p>
      <w:pPr>
        <w:spacing w:after="0" w:line="112" w:lineRule="exact"/>
        <w:rPr>
          <w:rFonts w:ascii="Arial" w:cs="Arial" w:eastAsia="Arial" w:hAnsi="Arial"/>
          <w:sz w:val="16"/>
          <w:szCs w:val="16"/>
          <w:b w:val="1"/>
          <w:bCs w:val="1"/>
          <w:i w:val="1"/>
          <w:iCs w:val="1"/>
          <w:color w:val="auto"/>
        </w:rPr>
      </w:pPr>
    </w:p>
    <w:p>
      <w:pPr>
        <w:jc w:val="both"/>
        <w:ind w:left="980" w:hanging="330"/>
        <w:spacing w:after="0" w:line="255" w:lineRule="auto"/>
        <w:tabs>
          <w:tab w:leader="none" w:pos="9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in November 2019, the Center for Medicare &amp; Medicaid Services, or CMS, announced that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average physician fee reimbursement for minimally invasive sacroiliac joint fusion would be increased from $720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ectPr>
          <w:pgSz w:w="11900" w:h="16838" w:orient="portrait"/>
          <w:cols w:equalWidth="0" w:num="1">
            <w:col w:w="10580"/>
          </w:cols>
          <w:pgMar w:left="660" w:top="122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580"/>
          </w:cols>
          <w:pgMar w:left="660" w:top="1229" w:right="659" w:bottom="1440" w:gutter="0" w:footer="0" w:header="0"/>
          <w:type w:val="continuous"/>
        </w:sectPr>
      </w:pPr>
    </w:p>
    <w:bookmarkStart w:id="5" w:name="page6"/>
    <w:bookmarkEnd w:id="5"/>
    <w:p>
      <w:pPr>
        <w:jc w:val="both"/>
        <w:ind w:left="660" w:hanging="334"/>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790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902575"/>
                    </a:xfrm>
                    <a:prstGeom prst="rect">
                      <a:avLst/>
                    </a:prstGeom>
                    <a:noFill/>
                  </pic:spPr>
                </pic:pic>
              </a:graphicData>
            </a:graphic>
          </wp:anchor>
        </w:drawing>
        <w:t xml:space="preserve">Increasing surgeon activity </w:t>
      </w:r>
      <w:r>
        <w:rPr>
          <w:rFonts w:ascii="Arial" w:cs="Arial" w:eastAsia="Arial" w:hAnsi="Arial"/>
          <w:sz w:val="17"/>
          <w:szCs w:val="17"/>
          <w:color w:val="auto"/>
        </w:rPr>
        <w:t>- we grew our active surgeon base to 539 surgeons at the end of the year, compared to 450 active surgeons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end of 2018. We define an active surgeon to be a surgeon who has performed at least one case in the last three months. The increase in active surgeons is primarily due to training of additional surgeons throughout the year. We have approximately 100 surgeon trainer consultants who train new surgeons, focusing on diagnosis and treatment. Approximately 1,400 surgeons in the United States have been trained on iFuse and have treated at least one patient. We will continue to pursue the remainder of the approximately 7,500 target surgeons in the United States for training in the future.</w:t>
      </w:r>
    </w:p>
    <w:p>
      <w:pPr>
        <w:spacing w:after="0" w:line="119" w:lineRule="exact"/>
        <w:rPr>
          <w:rFonts w:ascii="Arial" w:cs="Arial" w:eastAsia="Arial" w:hAnsi="Arial"/>
          <w:sz w:val="17"/>
          <w:szCs w:val="17"/>
          <w:color w:val="auto"/>
        </w:rPr>
      </w:pPr>
    </w:p>
    <w:p>
      <w:pPr>
        <w:jc w:val="both"/>
        <w:ind w:left="660" w:hanging="334"/>
        <w:spacing w:after="0" w:line="288"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Engaging key opinion leaders </w:t>
      </w:r>
      <w:r>
        <w:rPr>
          <w:rFonts w:ascii="Arial" w:cs="Arial" w:eastAsia="Arial" w:hAnsi="Arial"/>
          <w:sz w:val="16"/>
          <w:szCs w:val="16"/>
          <w:color w:val="auto"/>
        </w:rPr>
        <w:t>- we conducted training courses in over 30 academic centers in the United States in 2019. We are seeing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and is used to increase stability at the base of a long construct. Biomechanical data shows that the Bedrock technique reduces sacroiliac joint motion by approximately 30% in conjunction with a long construct. Interest in the Bedrock technique has enabled our field sales representatives to access leading spine surgeons at important academic medical centers in the United States, our representatives are often then able to train a broader group of spine surgeons, often including residents and fellows in training at the centers, on both the Bedrock technique and minimally invasive sacroiliac fusion. We recently received CE mark clearance for the promotion of the Bedrock technique in Europe and we are now in the process of launching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w:t>
      </w:r>
    </w:p>
    <w:p>
      <w:pPr>
        <w:spacing w:after="0" w:line="114"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In 2017 and 2018, we generated revenue of $48.0 million and $55.4 million, respectively, a growth rate of 15%, and incurred net losses of $23.0 million and $17.4 million, respectively. Our gross margins were 89% and 91% for 2017 and 2018, respectively. For the nine months ended September 30, 2018 and 2019, we generated revenue of $39.8 million and $47.5 million, respectively, a growth rate of 19%, and incurred net losses of $12.1 million and $29.3 million, respectively. Our gross margins were 91% and 90% for the nine months ended September 30, 2018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The iFuse system includes a series of patented triangular titanium implants and the instruments we have developed to enable the procedure. The surgeon places our implants across the sacroiliac joint, either from a lateral approach through the iliac, or hip, bones into the sacrum, or from a posterior approach through the sacrum and into the iliac bone in the Bedrock technique. Surgeons typically use three iFuse implants to fuse a sacroiliac joint in the lateral procedure, and the Bedrock technique involves placement of one iFuse implant in each sacroiliac joint, alongside another device crossing the joint and joining to the spinal construct.</w:t>
      </w:r>
    </w:p>
    <w:p>
      <w:pPr>
        <w:spacing w:after="0" w:line="134"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Our iFuse Implants have a triangular cross section, which resists twisting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ingrowth, which results in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has at least three times the strength of a typical eight-millimeter surgical screw, and the larger porous surface area of our implants allows for bony ingrowth.</w:t>
      </w:r>
    </w:p>
    <w:p>
      <w:pPr>
        <w:spacing w:after="0" w:line="111"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w:t>
      </w:r>
    </w:p>
    <w:p>
      <w:pPr>
        <w:spacing w:after="0" w:line="13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April 2019, we received clearance from the U.S. Food and Drug Administration, or FDA, to promote the use of our iFuse system with the iFuse Bedrock procedure for fusion of the sacroiliac joint in conjunction with multi-level spinal fusion procedures to provide further stabilization and immobilization of the sacroiliac joint. We received CE marking and began marketing our iFuse system for the same indication in Europe in December 2019.</w:t>
      </w:r>
    </w:p>
    <w:p>
      <w:pPr>
        <w:spacing w:after="0" w:line="133"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United States, and with a combination of a direct sales force and distributors in other countries. The cost of an instrument set used in an iFuse procedure is approximately $8,000, which is less than the average total selling price of the three iFuse implants typically used in a minimally invasive sacroiliac fusion. An instrument set typically has a useful life of 3 years before the instruments are no longer reusable and in the nine months ended September 30, 2019, our gross margins were 90%, creating a capital efficient model.</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580"/>
          </w:cols>
          <w:pgMar w:left="660" w:top="1337" w:right="6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7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79765"/>
                    </a:xfrm>
                    <a:prstGeom prst="rect">
                      <a:avLst/>
                    </a:prstGeom>
                    <a:noFill/>
                  </pic:spPr>
                </pic:pic>
              </a:graphicData>
            </a:graphic>
          </wp:anchor>
        </w:drawing>
        <w:t>Our Strategy</w:t>
      </w:r>
    </w:p>
    <w:p>
      <w:pPr>
        <w:spacing w:after="0" w:line="175" w:lineRule="exact"/>
        <w:rPr>
          <w:sz w:val="20"/>
          <w:szCs w:val="20"/>
          <w:color w:val="auto"/>
        </w:rPr>
      </w:pPr>
    </w:p>
    <w:p>
      <w:pPr>
        <w:ind w:firstLine="297"/>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70" w:lineRule="exact"/>
        <w:rPr>
          <w:sz w:val="20"/>
          <w:szCs w:val="20"/>
          <w:color w:val="auto"/>
        </w:rPr>
      </w:pPr>
    </w:p>
    <w:p>
      <w:pPr>
        <w:ind w:left="660" w:right="20" w:hanging="334"/>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69" w:lineRule="exact"/>
        <w:rPr>
          <w:rFonts w:ascii="Arial" w:cs="Arial" w:eastAsia="Arial" w:hAnsi="Arial"/>
          <w:sz w:val="16"/>
          <w:szCs w:val="16"/>
          <w:color w:val="auto"/>
        </w:rPr>
      </w:pPr>
    </w:p>
    <w:p>
      <w:pPr>
        <w:jc w:val="both"/>
        <w:ind w:left="660" w:hanging="334"/>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North American Spine Society, or NASS, Congress of Neurologic Surgeons, or CNS, American Academy of Neurologic Surgeons, or AANS, International Society for Advancement of Spine Surgery, or ISASS, the Scoliosis Research Society, or SRS, and the American Academy of Orthopaedic Surgeons, or AAOS, to increase their education programs teaching the diagnosis of the sacroiliac joint as part of the differential diagnosis of lower back pain;</w:t>
      </w:r>
    </w:p>
    <w:p>
      <w:pPr>
        <w:spacing w:after="0" w:line="139"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71"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82" w:lineRule="exact"/>
        <w:rPr>
          <w:rFonts w:ascii="Arial" w:cs="Arial" w:eastAsia="Arial" w:hAnsi="Arial"/>
          <w:sz w:val="17"/>
          <w:szCs w:val="17"/>
          <w:color w:val="auto"/>
        </w:rPr>
      </w:pPr>
    </w:p>
    <w:p>
      <w:pPr>
        <w:jc w:val="both"/>
        <w:ind w:left="660" w:hanging="334"/>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surgical treatment of the sacropelvic anatomy, and obtain domestic and international regulatory clearance or approvals to market them in the United States and additional countries; and</w:t>
      </w:r>
    </w:p>
    <w:p>
      <w:pPr>
        <w:spacing w:after="0" w:line="127"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34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December 31, 2019, we had 262 employees, including a direct field sales organization of 107 in the United States and 19 in Europe. As of December 31, 2019, we had 50 issued patents throughout the world, of which 40 were in the United States, and 24 pending patent applications, of which 19 were in the United States. These patents and applications cover various aspects of the iFuse procedure, implants and instruments.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39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116" w:lineRule="exact"/>
        <w:rPr>
          <w:sz w:val="20"/>
          <w:szCs w:val="20"/>
          <w:color w:val="auto"/>
        </w:rPr>
      </w:pPr>
    </w:p>
    <w:p>
      <w:pPr>
        <w:ind w:left="660" w:right="2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16" w:lineRule="exact"/>
        <w:rPr>
          <w:rFonts w:ascii="Arial" w:cs="Arial" w:eastAsia="Arial" w:hAnsi="Arial"/>
          <w:sz w:val="18"/>
          <w:szCs w:val="18"/>
          <w:color w:val="auto"/>
        </w:rPr>
      </w:pPr>
    </w:p>
    <w:p>
      <w:pPr>
        <w:jc w:val="both"/>
        <w:ind w:left="660" w:right="20" w:hanging="33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12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116" w:lineRule="exact"/>
        <w:rPr>
          <w:rFonts w:ascii="Arial" w:cs="Arial" w:eastAsia="Arial" w:hAnsi="Arial"/>
          <w:sz w:val="18"/>
          <w:szCs w:val="18"/>
          <w:color w:val="auto"/>
        </w:rPr>
      </w:pPr>
    </w:p>
    <w:p>
      <w:pPr>
        <w:ind w:left="660" w:hanging="334"/>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clinical experience with our iFuse Bedrock procedure does not result in positive outcomes for patients or if clinical trials involving the use of iFuse Bedrock fail to show meaningful patient benefit, sales of our iFuse implants could be adversely impacted;</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580"/>
          </w:cols>
          <w:pgMar w:left="660" w:top="1337" w:right="659" w:bottom="1440" w:gutter="0" w:footer="0" w:header="0"/>
          <w:type w:val="continuous"/>
        </w:sectPr>
      </w:pPr>
    </w:p>
    <w:bookmarkStart w:id="7" w:name="page8"/>
    <w:bookmarkEnd w:id="7"/>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4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45475"/>
                    </a:xfrm>
                    <a:prstGeom prst="rect">
                      <a:avLst/>
                    </a:prstGeom>
                    <a:noFill/>
                  </pic:spPr>
                </pic:pic>
              </a:graphicData>
            </a:graphic>
          </wp:anchor>
        </w:drawing>
        <w:t>We currently manufacture and sell products primarily used in a single procedure, which could negatively affect our operations and financial condition;</w:t>
      </w:r>
    </w:p>
    <w:p>
      <w:pPr>
        <w:spacing w:after="0" w:line="116"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116"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391"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and therefore we have taken, and intend to continue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from our initial public offering, which occurred in October 2018,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91"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Set forth below are preliminary expectations for the three and twelve months ended December 31, 2019 compared to actual financial results for the three and twelve months ended December 31, 2018. We have provided a range for preliminary revenue results because our financial closing procedures for the three months ended December 31, 2019 are not yet complete. We believe that the estimated revenue is important to an investor’s understanding of our performance, notwithstanding that we are not yet able to provide estimated loss from operations or net loss data. These preliminary results represent our estimates only based on currently available information and do not present all necessary information for an understanding of our financial condition as of December 31, 2019 or our results of operations for the three and twelve months ended December 31, 2019. As we complete our year-end financial close process and finalize our audited financial statements for the twelve months ended December 31, 2019, we may be required to make significant judgments in a number of areas, including revenue, inventory and stock-based compensation.</w:t>
      </w:r>
    </w:p>
    <w:p>
      <w:pPr>
        <w:spacing w:after="0" w:line="143"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This preliminary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We expect to complete our audited financial statements for the twelve months ended December 31, 2019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year-end audited financial statements. Accordingly, undue reliance should not be placed on these preliminary estimates. These preliminary estimates are not necessarily indicative of any future period and should be read together with “Risk Factors” and “Special Note Regarding Forward-Looking Statements” included elsewhere in this prospectus supplement and accompanying prospectus.</w:t>
      </w:r>
    </w:p>
    <w:p>
      <w:pPr>
        <w:spacing w:after="0" w:line="113" w:lineRule="exact"/>
        <w:rPr>
          <w:sz w:val="20"/>
          <w:szCs w:val="20"/>
          <w:color w:val="auto"/>
        </w:rPr>
      </w:pPr>
    </w:p>
    <w:p>
      <w:pPr>
        <w:jc w:val="both"/>
        <w:ind w:firstLine="297"/>
        <w:spacing w:after="0" w:line="273" w:lineRule="auto"/>
        <w:rPr>
          <w:sz w:val="20"/>
          <w:szCs w:val="20"/>
          <w:color w:val="auto"/>
        </w:rPr>
      </w:pPr>
      <w:r>
        <w:rPr>
          <w:rFonts w:ascii="Arial" w:cs="Arial" w:eastAsia="Arial" w:hAnsi="Arial"/>
          <w:sz w:val="17"/>
          <w:szCs w:val="17"/>
          <w:color w:val="auto"/>
        </w:rPr>
        <w:t>Preliminary and unaudited revenue for the three months ended December 31, 2019 is expected to be in the range of $19.5-$19.8 million, reflecting growth of 25-27% compared to the prior year period. U.S. revenue is expected to be in the range of $18.3-$18.5 million, reflecting growth of 27-28% compared to the prior year period. International revenue is expected to be in the range of $1.2-$1.3 million. Preliminary and unaudited revenue for the year ended December 31, 2019 is expected to be in the range of $67.0-$67.3 million, reflecting growth of approximately 21% over the prior year period. U.S. revenue is expected to be in the range of $61.6-$61.8 million, reflecting growth of approximately 23% compared to the prior year period. International revenue is expected to be in the range of $5.4-$5.5 million.</w:t>
      </w:r>
    </w:p>
    <w:p>
      <w:pPr>
        <w:sectPr>
          <w:pgSz w:w="11900" w:h="16838" w:orient="portrait"/>
          <w:cols w:equalWidth="0" w:num="1">
            <w:col w:w="10580"/>
          </w:cols>
          <w:pgMar w:left="660" w:top="1341" w:right="6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580"/>
          </w:cols>
          <w:pgMar w:left="660" w:top="1341" w:right="659" w:bottom="1440" w:gutter="0" w:footer="0" w:header="0"/>
          <w:type w:val="continuous"/>
        </w:sectPr>
      </w:pPr>
    </w:p>
    <w:bookmarkStart w:id="8" w:name="page9"/>
    <w:bookmarkEnd w:id="8"/>
    <w:p>
      <w:pPr>
        <w:jc w:val="both"/>
        <w:ind w:firstLine="297"/>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9737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9737725"/>
                    </a:xfrm>
                    <a:prstGeom prst="rect">
                      <a:avLst/>
                    </a:prstGeom>
                    <a:noFill/>
                  </pic:spPr>
                </pic:pic>
              </a:graphicData>
            </a:graphic>
          </wp:anchor>
        </w:drawing>
        <w:t>For the three months ended December 31, 2019, we expect to report incremental investment in several expense items that are not comparable to the three months ended December 31, 2018. Cost of goods sold is expected to increase above revenue growth due to additional investment in operations personnel to support our business, resulting in a decrease in our gross margin. Operating expenses include additional investments in sales force hiring, new surgeon training, new product development, higher stock compensation expenses and ongoing costs associated with being a public company. We also anticipate that we will recognize a loss reserve of $0.7 million during the three months ended December 31, 2019, which reflects the additional estimable costs the company may incur from settlement of litigation related to certain marketing practices. As a result, we expect our loss from operations for the three and twelve months ended December 31, 2019 to be higher than the three and twelve months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39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spacing w:after="0" w:line="3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32"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2,490,053 shares.</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the selling stockholders</w:t>
      </w:r>
      <w:r>
        <w:rPr>
          <w:sz w:val="20"/>
          <w:szCs w:val="20"/>
          <w:color w:val="auto"/>
        </w:rPr>
        <w:tab/>
      </w:r>
      <w:r>
        <w:rPr>
          <w:rFonts w:ascii="Arial" w:cs="Arial" w:eastAsia="Arial" w:hAnsi="Arial"/>
          <w:sz w:val="16"/>
          <w:szCs w:val="16"/>
          <w:color w:val="auto"/>
        </w:rPr>
        <w:t>1,809,947 shares of common stock.</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to be outstanding immediately after this</w:t>
      </w:r>
      <w:r>
        <w:rPr>
          <w:sz w:val="20"/>
          <w:szCs w:val="20"/>
          <w:color w:val="auto"/>
        </w:rPr>
        <w:tab/>
      </w:r>
      <w:r>
        <w:rPr>
          <w:rFonts w:ascii="Arial" w:cs="Arial" w:eastAsia="Arial" w:hAnsi="Arial"/>
          <w:sz w:val="16"/>
          <w:szCs w:val="16"/>
          <w:color w:val="auto"/>
        </w:rPr>
        <w:t>27,455,565 shares of common stock (or 28,100,565 shares if the underwriters</w:t>
      </w:r>
    </w:p>
    <w:p>
      <w:pPr>
        <w:spacing w:after="0" w:line="23"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6"/>
          <w:szCs w:val="16"/>
          <w:color w:val="auto"/>
        </w:rPr>
        <w:t>offering</w:t>
      </w:r>
      <w:r>
        <w:rPr>
          <w:sz w:val="20"/>
          <w:szCs w:val="20"/>
          <w:color w:val="auto"/>
        </w:rPr>
        <w:tab/>
      </w:r>
      <w:r>
        <w:rPr>
          <w:rFonts w:ascii="Arial" w:cs="Arial" w:eastAsia="Arial" w:hAnsi="Arial"/>
          <w:sz w:val="16"/>
          <w:szCs w:val="16"/>
          <w:color w:val="auto"/>
        </w:rPr>
        <w:t>exercise in full their option to purchase additional shares of common stock from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us).</w:t>
      </w:r>
    </w:p>
    <w:p>
      <w:pPr>
        <w:spacing w:after="0" w:line="319"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Option to purchase additional common stock</w:t>
      </w:r>
      <w:r>
        <w:rPr>
          <w:sz w:val="20"/>
          <w:szCs w:val="20"/>
          <w:color w:val="auto"/>
        </w:rPr>
        <w:tab/>
      </w:r>
      <w:r>
        <w:rPr>
          <w:rFonts w:ascii="Arial" w:cs="Arial" w:eastAsia="Arial" w:hAnsi="Arial"/>
          <w:sz w:val="17"/>
          <w:szCs w:val="17"/>
          <w:color w:val="auto"/>
        </w:rPr>
        <w:t>We have granted the underwriters an option for a period of 30 days from the</w:t>
      </w:r>
    </w:p>
    <w:p>
      <w:pPr>
        <w:spacing w:after="0" w:line="23" w:lineRule="exact"/>
        <w:rPr>
          <w:sz w:val="20"/>
          <w:szCs w:val="20"/>
          <w:color w:val="auto"/>
        </w:rPr>
      </w:pPr>
    </w:p>
    <w:p>
      <w:pPr>
        <w:ind w:left="4700" w:right="80"/>
        <w:spacing w:after="0" w:line="261" w:lineRule="auto"/>
        <w:rPr>
          <w:sz w:val="20"/>
          <w:szCs w:val="20"/>
          <w:color w:val="auto"/>
        </w:rPr>
      </w:pPr>
      <w:r>
        <w:rPr>
          <w:rFonts w:ascii="Arial" w:cs="Arial" w:eastAsia="Arial" w:hAnsi="Arial"/>
          <w:sz w:val="18"/>
          <w:szCs w:val="18"/>
          <w:color w:val="auto"/>
        </w:rPr>
        <w:t>date of this prospectus supplement to purchase up to 645,000 of additional shares of common stock.</w:t>
      </w:r>
    </w:p>
    <w:p>
      <w:pPr>
        <w:spacing w:after="0" w:line="197"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to us from this offering, after deducting</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estimated underwriting discounts and commissions and estimated offering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expenses payable by us, will be $50.3 million (or $63.5 million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underwriters exercise in full their option to purchase additional shares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common stock from us). We will not receive any net proceeds from this offering</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from the sales of common stock by the selling stockholders.</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We currently intend to use the net proceeds from this offering to support the</w:t>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continued commercial expansion of our iFuse system, sales and marketing,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surgeon training and clinical studies, as well as working capital and general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corporate purposes. We may also use a portion of our net proceeds to acquire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invest in complementary products, technologies, or businesses; however, we</w:t>
      </w:r>
    </w:p>
    <w:p>
      <w:pPr>
        <w:spacing w:after="0" w:line="21" w:lineRule="exact"/>
        <w:rPr>
          <w:sz w:val="20"/>
          <w:szCs w:val="20"/>
          <w:color w:val="auto"/>
        </w:rPr>
      </w:pPr>
    </w:p>
    <w:p>
      <w:pPr>
        <w:ind w:left="4700"/>
        <w:spacing w:after="0"/>
        <w:tabs>
          <w:tab w:leader="none" w:pos="5480" w:val="left"/>
          <w:tab w:leader="none" w:pos="5960" w:val="left"/>
          <w:tab w:leader="none" w:pos="6280" w:val="left"/>
          <w:tab w:leader="none" w:pos="7240" w:val="left"/>
          <w:tab w:leader="none" w:pos="7540" w:val="left"/>
          <w:tab w:leader="none" w:pos="8660" w:val="left"/>
          <w:tab w:leader="none" w:pos="8940" w:val="left"/>
          <w:tab w:leader="none" w:pos="9760" w:val="left"/>
          <w:tab w:leader="none" w:pos="10160" w:val="left"/>
        </w:tabs>
        <w:rPr>
          <w:sz w:val="20"/>
          <w:szCs w:val="20"/>
          <w:color w:val="auto"/>
        </w:rPr>
      </w:pPr>
      <w:r>
        <w:rPr>
          <w:rFonts w:ascii="Arial" w:cs="Arial" w:eastAsia="Arial" w:hAnsi="Arial"/>
          <w:sz w:val="18"/>
          <w:szCs w:val="18"/>
          <w:color w:val="auto"/>
        </w:rPr>
        <w:t>currently</w:t>
        <w:tab/>
        <w:t>have</w:t>
        <w:tab/>
        <w:t>no</w:t>
        <w:tab/>
        <w:t>agreements</w:t>
        <w:tab/>
        <w:t>or</w:t>
        <w:tab/>
        <w:t>commitments</w:t>
        <w:tab/>
        <w:t>to</w:t>
        <w:tab/>
        <w:t>complete</w:t>
        <w:tab/>
        <w:t>any</w:t>
      </w:r>
      <w:r>
        <w:rPr>
          <w:sz w:val="20"/>
          <w:szCs w:val="20"/>
          <w:color w:val="auto"/>
        </w:rPr>
        <w:tab/>
      </w:r>
      <w:r>
        <w:rPr>
          <w:rFonts w:ascii="Arial" w:cs="Arial" w:eastAsia="Arial" w:hAnsi="Arial"/>
          <w:sz w:val="15"/>
          <w:szCs w:val="15"/>
          <w:color w:val="auto"/>
        </w:rPr>
        <w:t>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transactions.  See  “Use  of  Proceeds”  on  page  S-10  of  this  prospectus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supplement.</w:t>
      </w: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the other information included in this prospectus</w:t>
      </w:r>
    </w:p>
    <w:p>
      <w:pPr>
        <w:spacing w:after="0" w:line="23" w:lineRule="exact"/>
        <w:rPr>
          <w:sz w:val="20"/>
          <w:szCs w:val="20"/>
          <w:color w:val="auto"/>
        </w:rPr>
      </w:pPr>
    </w:p>
    <w:p>
      <w:pPr>
        <w:ind w:left="4700" w:right="100"/>
        <w:spacing w:after="0" w:line="290" w:lineRule="auto"/>
        <w:rPr>
          <w:sz w:val="20"/>
          <w:szCs w:val="20"/>
          <w:color w:val="auto"/>
        </w:rPr>
      </w:pPr>
      <w:r>
        <w:rPr>
          <w:rFonts w:ascii="Arial" w:cs="Arial" w:eastAsia="Arial" w:hAnsi="Arial"/>
          <w:sz w:val="17"/>
          <w:szCs w:val="17"/>
          <w:color w:val="auto"/>
        </w:rPr>
        <w:t>supplement and accompanying prospectus for a discussion of factors you should consider carefully before deciding to invest in our common stock.</w:t>
      </w:r>
    </w:p>
    <w:p>
      <w:pPr>
        <w:spacing w:after="0" w:line="17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Nasdaq Global Market trading symbol</w:t>
      </w:r>
      <w:r>
        <w:rPr>
          <w:sz w:val="20"/>
          <w:szCs w:val="20"/>
          <w:color w:val="auto"/>
        </w:rPr>
        <w:tab/>
      </w:r>
      <w:r>
        <w:rPr>
          <w:rFonts w:ascii="Arial" w:cs="Arial" w:eastAsia="Arial" w:hAnsi="Arial"/>
          <w:sz w:val="18"/>
          <w:szCs w:val="18"/>
          <w:color w:val="auto"/>
        </w:rPr>
        <w:t>“SIBN”.</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118,122 shares of common stock underlying warrants outstanding at a weighted average exercise price of $13.76 per share; and</w:t>
      </w:r>
    </w:p>
    <w:p>
      <w:pPr>
        <w:sectPr>
          <w:pgSz w:w="11900" w:h="16838" w:orient="portrait"/>
          <w:cols w:equalWidth="0" w:num="1">
            <w:col w:w="10580"/>
          </w:cols>
          <w:pgMar w:left="660" w:top="1341" w:right="6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580"/>
          </w:cols>
          <w:pgMar w:left="660" w:top="1341" w:right="659" w:bottom="0" w:gutter="0" w:footer="0" w:header="0"/>
          <w:type w:val="continuous"/>
        </w:sectPr>
      </w:pPr>
    </w:p>
    <w:bookmarkStart w:id="9" w:name="page10"/>
    <w:bookmarkEnd w:id="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660" w:right="220" w:hanging="33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2602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602865"/>
                    </a:xfrm>
                    <a:prstGeom prst="rect">
                      <a:avLst/>
                    </a:prstGeom>
                    <a:noFill/>
                  </pic:spPr>
                </pic:pic>
              </a:graphicData>
            </a:graphic>
          </wp:anchor>
        </w:drawing>
        <w:t>3,230,172 shares of common stock available for future grant under our equity incentive plans, including our employee stock purchase plan.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January 1, 2020, an additional 1,509,828 shares of common stock were added to our equity incentive plans, including our employee stock purchase plan, as a result of the evergreen provisions of these plans.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333" w:lineRule="exact"/>
        <w:rPr>
          <w:sz w:val="20"/>
          <w:szCs w:val="20"/>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and warrants;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vesting of outstanding restricted stock units;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500"/>
          </w:cols>
          <w:pgMar w:left="660" w:top="1287"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described below and the risk factors incorporated by reference from our Quarterly Report on Form 10-Q for the quarterly period ended September 30, 2019,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 and we may not use the proceeds effectively.</w:t>
      </w:r>
    </w:p>
    <w:p>
      <w:pPr>
        <w:spacing w:after="0" w:line="3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experience immediate dilution in your investment. You will experience further dilution if we issue additional equity securities in future fundraising transactions.</w:t>
      </w:r>
    </w:p>
    <w:p>
      <w:pPr>
        <w:spacing w:after="0" w:line="2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Purchasers of common stock in this offering will pay a price per share in this offering that exceeds the net tangible book value per share of our common stock. Assuming that an aggregate of 2,490,053 shares of common stock are sold by us at a public offering price of $21.76 per share, the last reported sale price of our common shares on the Nasdaq Global Market on January 17, 2020, for aggregate net proceeds to us of approximately $50.3 million and after deducting underwriting discounts and commissions and estimated offering expenses payable by us, if you purchase shares of our common stock in this offering, you will experience immediate dilution of $17.42 per share, representing the difference between the assumed public offering price and our as adjusted net tangible book value per share as of September 30, 2019, after giving effect to this offering. See the section below titled “Dilution” for a more detailed illustration of the dilution you would incur if you purchase common stock in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further dilution if we issue additional equity securities in future fundraising transactions.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and restricted stock units outstanding. The exercise of outstanding stock options or vesting of restricted stock units may result in further dilution of your investment.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common stock for a price greater than that which you paid for 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other such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810"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36" w:lineRule="exact"/>
        <w:rPr>
          <w:rFonts w:ascii="Arial" w:cs="Arial" w:eastAsia="Arial" w:hAnsi="Arial"/>
          <w:sz w:val="17"/>
          <w:szCs w:val="17"/>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60" w:top="931" w:right="239" w:bottom="1440" w:gutter="0" w:footer="0" w:header="0"/>
        </w:sectPr>
      </w:pPr>
    </w:p>
    <w:bookmarkStart w:id="13" w:name="page14"/>
    <w:bookmarkEnd w:id="13"/>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September 30, 2019,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97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from the sale of common stock by us in this offering of approximately $50.3 million, after deducting underwriting discounts and commissions and estimated offering expenses payable by us. If the underwriters exercise in full their option to purchase additional common stock from us, we estimate that the net proceeds to us will be approximately $63.5 million, after deducting underwriting discounts and commissions and estimated offering expenses payable by us. We will not receive any net proceeds from this offering from the sales of common stock by the selling stockholders.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$0.50 increase (decrease) in the assumed public offering price of $21.76 per share of common stock, which was the last reported sale price of our common stock on the Nasdaq Global Market on January 17, 2020, would increase (decrease) the net proceeds to us from this offering by approximately $1.2 million, assuming that the assumed number of shares of common stock offered by us remains the same, and after deducting underwriting discounts and commissions and estimated offering expenses payable by us. Each increase (decrease) of 100,000 shares of common stock in the number of shares of common stock offered by us would increase (decrease) the net proceeds to us from this offering by approximately $2.0 million, assuming that the assumed public offering price remains the same, and after deducting underwriting discounts and commissions and estimated offering expenses payable by us.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intend to use the net proceeds from this offering to support the continued commercial expansion of our iFuse system, sales and marketing, surgeon training and clinical studies, as well as working capital and general corporate purposes. We may also use a portion of our net proceeds to acquire or invest in complementary products, technologies, or businesses; however, we currently have no agreements or commitments to complete any such transactions.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76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September 30, 2019:</w:t>
      </w:r>
    </w:p>
    <w:p>
      <w:pPr>
        <w:spacing w:after="0" w:line="25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us of 2,490,053 shares of our common stock in this offering at an assumed public offering price of $21.76 per share, the closing price of our common stock on the Nasdaq Global Market Exchange on January 17, 2020 (assuming no exercise of the underwriters' option to purchase additional shares from us), after deducting the underwriting discount and estimated offering expenses payable by us as described under "Use of Proceeds."</w:t>
      </w:r>
    </w:p>
    <w:p>
      <w:pPr>
        <w:spacing w:after="0" w:line="18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2018, and (b) our condensed consolidated financial statements, including the related notes, and "Management's Discussion and Analysis of Financial Condition and Results of Operations" from our Quarterly Report on Form 10-Q for the quarterly period ended September 30, 2019, which are incorporated by reference into this prospectus supplement and accompanying prospectus.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9"/>
              </w:rPr>
              <w:t>As of September 30, 2019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 xml:space="preserve">Adjusted </w:t>
            </w: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101,496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151,829</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Preferred stock, $0.0001 par value, 5,000,000 shares authorized; 0 shares issued and outstanding, actual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as 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24,965,512 shares issued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outstanding, actual, 27,455,565 shares issued and outstanding as adjusted</w:t>
            </w:r>
          </w:p>
        </w:tc>
        <w:tc>
          <w:tcPr>
            <w:tcW w:w="2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254,965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305,298</w:t>
            </w:r>
          </w:p>
        </w:tc>
        <w:tc>
          <w:tcPr>
            <w:tcW w:w="0" w:type="dxa"/>
            <w:vAlign w:val="bottom"/>
          </w:tcPr>
          <w:p>
            <w:pPr>
              <w:spacing w:after="0"/>
              <w:rPr>
                <w:sz w:val="1"/>
                <w:szCs w:val="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0" w:type="dxa"/>
            <w:vAlign w:val="bottom"/>
          </w:tcPr>
          <w:p>
            <w:pPr>
              <w:spacing w:after="0"/>
              <w:rPr>
                <w:sz w:val="1"/>
                <w:szCs w:val="1"/>
                <w:color w:val="auto"/>
              </w:rPr>
            </w:pPr>
          </w:p>
        </w:tc>
      </w:tr>
      <w:tr>
        <w:trPr>
          <w:trHeight w:val="237"/>
        </w:trPr>
        <w:tc>
          <w:tcPr>
            <w:tcW w:w="81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119,294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119,294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91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0" w:lineRule="exact"/>
        <w:rPr>
          <w:sz w:val="20"/>
          <w:szCs w:val="20"/>
          <w:color w:val="auto"/>
        </w:rPr>
      </w:pPr>
    </w:p>
    <w:p>
      <w:pPr>
        <w:jc w:val="both"/>
        <w:ind w:left="340" w:hanging="332"/>
        <w:spacing w:after="0" w:line="25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$0.50 increase (decrease) in the assumed public offering price of $21.76 per share, the closing price of our common stock on the Nasdaq Global Market on January 17, 2020, would increase (decrease) our cash, cash equivalents and investments, total stockholders’ equity and total capitalization by approximately $1.2 million, assuming that the assumed number of shares of our common stock offered by us remains the same and after deducting the underwriting discount and offering expenses payable by us. Each increase (decrease) of 100,000 shares in the assumed number of shares offered by us in this public offering would increase (decrease) the amount of our cash, cash equivalents and short term investments, total stockholders’ equity and total capitalization by approximately $2.0 million, assuming the assumed public offering price of $21.76 per share, the closing price of our common stock on the Nasdaq Global Market Exchange on January 17, 2020, remains the same, after deducting the underwriting discount and offering expenses payable by us.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81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and the adjusted net tangible book value per share of our common stock after this offering. Net tangible book value on September 30, 2019, was approximately $68.9 million, or $2.76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of 2,490,053 shares of our common stock in this offering at the assumed public offering price of $21.76 per share, the closing price of our common stock on the Nasdaq Global Market on January 17, 2020, after deducting the underwriting discount and estimated offering expenses payable by us. Our as adjusted net tangible book value as of September 30, 2019, after giving effect to this offering as described above, would have been approximately $119.3 million, or $4.34 per share of common stock. This represents an immediate increase in net tangible book value of $1.58 per share to our existing stockholders and an immediate dilution in net tangible book value of $17.42 per share to investors participating in this offering. The following table illustrates this dilution per share to investors participating in this offering:</w:t>
      </w:r>
    </w:p>
    <w:p>
      <w:pPr>
        <w:spacing w:after="0" w:line="200" w:lineRule="exact"/>
        <w:rPr>
          <w:sz w:val="20"/>
          <w:szCs w:val="20"/>
          <w:color w:val="auto"/>
        </w:rPr>
      </w:pPr>
    </w:p>
    <w:p>
      <w:pPr>
        <w:spacing w:after="0" w:line="384"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September 30, 2019</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$2.76</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new investors in offering</w:t>
            </w:r>
          </w:p>
        </w:tc>
        <w:tc>
          <w:tcPr>
            <w:tcW w:w="29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$1.58</w:t>
            </w:r>
          </w:p>
        </w:tc>
      </w:tr>
      <w:tr>
        <w:trPr>
          <w:trHeight w:val="513"/>
        </w:trPr>
        <w:tc>
          <w:tcPr>
            <w:tcW w:w="760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$4.34</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r>
      <w:tr>
        <w:trPr>
          <w:trHeight w:val="27"/>
        </w:trPr>
        <w:tc>
          <w:tcPr>
            <w:tcW w:w="76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If the underwriters’ option to purchase additional shares in this offering from us is exercised in full, the as adjusted net tangible book value would be $4.71 per share, and the dilution to new investors participating in this offering would be $17.05 per share.</w:t>
      </w:r>
    </w:p>
    <w:p>
      <w:pPr>
        <w:spacing w:after="0" w:line="170"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7"/>
          <w:szCs w:val="17"/>
          <w:color w:val="auto"/>
        </w:rPr>
        <w:t>Each $0.50 increase (decrease) in the assumed public offering price of $21.76 per share, the closing price of our common stock on the Nasdaq Global Market on January 17, 2020, would increase (decrease) our as adjusted net tangible book value by approximately $1.2 million, or $0.04 per share, and dilution to new investors by $0.46 per share, assuming or that the assumed number of shares of our common stock offered by us in this offering remains the same and after deducting the underwriting discount and offering expenses payable by us. Each increase (decrease) of 100,000 shares in the number of shares offered by us in this offering would increase (decrease) the amount of our as adjusted net tangible book value by approximately $2.0 million, or $0.06 per share, and decrease (increase) dilution to new investors by $0.06 per share, assuming the assumed public offering price of $21.76 per share remains the same, after deducting the underwriting discount and offering expenses payable by us.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2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97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information regarding the number of shares of our common stock as of January 15, 2020, held for the account of, and the numbers of shares being sold, by the selling stockholders. Percentage ownership is based on 25,217,923 shares of our common stock outstanding on January 15, 2020.</w:t>
      </w:r>
    </w:p>
    <w:p>
      <w:pPr>
        <w:spacing w:after="0" w:line="36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18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 Being</w:t>
            </w: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5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Selling Stockholder</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Offered</w:t>
            </w:r>
          </w:p>
        </w:tc>
        <w:tc>
          <w:tcPr>
            <w:tcW w:w="13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3,819,985</w:t>
            </w:r>
          </w:p>
        </w:tc>
        <w:tc>
          <w:tcPr>
            <w:tcW w:w="1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1,000,000</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2,819,985</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r>
        <w:trPr>
          <w:trHeight w:val="493"/>
        </w:trPr>
        <w:tc>
          <w:tcPr>
            <w:tcW w:w="3280" w:type="dxa"/>
            <w:vAlign w:val="bottom"/>
          </w:tcPr>
          <w:p>
            <w:pPr>
              <w:ind w:left="260"/>
              <w:spacing w:after="0"/>
              <w:rPr>
                <w:sz w:val="20"/>
                <w:szCs w:val="20"/>
                <w:color w:val="auto"/>
              </w:rPr>
            </w:pPr>
            <w:r>
              <w:rPr>
                <w:rFonts w:ascii="Arial" w:cs="Arial" w:eastAsia="Arial" w:hAnsi="Arial"/>
                <w:sz w:val="18"/>
                <w:szCs w:val="18"/>
                <w:color w:val="auto"/>
              </w:rPr>
              <w:t>Montreux Equity Partners IV, L.P.</w:t>
            </w:r>
          </w:p>
        </w:tc>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89"/>
              </w:rPr>
              <w:t>649,947</w:t>
            </w:r>
          </w:p>
        </w:tc>
        <w:tc>
          <w:tcPr>
            <w:tcW w:w="14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649,947</w:t>
            </w:r>
          </w:p>
        </w:tc>
        <w:tc>
          <w:tcPr>
            <w:tcW w:w="1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3280" w:type="dxa"/>
            <w:vAlign w:val="bottom"/>
            <w:vMerge w:val="restart"/>
          </w:tcPr>
          <w:p>
            <w:pPr>
              <w:ind w:left="260"/>
              <w:spacing w:after="0"/>
              <w:rPr>
                <w:sz w:val="20"/>
                <w:szCs w:val="20"/>
                <w:color w:val="auto"/>
              </w:rPr>
            </w:pPr>
            <w:r>
              <w:rPr>
                <w:rFonts w:ascii="Arial" w:cs="Arial" w:eastAsia="Arial" w:hAnsi="Arial"/>
                <w:sz w:val="9"/>
                <w:szCs w:val="9"/>
                <w:color w:val="auto"/>
              </w:rPr>
              <w:t>(2)</w:t>
            </w:r>
          </w:p>
        </w:tc>
        <w:tc>
          <w:tcPr>
            <w:tcW w:w="208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280" w:type="dxa"/>
            <w:vAlign w:val="bottom"/>
            <w:vMerge w:val="continue"/>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3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2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1,695,361</w:t>
            </w:r>
          </w:p>
        </w:tc>
        <w:tc>
          <w:tcPr>
            <w:tcW w:w="1400" w:type="dxa"/>
            <w:vAlign w:val="bottom"/>
            <w:gridSpan w:val="2"/>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89"/>
              </w:rPr>
              <w:t>160,000</w:t>
            </w:r>
          </w:p>
        </w:tc>
        <w:tc>
          <w:tcPr>
            <w:tcW w:w="1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1,535,361</w:t>
            </w:r>
          </w:p>
        </w:tc>
        <w:tc>
          <w:tcPr>
            <w:tcW w:w="28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70"/>
        </w:trPr>
        <w:tc>
          <w:tcPr>
            <w:tcW w:w="3280" w:type="dxa"/>
            <w:vAlign w:val="bottom"/>
            <w:shd w:val="clear" w:color="auto" w:fill="CCEEFF"/>
          </w:tcPr>
          <w:p>
            <w:pPr>
              <w:spacing w:after="0"/>
              <w:rPr>
                <w:sz w:val="6"/>
                <w:szCs w:val="6"/>
                <w:color w:val="auto"/>
              </w:rPr>
            </w:pPr>
          </w:p>
        </w:tc>
        <w:tc>
          <w:tcPr>
            <w:tcW w:w="208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91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Less than 1%.</w:t>
      </w:r>
    </w:p>
    <w:p>
      <w:pPr>
        <w:spacing w:after="0" w:line="59" w:lineRule="exact"/>
        <w:rPr>
          <w:sz w:val="20"/>
          <w:szCs w:val="20"/>
          <w:color w:val="auto"/>
        </w:rPr>
      </w:pPr>
    </w:p>
    <w:p>
      <w:pPr>
        <w:ind w:left="660" w:right="2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Consists solely of shares held by Montreux Equity Partners IV, L.P. and not shares owned by other entities affiliated with Montreux Equity Partners IV, L.P.</w:t>
      </w:r>
    </w:p>
    <w:p>
      <w:pPr>
        <w:spacing w:after="0" w:line="70"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February and March 2017, we issued and sold an aggregate of 540,874 shares of Series 7 preferred stock at a purchase price of $10.03 per share for an aggregate purchase price of $5,426,717.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purchases of shares of Series 7 preferred stock in 2017 by the selling stockholders.</w:t>
      </w:r>
    </w:p>
    <w:p>
      <w:pPr>
        <w:spacing w:after="0" w:line="200" w:lineRule="exact"/>
        <w:rPr>
          <w:sz w:val="20"/>
          <w:szCs w:val="20"/>
          <w:color w:val="auto"/>
        </w:rPr>
      </w:pP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2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Shares of Series 7 Preferred Stock</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Purchaser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Aggregate Gross</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8"/>
                <w:szCs w:val="18"/>
                <w:color w:val="auto"/>
              </w:rPr>
            </w:pPr>
          </w:p>
        </w:tc>
        <w:tc>
          <w:tcPr>
            <w:tcW w:w="1340" w:type="dxa"/>
            <w:vAlign w:val="bottom"/>
          </w:tcPr>
          <w:p>
            <w:pPr>
              <w:jc w:val="right"/>
              <w:ind w:right="173"/>
              <w:spacing w:after="0"/>
              <w:rPr>
                <w:sz w:val="20"/>
                <w:szCs w:val="20"/>
                <w:color w:val="auto"/>
              </w:rPr>
            </w:pPr>
            <w:r>
              <w:rPr>
                <w:rFonts w:ascii="Arial" w:cs="Arial" w:eastAsia="Arial" w:hAnsi="Arial"/>
                <w:sz w:val="16"/>
                <w:szCs w:val="16"/>
                <w:b w:val="1"/>
                <w:bCs w:val="1"/>
                <w:color w:val="auto"/>
                <w:w w:val="98"/>
              </w:rPr>
              <w:t>Consideration</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1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398,676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8"/>
                <w:szCs w:val="18"/>
                <w:color w:val="auto"/>
                <w:vertAlign w:val="superscript"/>
              </w:rPr>
              <w:t>(2)</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199,338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7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1,495,036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64"/>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2,433,907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24,450,000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right="2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(a) 27,409 shares of Series 7 preferred stock purchased by Montreux Equity Partners IV, L.P. and (b) 171,929 shares of Series 7 preferred stock purchased by Montreux IV Associates IV, L.L.C.</w:t>
      </w:r>
    </w:p>
    <w:p>
      <w:pPr>
        <w:spacing w:after="0" w:line="10"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ectPr>
          <w:pgSz w:w="11900" w:h="16838" w:orient="portrait"/>
          <w:cols w:equalWidth="0" w:num="1">
            <w:col w:w="11420"/>
          </w:cols>
          <w:pgMar w:left="240" w:top="1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420"/>
          </w:cols>
          <w:pgMar w:left="240" w:top="113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3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3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for U.S. federal income tax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 compensatory option or otherwise as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have elected to or are required to mark securities to market;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20"/>
          </w:cols>
          <w:pgMar w:left="240" w:top="918" w:right="239" w:bottom="1440" w:gutter="0" w:footer="0" w:header="0"/>
          <w:type w:val="continuous"/>
        </w:sectPr>
      </w:pPr>
    </w:p>
    <w:bookmarkStart w:id="19" w:name="page20"/>
    <w:bookmarkEnd w:id="19"/>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3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3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3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3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3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3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20"/>
          </w:cols>
          <w:pgMar w:left="240" w:top="91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3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333" w:lineRule="exact"/>
        <w:rPr>
          <w:sz w:val="20"/>
          <w:szCs w:val="20"/>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3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common stock paid to such holder, the name and address of the recipient,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Dividends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holder is a U.S. person who is not an exempt recipient.</w:t>
      </w:r>
    </w:p>
    <w:p>
      <w:pPr>
        <w:spacing w:after="0" w:line="3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91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Foreign Accounts</w:t>
      </w:r>
    </w:p>
    <w:p>
      <w:pPr>
        <w:spacing w:after="0" w:line="3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including dividends on, and, subject to the discussion of certain proposed Treasury Regulations below, gross proceeds from the sale or disposition of,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including dividends on, and, subject to the discussion of certain proposed Treasury Regulations below, gross proceeds from the sale or disposition of,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spacing w:after="0" w:line="3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spacing w:after="0" w:line="339" w:lineRule="exact"/>
        <w:rPr>
          <w:sz w:val="20"/>
          <w:szCs w:val="20"/>
          <w:color w:val="auto"/>
        </w:rPr>
      </w:pPr>
    </w:p>
    <w:p>
      <w:pPr>
        <w:jc w:val="both"/>
        <w:ind w:right="480" w:firstLine="446"/>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91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and the selling stockholders have agreed to sell to the underwriters, severally and not jointly, the number of shares indicated below:</w:t>
      </w:r>
    </w:p>
    <w:p>
      <w:pPr>
        <w:spacing w:after="0" w:line="357"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6040" w:type="dxa"/>
            <w:vAlign w:val="bottom"/>
            <w:gridSpan w:val="2"/>
          </w:tcPr>
          <w:p>
            <w:pPr>
              <w:ind w:left="2660"/>
              <w:spacing w:after="0"/>
              <w:rPr>
                <w:sz w:val="20"/>
                <w:szCs w:val="20"/>
                <w:color w:val="auto"/>
              </w:rPr>
            </w:pPr>
            <w:r>
              <w:rPr>
                <w:rFonts w:ascii="Arial" w:cs="Arial" w:eastAsia="Arial" w:hAnsi="Arial"/>
                <w:sz w:val="16"/>
                <w:szCs w:val="16"/>
                <w:b w:val="1"/>
                <w:bCs w:val="1"/>
                <w:color w:val="auto"/>
              </w:rPr>
              <w:t>Name</w:t>
            </w:r>
          </w:p>
        </w:tc>
        <w:tc>
          <w:tcPr>
            <w:tcW w:w="1520" w:type="dxa"/>
            <w:vAlign w:val="bottom"/>
          </w:tcPr>
          <w:p>
            <w:pPr>
              <w:jc w:val="right"/>
              <w:ind w:right="54"/>
              <w:spacing w:after="0"/>
              <w:rPr>
                <w:sz w:val="20"/>
                <w:szCs w:val="20"/>
                <w:color w:val="auto"/>
              </w:rPr>
            </w:pPr>
            <w:r>
              <w:rPr>
                <w:rFonts w:ascii="Arial" w:cs="Arial" w:eastAsia="Arial" w:hAnsi="Arial"/>
                <w:sz w:val="16"/>
                <w:szCs w:val="16"/>
                <w:b w:val="1"/>
                <w:bCs w:val="1"/>
                <w:color w:val="auto"/>
                <w:w w:val="98"/>
              </w:rPr>
              <w:t>Number of Shares</w:t>
            </w:r>
          </w:p>
        </w:tc>
      </w:tr>
      <w:tr>
        <w:trPr>
          <w:trHeight w:val="33"/>
        </w:trPr>
        <w:tc>
          <w:tcPr>
            <w:tcW w:w="5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Morgan Stanley &amp; Co. LLC</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52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47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4,309,947</w:t>
            </w: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200" w:lineRule="exact"/>
        <w:rPr>
          <w:sz w:val="20"/>
          <w:szCs w:val="20"/>
          <w:color w:val="auto"/>
        </w:rPr>
      </w:pPr>
    </w:p>
    <w:p>
      <w:pPr>
        <w:spacing w:after="0" w:line="20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 a share under the public offering price. After the initial public offering of the shares of common stock, the offering price and the other selling terms may from time to time be varied by the representatives.</w:t>
      </w:r>
    </w:p>
    <w:p>
      <w:pPr>
        <w:spacing w:after="0" w:line="3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645,000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645,000 shares of common stock from us.</w:t>
      </w:r>
    </w:p>
    <w:p>
      <w:pPr>
        <w:spacing w:after="0" w:line="200" w:lineRule="exact"/>
        <w:rPr>
          <w:sz w:val="20"/>
          <w:szCs w:val="20"/>
          <w:color w:val="auto"/>
        </w:rPr>
      </w:pPr>
    </w:p>
    <w:p>
      <w:pPr>
        <w:spacing w:after="0" w:line="37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jc w:val="right"/>
              <w:ind w:right="1273"/>
              <w:spacing w:after="0"/>
              <w:rPr>
                <w:sz w:val="20"/>
                <w:szCs w:val="20"/>
                <w:color w:val="auto"/>
              </w:rPr>
            </w:pPr>
            <w:r>
              <w:rPr>
                <w:rFonts w:ascii="Arial" w:cs="Arial" w:eastAsia="Arial" w:hAnsi="Arial"/>
                <w:sz w:val="16"/>
                <w:szCs w:val="16"/>
                <w:b w:val="1"/>
                <w:bCs w:val="1"/>
                <w:color w:val="auto"/>
              </w:rPr>
              <w:t>Total</w:t>
            </w:r>
          </w:p>
        </w:tc>
      </w:tr>
      <w:tr>
        <w:trPr>
          <w:trHeight w:val="33"/>
        </w:trPr>
        <w:tc>
          <w:tcPr>
            <w:tcW w:w="58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 Share</w:t>
            </w: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rPr>
              <w:t>No Exercise</w:t>
            </w:r>
          </w:p>
        </w:tc>
        <w:tc>
          <w:tcPr>
            <w:tcW w:w="1840" w:type="dxa"/>
            <w:vAlign w:val="bottom"/>
          </w:tcPr>
          <w:p>
            <w:pPr>
              <w:jc w:val="right"/>
              <w:ind w:right="153"/>
              <w:spacing w:after="0"/>
              <w:rPr>
                <w:sz w:val="20"/>
                <w:szCs w:val="20"/>
                <w:color w:val="auto"/>
              </w:rPr>
            </w:pPr>
            <w:r>
              <w:rPr>
                <w:rFonts w:ascii="Arial" w:cs="Arial" w:eastAsia="Arial" w:hAnsi="Arial"/>
                <w:sz w:val="16"/>
                <w:szCs w:val="16"/>
                <w:b w:val="1"/>
                <w:bCs w:val="1"/>
                <w:color w:val="auto"/>
              </w:rPr>
              <w:t>Full Exercise</w:t>
            </w:r>
          </w:p>
        </w:tc>
      </w:tr>
      <w:tr>
        <w:trPr>
          <w:trHeight w:val="33"/>
        </w:trPr>
        <w:tc>
          <w:tcPr>
            <w:tcW w:w="58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38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 us</w:t>
            </w:r>
          </w:p>
        </w:tc>
        <w:tc>
          <w:tcPr>
            <w:tcW w:w="1380" w:type="dxa"/>
            <w:vAlign w:val="bottom"/>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240" w:type="dxa"/>
            <w:vAlign w:val="bottom"/>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discounts  and  commissions  to  be  paid  by  the  selling</w:t>
            </w: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38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1380" w:type="dxa"/>
            <w:vAlign w:val="bottom"/>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240" w:type="dxa"/>
            <w:vAlign w:val="bottom"/>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1380" w:type="dxa"/>
            <w:vAlign w:val="bottom"/>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but including expenses we are incurring in connection with the sale of the shares by the selling stockholders, are approximately $600,000. We have agreed to reimburse the underwriters for expense relating to clearance of this offering with the Financial Industry Regulatory Authority up to $30,000.</w:t>
      </w:r>
    </w:p>
    <w:p>
      <w:pPr>
        <w:spacing w:after="0" w:line="3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ectPr>
          <w:pgSz w:w="11900" w:h="16838" w:orient="portrait"/>
          <w:cols w:equalWidth="0" w:num="1">
            <w:col w:w="11420"/>
          </w:cols>
          <w:pgMar w:left="240" w:top="81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420"/>
          </w:cols>
          <w:pgMar w:left="240" w:top="810" w:right="239" w:bottom="1440" w:gutter="0" w:footer="0" w:header="0"/>
          <w:type w:val="continuous"/>
        </w:sectPr>
      </w:pPr>
    </w:p>
    <w:bookmarkStart w:id="23" w:name="page24"/>
    <w:bookmarkEnd w:id="23"/>
    <w:p>
      <w:pPr>
        <w:jc w:val="both"/>
        <w:ind w:firstLine="405"/>
        <w:spacing w:after="0" w:line="264" w:lineRule="auto"/>
        <w:rPr>
          <w:sz w:val="20"/>
          <w:szCs w:val="20"/>
          <w:color w:val="auto"/>
        </w:rPr>
      </w:pPr>
      <w:r>
        <w:rPr>
          <w:rFonts w:ascii="Arial" w:cs="Arial" w:eastAsia="Arial" w:hAnsi="Arial"/>
          <w:sz w:val="18"/>
          <w:szCs w:val="18"/>
          <w:color w:val="auto"/>
        </w:rPr>
        <w:t>We and our directors, officers and the selling stockholders have agreed that, without the prior written consent of Morgan Stanley &amp; Co. LLC and BofA Securities, Inc. on behalf of the underwriters, we will not and they will not publicly disclose an intention to, during the period ending 90 days (60 days in the case of the selling stockholders) after the date of this prospectus (the “restricted period”):</w:t>
      </w:r>
    </w:p>
    <w:p>
      <w:pPr>
        <w:spacing w:after="0" w:line="397" w:lineRule="exact"/>
        <w:rPr>
          <w:sz w:val="20"/>
          <w:szCs w:val="20"/>
          <w:color w:val="auto"/>
        </w:rPr>
      </w:pPr>
    </w:p>
    <w:p>
      <w:pPr>
        <w:jc w:val="both"/>
        <w:ind w:left="7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81"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Morgan Stanley &amp; Co.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00" w:lineRule="exact"/>
        <w:rPr>
          <w:sz w:val="20"/>
          <w:szCs w:val="20"/>
          <w:color w:val="auto"/>
        </w:rPr>
      </w:pPr>
    </w:p>
    <w:p>
      <w:pPr>
        <w:spacing w:after="0" w:line="241" w:lineRule="exact"/>
        <w:rPr>
          <w:sz w:val="20"/>
          <w:szCs w:val="20"/>
          <w:color w:val="auto"/>
        </w:rPr>
      </w:pPr>
    </w:p>
    <w:p>
      <w:pPr>
        <w:jc w:val="both"/>
        <w:ind w:left="740" w:right="20" w:hanging="327"/>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spacing w:after="0" w:line="181" w:lineRule="exact"/>
        <w:rPr>
          <w:rFonts w:ascii="Arial" w:cs="Arial" w:eastAsia="Arial" w:hAnsi="Arial"/>
          <w:sz w:val="18"/>
          <w:szCs w:val="18"/>
          <w:color w:val="auto"/>
        </w:rPr>
      </w:pPr>
    </w:p>
    <w:p>
      <w:pPr>
        <w:jc w:val="both"/>
        <w:ind w:left="740" w:hanging="327"/>
        <w:spacing w:after="0" w:line="272"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177"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86" w:lineRule="exact"/>
        <w:rPr>
          <w:rFonts w:ascii="Arial" w:cs="Arial" w:eastAsia="Arial" w:hAnsi="Arial"/>
          <w:sz w:val="18"/>
          <w:szCs w:val="18"/>
          <w:color w:val="auto"/>
        </w:rPr>
      </w:pPr>
    </w:p>
    <w:p>
      <w:pPr>
        <w:jc w:val="both"/>
        <w:ind w:left="740" w:hanging="327"/>
        <w:spacing w:after="0" w:line="25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188"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w:t>
      </w:r>
    </w:p>
    <w:p>
      <w:pPr>
        <w:jc w:val="both"/>
        <w:ind w:left="740" w:hanging="3"/>
        <w:spacing w:after="0" w:line="255" w:lineRule="auto"/>
        <w:tabs>
          <w:tab w:leader="none" w:pos="10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976" w:right="239" w:bottom="1440" w:gutter="0" w:footer="0" w:header="0"/>
        </w:sectPr>
      </w:pPr>
    </w:p>
    <w:bookmarkStart w:id="24" w:name="page25"/>
    <w:bookmarkEnd w:id="24"/>
    <w:p>
      <w:pPr>
        <w:jc w:val="both"/>
        <w:ind w:left="740" w:hanging="327"/>
        <w:spacing w:after="0" w:line="268"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187" w:lineRule="exact"/>
        <w:rPr>
          <w:rFonts w:ascii="Arial" w:cs="Arial" w:eastAsia="Arial" w:hAnsi="Arial"/>
          <w:sz w:val="17"/>
          <w:szCs w:val="17"/>
          <w:color w:val="auto"/>
        </w:rPr>
      </w:pPr>
    </w:p>
    <w:p>
      <w:pPr>
        <w:jc w:val="both"/>
        <w:ind w:left="740" w:hanging="327"/>
        <w:spacing w:after="0" w:line="255"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193" w:lineRule="exact"/>
        <w:rPr>
          <w:rFonts w:ascii="Arial" w:cs="Arial" w:eastAsia="Arial" w:hAnsi="Arial"/>
          <w:sz w:val="18"/>
          <w:szCs w:val="18"/>
          <w:color w:val="auto"/>
        </w:rPr>
      </w:pPr>
    </w:p>
    <w:p>
      <w:pPr>
        <w:jc w:val="both"/>
        <w:ind w:left="740" w:hanging="327"/>
        <w:spacing w:after="0" w:line="27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172"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spacing w:after="0" w:line="186" w:lineRule="exact"/>
        <w:rPr>
          <w:rFonts w:ascii="Arial" w:cs="Arial" w:eastAsia="Arial" w:hAnsi="Arial"/>
          <w:sz w:val="18"/>
          <w:szCs w:val="18"/>
          <w:color w:val="auto"/>
        </w:rPr>
      </w:pPr>
    </w:p>
    <w:p>
      <w:pPr>
        <w:jc w:val="both"/>
        <w:ind w:left="740" w:hanging="327"/>
        <w:spacing w:after="0" w:line="255"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w:t>
      </w:r>
    </w:p>
    <w:p>
      <w:pPr>
        <w:spacing w:after="0" w:line="193" w:lineRule="exact"/>
        <w:rPr>
          <w:rFonts w:ascii="Arial" w:cs="Arial" w:eastAsia="Arial" w:hAnsi="Arial"/>
          <w:sz w:val="18"/>
          <w:szCs w:val="18"/>
          <w:color w:val="auto"/>
        </w:rPr>
      </w:pPr>
    </w:p>
    <w:p>
      <w:pPr>
        <w:jc w:val="both"/>
        <w:ind w:left="740" w:hanging="327"/>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the recipient agrees to enter into a lockup agreement similar to the lockup agreements entered into by our directors and officers;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Morgan Stanley &amp; Co. LLC and BofA Securities, Inc., in their sole discretion, may release the common stock and other securities subject to the lock-up agreements described above in whole or in part at any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976" w:right="239" w:bottom="1440" w:gutter="0" w:footer="0" w:header="0"/>
        </w:sectPr>
      </w:pPr>
    </w:p>
    <w:bookmarkStart w:id="25" w:name="page26"/>
    <w:bookmarkEnd w:id="25"/>
    <w:p>
      <w:pPr>
        <w:jc w:val="both"/>
        <w:ind w:firstLine="405"/>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option to purchase additional shares from us.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European Economic Area</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Regulation, if they have been implemented in that Member State:</w:t>
      </w:r>
    </w:p>
    <w:p>
      <w:pPr>
        <w:spacing w:after="0" w:line="39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Regulation), as permitted under the Prospectus Regulation, subject to obtaining the prior consent of the representatives for any such offer; or</w:t>
      </w:r>
    </w:p>
    <w:p>
      <w:pPr>
        <w:spacing w:after="0" w:line="3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result in a requirement for the publication by us or any underwriter of a prospectus pursuant to Article 3 of the Prospectus Regulation, or supplement a prospectus pursuant to Article 23 of the Prospectus Regulation.</w:t>
      </w:r>
    </w:p>
    <w:p>
      <w:pPr>
        <w:spacing w:after="0" w:line="3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Regulation in that Member State. For the purposes of this provision, the expression “Prospectus Regulation” means Regulation (EU) 2017/1129.</w:t>
      </w:r>
    </w:p>
    <w:p>
      <w:pPr>
        <w:sectPr>
          <w:pgSz w:w="11900" w:h="16838" w:orient="portrait"/>
          <w:cols w:equalWidth="0" w:num="1">
            <w:col w:w="11420"/>
          </w:cols>
          <w:pgMar w:left="240" w:top="976" w:right="239" w:bottom="406"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420"/>
          </w:cols>
          <w:pgMar w:left="240" w:top="976" w:right="239" w:bottom="406"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auto"/>
        </w:rPr>
        <w:t>United Kingdom</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00" w:lineRule="exact"/>
        <w:rPr>
          <w:sz w:val="20"/>
          <w:szCs w:val="20"/>
          <w:color w:val="auto"/>
        </w:rPr>
      </w:pPr>
    </w:p>
    <w:p>
      <w:pPr>
        <w:spacing w:after="0" w:line="241" w:lineRule="exact"/>
        <w:rPr>
          <w:sz w:val="20"/>
          <w:szCs w:val="20"/>
          <w:color w:val="auto"/>
        </w:rPr>
      </w:pPr>
    </w:p>
    <w:p>
      <w:pPr>
        <w:jc w:val="both"/>
        <w:ind w:left="130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3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ectPr>
          <w:pgSz w:w="11900" w:h="16838" w:orient="portrait"/>
          <w:cols w:equalWidth="0" w:num="1">
            <w:col w:w="11420"/>
          </w:cols>
          <w:pgMar w:left="240" w:top="976" w:right="239" w:bottom="142"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9019"/>
          </w:cols>
          <w:pgMar w:left="1440" w:top="139" w:right="1440" w:bottom="1440" w:gutter="0" w:footer="0" w:header="0"/>
        </w:sectPr>
      </w:pPr>
    </w:p>
    <w:bookmarkStart w:id="28" w:name="page29"/>
    <w:bookmarkEnd w:id="28"/>
    <w:p>
      <w:pPr>
        <w:jc w:val="both"/>
        <w:ind w:firstLine="405"/>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3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387" w:lineRule="exact"/>
        <w:rPr>
          <w:sz w:val="20"/>
          <w:szCs w:val="20"/>
          <w:color w:val="auto"/>
        </w:rPr>
      </w:pPr>
    </w:p>
    <w:p>
      <w:pPr>
        <w:ind w:left="900" w:hanging="48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8" w:lineRule="exact"/>
        <w:rPr>
          <w:rFonts w:ascii="Arial" w:cs="Arial" w:eastAsia="Arial" w:hAnsi="Arial"/>
          <w:sz w:val="18"/>
          <w:szCs w:val="18"/>
          <w:color w:val="auto"/>
        </w:rPr>
      </w:pPr>
    </w:p>
    <w:p>
      <w:pPr>
        <w:jc w:val="both"/>
        <w:ind w:left="900" w:hanging="487"/>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ectPr>
          <w:pgSz w:w="11900" w:h="16838" w:orient="portrait"/>
          <w:cols w:equalWidth="0" w:num="1">
            <w:col w:w="11420"/>
          </w:cols>
          <w:pgMar w:left="240" w:top="976"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420"/>
          </w:cols>
          <w:pgMar w:left="240" w:top="976" w:right="239" w:bottom="1440" w:gutter="0" w:footer="0" w:header="0"/>
          <w:type w:val="continuous"/>
        </w:sectPr>
      </w:pPr>
    </w:p>
    <w:bookmarkStart w:id="29" w:name="page30"/>
    <w:bookmarkEnd w:id="29"/>
    <w:p>
      <w:pPr>
        <w:ind w:left="1920" w:hanging="1093"/>
        <w:spacing w:after="0" w:line="277" w:lineRule="auto"/>
        <w:rPr>
          <w:sz w:val="20"/>
          <w:szCs w:val="20"/>
          <w:color w:val="auto"/>
        </w:rPr>
      </w:pPr>
      <w:r>
        <w:rPr>
          <w:rFonts w:ascii="Arial" w:cs="Arial" w:eastAsia="Arial" w:hAnsi="Arial"/>
          <w:sz w:val="18"/>
          <w:szCs w:val="18"/>
          <w:color w:val="auto"/>
        </w:rPr>
        <w:t>(a)to an institutional investor or to a relevant person defined in Section 275(2) of the SFA, or to any person arising from an offer referred to in Section 275(1A) or Section 276(4)(i)(B) of the SFA;</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(b)where no consideration is or will be given for the transfer;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(c)where the transfer is by operation of law;</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(d)as specified in Section 276(7) of the SFA; or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(e)as specified in Regulation 32 of the Securities and Futures (Offers of Investments) (Shares and Debentures) Regulations 2005 of Singapore.</w:t>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supplement. Latham &amp; Watkins LLP is representing the underwriters in this offering.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supplement and accompanying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000000"/>
        </w:rPr>
        <w:t>. The information on the SEC’s web site is not part of this prospectus supplement or the accompanying prospectus, and any references to this</w:t>
      </w:r>
      <w:r>
        <w:rPr>
          <w:rFonts w:ascii="Arial" w:cs="Arial" w:eastAsia="Arial" w:hAnsi="Arial"/>
          <w:sz w:val="17"/>
          <w:szCs w:val="17"/>
          <w:color w:val="0000FF"/>
        </w:rPr>
        <w:t xml:space="preserve"> </w:t>
      </w:r>
      <w:r>
        <w:rPr>
          <w:rFonts w:ascii="Arial" w:cs="Arial" w:eastAsia="Arial" w:hAnsi="Arial"/>
          <w:sz w:val="17"/>
          <w:szCs w:val="17"/>
          <w:color w:val="000000"/>
        </w:rPr>
        <w:t>web site or any other web site are inactive textual references only.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92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spacing w:after="0" w:line="394"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1">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2">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6">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December 4,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9">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3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0">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firstLine="297"/>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17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972" w:right="2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S-25</w:t>
      </w:r>
    </w:p>
    <w:p>
      <w:pPr>
        <w:sectPr>
          <w:pgSz w:w="11900" w:h="16838" w:orient="portrait"/>
          <w:cols w:equalWidth="0" w:num="1">
            <w:col w:w="11420"/>
          </w:cols>
          <w:pgMar w:left="240" w:top="972"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365760</wp:posOffset>
            </wp:positionV>
            <wp:extent cx="2573020" cy="995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5730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$200,000,000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jc w:val="center"/>
        <w:ind w:right="-19"/>
        <w:spacing w:after="0" w:line="239" w:lineRule="auto"/>
        <w:rPr>
          <w:sz w:val="20"/>
          <w:szCs w:val="20"/>
          <w:color w:val="auto"/>
        </w:rPr>
      </w:pPr>
      <w:r>
        <w:rPr>
          <w:rFonts w:ascii="Arial" w:cs="Arial" w:eastAsia="Arial" w:hAnsi="Arial"/>
          <w:sz w:val="22"/>
          <w:szCs w:val="22"/>
          <w:b w:val="1"/>
          <w:bCs w:val="1"/>
          <w:color w:val="auto"/>
        </w:rPr>
        <w:t>Warrants</w:t>
      </w:r>
    </w:p>
    <w:p>
      <w:pPr>
        <w:ind w:left="4760"/>
        <w:spacing w:after="0"/>
        <w:rPr>
          <w:sz w:val="20"/>
          <w:szCs w:val="20"/>
          <w:color w:val="auto"/>
        </w:rPr>
      </w:pPr>
      <w:r>
        <w:rPr>
          <w:rFonts w:ascii="Arial" w:cs="Arial" w:eastAsia="Arial" w:hAnsi="Arial"/>
          <w:sz w:val="18"/>
          <w:szCs w:val="18"/>
          <w:color w:val="auto"/>
        </w:rPr>
        <w:t>_____________________</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 Shares of Common Stock</w:t>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306" w:lineRule="exact"/>
        <w:rPr>
          <w:sz w:val="20"/>
          <w:szCs w:val="20"/>
          <w:color w:val="auto"/>
        </w:rPr>
      </w:pPr>
    </w:p>
    <w:p>
      <w:pPr>
        <w:ind w:right="40" w:firstLine="297"/>
        <w:spacing w:after="0" w:line="264"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54" w:lineRule="exact"/>
        <w:rPr>
          <w:sz w:val="20"/>
          <w:szCs w:val="20"/>
          <w:color w:val="auto"/>
        </w:rPr>
      </w:pPr>
    </w:p>
    <w:p>
      <w:pPr>
        <w:ind w:right="240" w:firstLine="297"/>
        <w:spacing w:after="0" w:line="25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6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ectPr>
          <w:pgSz w:w="11900" w:h="16838" w:orient="portrait"/>
          <w:cols w:equalWidth="0" w:num="1">
            <w:col w:w="11420"/>
          </w:cols>
          <w:pgMar w:left="240" w:top="1350" w:right="239" w:bottom="1440" w:gutter="0" w:footer="0" w:header="0"/>
        </w:sectPr>
      </w:pPr>
    </w:p>
    <w:bookmarkStart w:id="32" w:name="page33"/>
    <w:bookmarkEnd w:id="32"/>
    <w:p>
      <w:pPr>
        <w:jc w:val="both"/>
        <w:ind w:firstLine="324"/>
        <w:spacing w:after="0" w:line="276" w:lineRule="auto"/>
        <w:rPr>
          <w:sz w:val="20"/>
          <w:szCs w:val="20"/>
          <w:color w:val="auto"/>
        </w:rPr>
      </w:pPr>
      <w:r>
        <w:rPr>
          <w:rFonts w:ascii="Arial" w:cs="Arial" w:eastAsia="Arial" w:hAnsi="Arial"/>
          <w:sz w:val="17"/>
          <w:szCs w:val="17"/>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354330</wp:posOffset>
            </wp:positionV>
            <wp:extent cx="20237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2, 2020.</w:t>
      </w:r>
    </w:p>
    <w:p>
      <w:pPr>
        <w:sectPr>
          <w:pgSz w:w="11900" w:h="16838" w:orient="portrait"/>
          <w:cols w:equalWidth="0" w:num="1">
            <w:col w:w="11420"/>
          </w:cols>
          <w:pgMar w:left="240" w:top="760"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83"/>
              </w:rPr>
              <w:t>Page</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center"/>
              <w:ind w:right="3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8"/>
          </w:tcPr>
          <w:p>
            <w:pPr>
              <w:spacing w:after="0" w:line="20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PROSPECTUS SUMMARY</w:t>
              </w:r>
            </w:hyperlink>
          </w:p>
        </w:tc>
        <w:tc>
          <w:tcPr>
            <w:tcW w:w="7340" w:type="dxa"/>
            <w:vAlign w:val="bottom"/>
            <w:gridSpan w:val="8"/>
          </w:tcPr>
          <w:p>
            <w:pPr>
              <w:spacing w:after="0"/>
              <w:rPr>
                <w:sz w:val="17"/>
                <w:szCs w:val="17"/>
                <w:color w:val="auto"/>
              </w:rPr>
            </w:pPr>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7980" w:type="dxa"/>
            <w:vAlign w:val="bottom"/>
            <w:gridSpan w:val="12"/>
            <w:shd w:val="clear" w:color="auto" w:fill="CCEEFF"/>
          </w:tcPr>
          <w:p>
            <w:pPr>
              <w:spacing w:after="0"/>
              <w:rPr>
                <w:sz w:val="17"/>
                <w:szCs w:val="17"/>
                <w:color w:val="auto"/>
              </w:rPr>
            </w:pPr>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2"/>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6540" w:type="dxa"/>
            <w:vAlign w:val="bottom"/>
            <w:gridSpan w:val="4"/>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15</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OWNERSHIP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6820" w:type="dxa"/>
            <w:vAlign w:val="bottom"/>
            <w:gridSpan w:val="6"/>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5"/>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520" w:type="dxa"/>
            <w:vAlign w:val="bottom"/>
            <w:gridSpan w:val="11"/>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20</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ADDITIONAL INFORMATION</w:t>
              </w:r>
            </w:hyperlink>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INFORMATION BY REFERENCE</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80"/>
          </w:cols>
          <w:pgMar w:left="820" w:top="769" w:right="7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5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46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250430" cy="846836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62" w:lineRule="exact"/>
        <w:rPr>
          <w:sz w:val="20"/>
          <w:szCs w:val="20"/>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62" w:lineRule="exact"/>
        <w:rPr>
          <w:rFonts w:ascii="Arial" w:cs="Arial" w:eastAsia="Arial" w:hAnsi="Arial"/>
          <w:sz w:val="18"/>
          <w:szCs w:val="18"/>
          <w:color w:val="auto"/>
        </w:rPr>
      </w:pPr>
    </w:p>
    <w:p>
      <w:pPr>
        <w:jc w:val="both"/>
        <w:ind w:left="660" w:hanging="334"/>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73"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62"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currently manufacture and sell products primarily used in a single procedure, which could negatively affect our operations and financial condition;</w:t>
      </w:r>
    </w:p>
    <w:p>
      <w:pPr>
        <w:spacing w:after="0" w:line="62" w:lineRule="exact"/>
        <w:rPr>
          <w:rFonts w:ascii="Arial" w:cs="Arial" w:eastAsia="Arial" w:hAnsi="Arial"/>
          <w:sz w:val="18"/>
          <w:szCs w:val="18"/>
          <w:color w:val="auto"/>
        </w:rPr>
      </w:pPr>
    </w:p>
    <w:p>
      <w:pPr>
        <w:ind w:left="660" w:right="20" w:hanging="334"/>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rFonts w:ascii="Arial" w:cs="Arial" w:eastAsia="Arial" w:hAnsi="Arial"/>
          <w:sz w:val="17"/>
          <w:szCs w:val="17"/>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62"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ectPr>
          <w:pgSz w:w="11900" w:h="16838" w:orient="portrait"/>
          <w:cols w:equalWidth="0" w:num="1">
            <w:col w:w="10580"/>
          </w:cols>
          <w:pgMar w:left="660" w:top="1175" w:right="6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660" w:top="1175" w:right="6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89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250430" cy="889698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297" w:lineRule="exact"/>
        <w:rPr>
          <w:sz w:val="20"/>
          <w:szCs w:val="20"/>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1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6"/>
          <w:szCs w:val="16"/>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pacing w:after="0" w:line="255" w:lineRule="exact"/>
        <w:rPr>
          <w:sz w:val="20"/>
          <w:szCs w:val="20"/>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proceeds to us.</w:t>
      </w:r>
    </w:p>
    <w:p>
      <w:pPr>
        <w:sectPr>
          <w:pgSz w:w="11900" w:h="16838" w:orient="portrait"/>
          <w:cols w:equalWidth="0" w:num="1">
            <w:col w:w="10580"/>
          </w:cols>
          <w:pgMar w:left="660" w:top="1175" w:right="659" w:bottom="10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660" w:top="1175" w:right="659" w:bottom="1084" w:gutter="0" w:footer="0" w:header="0"/>
          <w:type w:val="continuous"/>
        </w:sectPr>
      </w:pPr>
    </w:p>
    <w:bookmarkStart w:id="37" w:name="page38"/>
    <w:bookmarkEnd w:id="37"/>
    <w:p>
      <w:pPr>
        <w:jc w:val="both"/>
        <w:ind w:firstLine="324"/>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t>Common Stock</w:t>
      </w:r>
      <w:r>
        <w:rPr>
          <w:rFonts w:ascii="Arial" w:cs="Arial" w:eastAsia="Arial" w:hAnsi="Arial"/>
          <w:sz w:val="17"/>
          <w:szCs w:val="17"/>
          <w:color w:val="auto"/>
        </w:rPr>
        <w:t>. We may issue shares of our common stock from time to time. The selling stockholders may offer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We may issue shares of our preferred stock from time to time, in one or more series. Our board of directors will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10580"/>
          </w:cols>
          <w:pgMar w:left="660" w:top="117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660" w:top="1179" w:right="6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2327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250430" cy="2327910"/>
                    </a:xfrm>
                    <a:prstGeom prst="rect">
                      <a:avLst/>
                    </a:prstGeom>
                    <a:noFill/>
                  </pic:spPr>
                </pic:pic>
              </a:graphicData>
            </a:graphic>
          </wp:anchor>
        </w:drawing>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left="20" w:firstLine="297"/>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660" w:top="1175" w:right="6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 w:firstLine="297"/>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ectPr>
          <w:pgSz w:w="11900" w:h="16838" w:orient="portrait"/>
          <w:cols w:equalWidth="0" w:num="1">
            <w:col w:w="11420"/>
          </w:cols>
          <w:pgMar w:left="240" w:top="81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10" w:right="239" w:bottom="1440" w:gutter="0" w:footer="0" w:header="0"/>
          <w:type w:val="continuous"/>
        </w:sectPr>
      </w:pPr>
    </w:p>
    <w:bookmarkStart w:id="40" w:name="page41"/>
    <w:bookmarkEnd w:id="40"/>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2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ectPr>
          <w:pgSz w:w="11900" w:h="16838" w:orient="portrait"/>
          <w:cols w:equalWidth="0" w:num="1">
            <w:col w:w="11420"/>
          </w:cols>
          <w:pgMar w:left="240" w:top="75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56" w:right="239" w:bottom="1440" w:gutter="0" w:footer="0" w:header="0"/>
          <w:type w:val="continuous"/>
        </w:sectPr>
      </w:pPr>
    </w:p>
    <w:bookmarkStart w:id="42" w:name="page43"/>
    <w:bookmarkEnd w:id="42"/>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17"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8"/>
          <w:szCs w:val="18"/>
          <w:color w:val="000000"/>
        </w:rPr>
        <w:t>or</w:t>
      </w:r>
    </w:p>
    <w:p>
      <w:pPr>
        <w:spacing w:after="0" w:line="8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4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33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6" w:right="239" w:bottom="1440" w:gutter="0" w:footer="0" w:header="0"/>
        </w:sectPr>
      </w:pPr>
    </w:p>
    <w:bookmarkStart w:id="45" w:name="page46"/>
    <w:bookmarkEnd w:id="45"/>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28"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79" w:lineRule="exact"/>
        <w:rPr>
          <w:sz w:val="20"/>
          <w:szCs w:val="20"/>
          <w:color w:val="auto"/>
        </w:rPr>
      </w:pPr>
    </w:p>
    <w:p>
      <w:pPr>
        <w:jc w:val="both"/>
        <w:ind w:left="660" w:hanging="328"/>
        <w:spacing w:after="0" w:line="28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7"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28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27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6" w:right="239" w:bottom="1440" w:gutter="0" w:footer="0" w:header="0"/>
        </w:sectPr>
      </w:pPr>
    </w:p>
    <w:bookmarkStart w:id="47" w:name="page48"/>
    <w:bookmarkEnd w:id="47"/>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33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29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27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48" w:name="page49"/>
    <w:bookmarkEnd w:id="48"/>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333" w:lineRule="exact"/>
        <w:rPr>
          <w:sz w:val="20"/>
          <w:szCs w:val="20"/>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ectPr>
          <w:pgSz w:w="11900" w:h="16838" w:orient="portrait"/>
          <w:cols w:equalWidth="0" w:num="1">
            <w:col w:w="11420"/>
          </w:cols>
          <w:pgMar w:left="240" w:top="86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68" w:right="239" w:bottom="1440" w:gutter="0" w:footer="0" w:header="0"/>
          <w:type w:val="continuous"/>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33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60" w:right="239" w:bottom="1440" w:gutter="0" w:footer="0" w:header="0"/>
          <w:type w:val="continuous"/>
        </w:sectPr>
      </w:pPr>
    </w:p>
    <w:bookmarkStart w:id="50" w:name="page51"/>
    <w:bookmarkEnd w:id="50"/>
    <w:p>
      <w:pPr>
        <w:ind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279"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51" w:name="page52"/>
    <w:bookmarkEnd w:id="51"/>
    <w:p>
      <w:pPr>
        <w:jc w:val="both"/>
        <w:ind w:firstLine="324"/>
        <w:spacing w:after="0" w:line="264"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27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52" w:name="page53"/>
    <w:bookmarkEnd w:id="52"/>
    <w:p>
      <w:pPr>
        <w:jc w:val="both"/>
        <w:ind w:firstLine="324"/>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333"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345"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ectPr>
          <w:pgSz w:w="11900" w:h="16838" w:orient="portrait"/>
          <w:cols w:equalWidth="0" w:num="1">
            <w:col w:w="11420"/>
          </w:cols>
          <w:pgMar w:left="240" w:top="76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60" w:right="239" w:bottom="1440" w:gutter="0" w:footer="0" w:header="0"/>
          <w:type w:val="continuous"/>
        </w:sectPr>
      </w:pPr>
    </w:p>
    <w:bookmarkStart w:id="53" w:name="page54"/>
    <w:bookmarkEnd w:id="53"/>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1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9" w:lineRule="exact"/>
        <w:rPr>
          <w:sz w:val="20"/>
          <w:szCs w:val="20"/>
          <w:color w:val="auto"/>
        </w:rPr>
      </w:pPr>
    </w:p>
    <w:p>
      <w:pPr>
        <w:jc w:val="both"/>
        <w:ind w:firstLine="297"/>
        <w:spacing w:after="0" w:line="312"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 to or through underwriters or dealers, through agents, or directly to one or more purchasers. We or the selling stockholders may distribute securities from time to time in one or more transactions:</w:t>
      </w:r>
    </w:p>
    <w:p>
      <w:pPr>
        <w:spacing w:after="0" w:line="25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27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68" w:right="239" w:bottom="1440" w:gutter="0" w:footer="0" w:header="0"/>
        </w:sectPr>
      </w:pPr>
    </w:p>
    <w:bookmarkStart w:id="54" w:name="page55"/>
    <w:bookmarkEnd w:id="54"/>
    <w:p>
      <w:pPr>
        <w:jc w:val="both"/>
        <w:ind w:firstLine="324"/>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001-38701):</w:t>
      </w:r>
    </w:p>
    <w:p>
      <w:pPr>
        <w:spacing w:after="0" w:line="37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1">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2">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6">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and </w:t>
      </w:r>
      <w:hyperlink r:id="rId27">
        <w:r>
          <w:rPr>
            <w:rFonts w:ascii="Arial" w:cs="Arial" w:eastAsia="Arial" w:hAnsi="Arial"/>
            <w:sz w:val="18"/>
            <w:szCs w:val="18"/>
            <w:u w:val="single" w:color="auto"/>
            <w:color w:val="0000EE"/>
          </w:rPr>
          <w:t>December 4, 2019</w:t>
        </w:r>
      </w:hyperlink>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9">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2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0">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16" w:lineRule="exact"/>
        <w:rPr>
          <w:rFonts w:ascii="Arial" w:cs="Arial" w:eastAsia="Arial" w:hAnsi="Arial"/>
          <w:sz w:val="18"/>
          <w:szCs w:val="18"/>
          <w:color w:val="auto"/>
        </w:rPr>
      </w:pPr>
    </w:p>
    <w:p>
      <w:pPr>
        <w:jc w:val="both"/>
        <w:ind w:firstLine="435"/>
        <w:spacing w:after="0" w:line="272"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756" w:right="239" w:bottom="1081" w:gutter="0" w:footer="0" w:header="0"/>
        </w:sectPr>
      </w:pPr>
    </w:p>
    <w:p>
      <w:pPr>
        <w:spacing w:after="0" w:line="2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56" w:right="239" w:bottom="1081"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826770</wp:posOffset>
            </wp:positionV>
            <wp:extent cx="2409825"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240982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42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28"/>
          <w:szCs w:val="28"/>
          <w:b w:val="1"/>
          <w:b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2020</w:t>
      </w:r>
    </w:p>
    <w:sectPr>
      <w:pgSz w:w="11900" w:h="16838" w:orient="portrait"/>
      <w:cols w:equalWidth="0" w:num="1">
        <w:col w:w="10580"/>
      </w:cols>
      <w:pgMar w:left="66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lvl w:ilvl="1">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lvl w:ilvl="1">
      <w:lvlJc w:val="left"/>
      <w:lvlText w:val="(%2)"/>
      <w:numFmt w:val="lowerRoman"/>
      <w:start w:val="2"/>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Roman"/>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jpe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eg"/><Relationship Id="rId18" Type="http://schemas.openxmlformats.org/officeDocument/2006/relationships/hyperlink" Target="http://www.sec.gov/Archives/edgar/data/1459839/000145983919000011/sibn1231201810-k.htm" TargetMode="External"/><Relationship Id="rId19" Type="http://schemas.openxmlformats.org/officeDocument/2006/relationships/hyperlink" Target="http://www.sec.gov/Archives/edgar/data/1459839/000145983919000026/sibn331201910-q.htm" TargetMode="External"/><Relationship Id="rId20" Type="http://schemas.openxmlformats.org/officeDocument/2006/relationships/hyperlink" Target="http://www.sec.gov/Archives/edgar/data/1459839/000145983919000035/sibn630201910-q.htm" TargetMode="External"/><Relationship Id="rId21" Type="http://schemas.openxmlformats.org/officeDocument/2006/relationships/hyperlink" Target="http://www.sec.gov/Archives/edgar/data/1459839/000145983919000044/sibn930201910-q.htm" TargetMode="External"/><Relationship Id="rId22" Type="http://schemas.openxmlformats.org/officeDocument/2006/relationships/hyperlink" Target="http://www.sec.gov/Archives/edgar/data/1459839/000145983919000004/sibn-8xkbonusplan.htm" TargetMode="External"/><Relationship Id="rId23" Type="http://schemas.openxmlformats.org/officeDocument/2006/relationships/hyperlink" Target="http://www.sec.gov/Archives/edgar/data/1459839/000145983919000017/sibn-8xkbodchange.htm" TargetMode="External"/><Relationship Id="rId24" Type="http://schemas.openxmlformats.org/officeDocument/2006/relationships/hyperlink" Target="http://www.sec.gov/Archives/edgar/data/1459839/000145983919000028/sibn8-k.htm" TargetMode="External"/><Relationship Id="rId25" Type="http://schemas.openxmlformats.org/officeDocument/2006/relationships/hyperlink" Target="http://www.sec.gov/Archives/edgar/data/1459839/000145983919000033/sibn630198-k.htm" TargetMode="External"/><Relationship Id="rId26" Type="http://schemas.openxmlformats.org/officeDocument/2006/relationships/hyperlink" Target="http://www.sec.gov/Archives/edgar/data/1459839/000145983919000037/sibn8-k8132019bodresignati.htm" TargetMode="External"/><Relationship Id="rId27" Type="http://schemas.openxmlformats.org/officeDocument/2006/relationships/hyperlink" Target="http://www.sec.gov/Archives/edgar/data/1459839/000145983919000053/sibn8-k12419bodadditionxhi.htm" TargetMode="External"/><Relationship Id="rId28" Type="http://schemas.openxmlformats.org/officeDocument/2006/relationships/hyperlink" Target="http://www.sec.gov/Archives/edgar/data/1459839/000145983920000003/sibn8-k132020fy2020bonuspl.htm" TargetMode="External"/><Relationship Id="rId29" Type="http://schemas.openxmlformats.org/officeDocument/2006/relationships/hyperlink" Target="http://www.sec.gov/Archives/edgar/data/1459839/000145983919000021/sibn2019proxystatement.htm" TargetMode="External"/><Relationship Id="rId30" Type="http://schemas.openxmlformats.org/officeDocument/2006/relationships/hyperlink" Target="http://www.sec.gov/Archives/edgar/data/1459839/000119312518297571/d486750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2020-01-21T16:06:18Z</dcterms:created>
  <dcterms:modified xsi:type="dcterms:W3CDTF">2020-01-21T16:06:18Z</dcterms:modified>
</cp:coreProperties>
</file>