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18"/>
        </w:rPr>
        <w:t>Date of report (Date of earliest event reported): August 7, 2023</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SI-BONE,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Suite 101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 95050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207-0700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7, 2023, SI-BONE, Inc. (the "Company") issued a press release (the “Press Release”) announcing results for the quarter ended June 30, 2023. A copy of the Press Release is attached as Exhibit 99.1 to this current report on Form 8-K and is incorporated by reference herein.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sibn6302023earn.htm">
              <w:r>
                <w:rPr>
                  <w:rStyle w:val="InternetLink"/>
                  <w:rFonts w:ascii="Times New Roman;sans-serif" w:hAnsi="Times New Roman;sans-serif"/>
                  <w:b w:val="false"/>
                  <w:color w:val="0000FF"/>
                  <w:sz w:val="20"/>
                  <w:u w:val="single"/>
                </w:rPr>
                <w:t>Press release dated August 7, 2023</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33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22"/>
        <w:gridCol w:w="222"/>
        <w:gridCol w:w="222"/>
        <w:gridCol w:w="1098"/>
        <w:gridCol w:w="1098"/>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633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drawing>
          <wp:inline distT="0" distB="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SI-BONE, Inc. Reports Financial Results for the Second Quarter 2023 and Increases Annual Guidance</w:t>
      </w:r>
    </w:p>
    <w:p>
      <w:pPr>
        <w:pStyle w:val="TextBody"/>
        <w:bidi w:val="0"/>
        <w:spacing w:lineRule="auto" w:line="276"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Annual guidance increased to $132 million - $134 million, implying annual growth of 24%-26%</w:t>
      </w:r>
    </w:p>
    <w:p>
      <w:pPr>
        <w:pStyle w:val="TextBody"/>
        <w:bidi w:val="0"/>
        <w:spacing w:before="0" w:after="0"/>
        <w:jc w:val="center"/>
        <w:rPr/>
      </w:pPr>
      <w:r>
        <w:rPr/>
      </w:r>
    </w:p>
    <w:p>
      <w:pPr>
        <w:pStyle w:val="TextBody"/>
        <w:bidi w:val="0"/>
        <w:spacing w:lineRule="auto" w:line="345" w:before="0" w:after="0"/>
        <w:jc w:val="both"/>
        <w:rPr/>
      </w:pPr>
      <w:r>
        <w:rPr>
          <w:rFonts w:ascii="Times New Roman;sans-serif" w:hAnsi="Times New Roman;sans-serif"/>
          <w:b/>
          <w:color w:val="000000"/>
          <w:sz w:val="22"/>
        </w:rPr>
        <w:t xml:space="preserve">SANTA CLARA, Calif. </w:t>
      </w:r>
      <w:r>
        <w:rPr>
          <w:rFonts w:ascii="Times New Roman;sans-serif" w:hAnsi="Times New Roman;sans-serif"/>
          <w:b w:val="false"/>
          <w:color w:val="000000"/>
          <w:sz w:val="22"/>
        </w:rPr>
        <w:t>August 7, 2023 - SI-BONE, Inc. (Nasdaq:SIBN), a medical device company dedicated to solving musculoskeletal disorders of the sacropelvic anatomy, today reported financial results for the quarter ended June 30, 2023.</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Recent Highlights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Record worldwide revenue of $33.3 million for the second quarter 2023, representing approximately 30% growth over the corresponding period in 2022</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Record U.S. revenue of $31.2 million for the second quarter 2023, representing approximately 31% growth over the corresponding period in 2022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Gross margin of 81% for the second quarter 2023</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Approximately 935 U.S. active surgeons in the second quarter 2023, representing 30% growth over the corresponding period in 2022</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Launch of closed-head Granite implant, addressing an additional segment of the deformity surgeon market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$169 million in cash and equivalents at the end of the quarter, including $84 million in net proceeds from follow-on offering in May 2023 </w:t>
      </w:r>
    </w:p>
    <w:p>
      <w:pPr>
        <w:pStyle w:val="TextBody"/>
        <w:bidi w:val="0"/>
        <w:spacing w:lineRule="auto" w:line="345" w:before="0" w:after="0"/>
        <w:jc w:val="both"/>
        <w:rPr>
          <w:color w:val="000000"/>
        </w:rPr>
      </w:pPr>
      <w:r>
        <w:rPr>
          <w:color w:val="000000"/>
        </w:rPr>
        <w:t>“</w:t>
      </w:r>
      <w:r>
        <w:rPr>
          <w:rFonts w:ascii="Times New Roman;sans-serif" w:hAnsi="Times New Roman;sans-serif"/>
          <w:b w:val="false"/>
          <w:color w:val="000000"/>
          <w:sz w:val="22"/>
        </w:rPr>
        <w:t>I am pleased with the over 30% U.S. revenue growth in the second quarter of 2023, led by increasing demand for our solutions. Having consistently delivered several consecutive quarters of record revenue and operating leverage, we are excited about the significant opportunity ahead of us as we capitalize on underlying business momentum and progress towards profitability,” said Laura Francis, Chief Executive Officer of SI-BONE, Inc. “As we look beyond 2023, we are focused on judiciously investing in long-term growth drivers, including portfolio expansion programs as well as physician engagement initiatives to extend our market leadership and build a sustainable and high-growth revenue platform.”</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color w:val="000000"/>
          <w:sz w:val="22"/>
        </w:rPr>
      </w:pPr>
      <w:r>
        <w:rPr>
          <w:rFonts w:ascii="Times New Roman;sans-serif" w:hAnsi="Times New Roman;sans-serif"/>
          <w:b/>
          <w:color w:val="000000"/>
          <w:sz w:val="22"/>
        </w:rPr>
        <w:t>Second Quarter 2023 Financial Results</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Worldwide revenue was $33.3 million in the second quarter 2023, a 30% increase from $25.6 million in the corresponding period in 2022. U.S. revenue for the second quarter 2023 was $31.2 million, a 31% increase from $23.8 million in the corresponding period in 2022. International revenue for the second quarter 2023 was $2.1 million, a 15% increase from $1.8 million in the corresponding period in 2022.</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Gross margin was 81% for the second quarter 2023, as compared to 86% in the corresponding period in 2022. Gross margin in the second quarter 2023 was impacted by procedure and product mix given the higher total costs of iFuse-TORQ and iFuse Bedrock Granite. Gross margin also includes the impact of higher depreciation from instrument trays to support the growth of the business and depreciation associated with our second facility in Santa Clara.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expenses decreased 3% to $38.9 million in the second quarter 2023, as compared to $40.0 million in the corresponding period in 2022. The change in operating expenses was primarily driven by timing of certain commercial activities, partially offset by higher commissions and stock-based compensation. </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loss improved by 33% to $12.0 million in the second quarter 2023, as compared to an operating loss of $17.9 million in the corresponding period in 2022.</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loss improved by 39%, to $11.2 million, or $0.30 per diluted share for the second quarter 2023, as compared to a net loss of $18.5 million, or $0.54 per diluted share in the corresponding period in 2022. Net loss per diluted share for the second quarter 2023 also includes the impact of increase in shares outstanding as a result of a follow-on common stock offering in May 2023. </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loss improved by approximately 59% to negative $4.7 million, in the second quarter 2023, as compared to an adjusted EBITDA loss of negative $11.5 million, in the corresponding period in 2022.</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marketable securities were $169.4 million and borrowings were $36.0 million as of June 30, 2023. The cash and marketable securities include $84 million in net proceeds from the May 2023 follow-on offering. </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2023 Updated Financial Guidance</w:t>
      </w:r>
    </w:p>
    <w:p>
      <w:pPr>
        <w:pStyle w:val="TextBody"/>
        <w:bidi w:val="0"/>
        <w:spacing w:before="0" w:after="0"/>
        <w:jc w:val="left"/>
        <w:rPr/>
      </w:pPr>
      <w:r>
        <w:rPr/>
      </w:r>
    </w:p>
    <w:p>
      <w:pPr>
        <w:pStyle w:val="TextBody"/>
        <w:bidi w:val="0"/>
        <w:spacing w:lineRule="auto" w:line="36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Based on the strength of performance in the second quarter of 2023, SI-BONE is increasing its 2023 worldwide revenue guidance to be in the range of $132 million to $134 million from the previous guidance of $128 million to $131 million. The updated guidance translates to a growth of approximately 24% to 26% compared to fiscal year 2022, versus the previous growth of approximately 20% to 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Webcast Information</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will host a conference call to discuss the second quarter 2023 financial results after market close on Monday, August 7, 2023 at 4:30 P.M. Eastern Time. The conference call can be accessed live over webcast at https://edge.media-server.com/mmc/p/wguskxxw. Live audio of the webcast will be available on the “Investors” section of the company’s website at: www.si-bone.com. The webcast will be archived and available for replay for at least 90 days after the event.</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About SI-BONE, Inc.</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(NASDAQ: SIBN) is a global leader in technology for surgical treatment of musculoskeletal disorders of the sacropelvic anatomy. Since pioneering minimally invasive SI joint surgery in 2009, SI-BONE has supported over 3,000 surgeons in performing a total of over 85,000 sacropelvic procedures. A unique body of clinical evidence supports the use of SI-BONE’s technologies, including two randomized controlled trials and over 120 peer reviewed publications. SI-BONE has leveraged its leadership in minimally invasive SI joint fusion to commercialize novel solutions for adjacent markets, including adult deformity, spinopelvic fixation and pelvic trauma.</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additional information on the company or the products including risks and benefits, please visit www.si-bone.com.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is a registered trademark of SI-BONE, Inc. ©2023 SI-BONE, Inc. All Rights Reserved.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Use of Non-GAAP Financial Measures</w:t>
      </w:r>
    </w:p>
    <w:p>
      <w:pPr>
        <w:pStyle w:val="TextBody"/>
        <w:bidi w:val="0"/>
        <w:spacing w:before="0" w:after="0"/>
        <w:jc w:val="left"/>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Investor Contact</w: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Saqib Iqbal</w: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Sr. Director, FP&amp;A and Investor Relations</w: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investors@SI-BONE.com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83"/>
        <w:gridCol w:w="1104"/>
        <w:gridCol w:w="1028"/>
        <w:gridCol w:w="240"/>
        <w:gridCol w:w="841"/>
        <w:gridCol w:w="109"/>
        <w:gridCol w:w="109"/>
        <w:gridCol w:w="109"/>
        <w:gridCol w:w="109"/>
        <w:gridCol w:w="240"/>
        <w:gridCol w:w="841"/>
        <w:gridCol w:w="109"/>
        <w:gridCol w:w="109"/>
        <w:gridCol w:w="109"/>
        <w:gridCol w:w="109"/>
        <w:gridCol w:w="109"/>
        <w:gridCol w:w="109"/>
        <w:gridCol w:w="132"/>
        <w:gridCol w:w="132"/>
        <w:gridCol w:w="344"/>
        <w:gridCol w:w="932"/>
        <w:gridCol w:w="132"/>
        <w:gridCol w:w="109"/>
        <w:gridCol w:w="109"/>
        <w:gridCol w:w="109"/>
        <w:gridCol w:w="240"/>
        <w:gridCol w:w="841"/>
        <w:gridCol w:w="158"/>
      </w:tblGrid>
      <w:tr>
        <w:trPr/>
        <w:tc>
          <w:tcPr>
            <w:tcW w:w="158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566" w:type="dxa"/>
            <w:gridSpan w:val="6"/>
            <w:tcBorders/>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37,864,185 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34,052,692 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36,399,309 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33,923,229 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779" w:type="dxa"/>
        <w:jc w:val="center"/>
        <w:tblInd w:w="0" w:type="dxa"/>
        <w:tblLayout w:type="fixed"/>
        <w:tblCellMar>
          <w:top w:w="28" w:type="dxa"/>
          <w:left w:w="28" w:type="dxa"/>
          <w:bottom w:w="28" w:type="dxa"/>
          <w:right w:w="28" w:type="dxa"/>
        </w:tblCellMar>
      </w:tblPr>
      <w:tblGrid>
        <w:gridCol w:w="1707"/>
        <w:gridCol w:w="1497"/>
        <w:gridCol w:w="1505"/>
        <w:gridCol w:w="212"/>
        <w:gridCol w:w="833"/>
        <w:gridCol w:w="109"/>
        <w:gridCol w:w="109"/>
        <w:gridCol w:w="109"/>
        <w:gridCol w:w="109"/>
        <w:gridCol w:w="281"/>
        <w:gridCol w:w="1103"/>
        <w:gridCol w:w="205"/>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RECONCILIATION OF NET LOSS TO NON-GAAP ADJUSTED EBITDA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8411" w:type="dxa"/>
        <w:jc w:val="center"/>
        <w:tblInd w:w="0" w:type="dxa"/>
        <w:tblLayout w:type="fixed"/>
        <w:tblCellMar>
          <w:top w:w="28" w:type="dxa"/>
          <w:left w:w="28" w:type="dxa"/>
          <w:bottom w:w="28" w:type="dxa"/>
          <w:right w:w="28" w:type="dxa"/>
        </w:tblCellMar>
      </w:tblPr>
      <w:tblGrid>
        <w:gridCol w:w="941"/>
        <w:gridCol w:w="821"/>
        <w:gridCol w:w="832"/>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2272</Words>
  <Characters>13249</Characters>
  <CharactersWithSpaces>15324</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