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85"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10-Q/A</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40005</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(Mark one)</w:t>
      </w:r>
    </w:p>
    <w:p>
      <w:pPr>
        <w:spacing w:after="0" w:line="47" w:lineRule="exact"/>
        <w:rPr>
          <w:sz w:val="24"/>
          <w:szCs w:val="24"/>
          <w:color w:val="auto"/>
        </w:rPr>
      </w:pPr>
    </w:p>
    <w:p>
      <w:pPr>
        <w:ind w:left="1620" w:hanging="234"/>
        <w:spacing w:after="0"/>
        <w:tabs>
          <w:tab w:leader="none" w:pos="16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2020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89" w:lineRule="exact"/>
        <w:rPr>
          <w:sz w:val="24"/>
          <w:szCs w:val="24"/>
          <w:color w:val="auto"/>
        </w:rPr>
      </w:pPr>
    </w:p>
    <w:p>
      <w:pPr>
        <w:ind w:left="1620" w:hanging="240"/>
        <w:spacing w:after="0"/>
        <w:tabs>
          <w:tab w:leader="none" w:pos="16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ind w:left="3860"/>
        <w:spacing w:after="0"/>
        <w:rPr>
          <w:rFonts w:ascii="MS PGothic" w:cs="MS PGothic" w:eastAsia="MS PGothic" w:hAnsi="MS PGothic"/>
          <w:sz w:val="22"/>
          <w:szCs w:val="22"/>
          <w:color w:val="auto"/>
        </w:rPr>
      </w:pPr>
      <w:r>
        <w:rPr>
          <w:rFonts w:ascii="Arial" w:cs="Arial" w:eastAsia="Arial" w:hAnsi="Arial"/>
          <w:sz w:val="14"/>
          <w:szCs w:val="14"/>
          <w:b w:val="1"/>
          <w:bCs w:val="1"/>
          <w:color w:val="auto"/>
        </w:rPr>
        <w:t>For the transition period from __________ to __________</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001-38701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70485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60" w:type="dxa"/>
            <w:vAlign w:val="bottom"/>
            <w:gridSpan w:val="2"/>
          </w:tcPr>
          <w:p>
            <w:pPr>
              <w:jc w:val="right"/>
              <w:ind w:right="468"/>
              <w:spacing w:after="0"/>
              <w:rPr>
                <w:sz w:val="20"/>
                <w:szCs w:val="20"/>
                <w:color w:val="auto"/>
              </w:rPr>
            </w:pPr>
            <w:r>
              <w:rPr>
                <w:rFonts w:ascii="Arial" w:cs="Arial" w:eastAsia="Arial" w:hAnsi="Arial"/>
                <w:sz w:val="16"/>
                <w:szCs w:val="16"/>
                <w:b w:val="1"/>
                <w:bCs w:val="1"/>
                <w:color w:val="auto"/>
              </w:rPr>
              <w:t>26-2216351</w:t>
            </w:r>
          </w:p>
        </w:tc>
        <w:tc>
          <w:tcPr>
            <w:tcW w:w="20" w:type="dxa"/>
            <w:vAlign w:val="bottom"/>
          </w:tcPr>
          <w:p>
            <w:pPr>
              <w:spacing w:after="0"/>
              <w:rPr>
                <w:sz w:val="19"/>
                <w:szCs w:val="19"/>
                <w:color w:val="auto"/>
              </w:rPr>
            </w:pPr>
          </w:p>
        </w:tc>
      </w:tr>
      <w:tr>
        <w:trPr>
          <w:trHeight w:val="172"/>
        </w:trPr>
        <w:tc>
          <w:tcPr>
            <w:tcW w:w="484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84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auto"/>
                <w:w w:val="95"/>
              </w:rPr>
              <w:t>Identification Number)</w:t>
            </w:r>
          </w:p>
        </w:tc>
      </w:tr>
      <w:tr>
        <w:trPr>
          <w:trHeight w:val="370"/>
        </w:trPr>
        <w:tc>
          <w:tcPr>
            <w:tcW w:w="484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3"/>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gridSpan w:val="2"/>
          </w:tcPr>
          <w:p>
            <w:pPr>
              <w:jc w:val="right"/>
              <w:ind w:right="688"/>
              <w:spacing w:after="0"/>
              <w:rPr>
                <w:sz w:val="20"/>
                <w:szCs w:val="20"/>
                <w:color w:val="auto"/>
              </w:rPr>
            </w:pPr>
            <w:r>
              <w:rPr>
                <w:rFonts w:ascii="Arial" w:cs="Arial" w:eastAsia="Arial" w:hAnsi="Arial"/>
                <w:sz w:val="16"/>
                <w:szCs w:val="16"/>
                <w:b w:val="1"/>
                <w:bCs w:val="1"/>
                <w:color w:val="auto"/>
              </w:rPr>
              <w:t>95050</w:t>
            </w:r>
          </w:p>
        </w:tc>
        <w:tc>
          <w:tcPr>
            <w:tcW w:w="20" w:type="dxa"/>
            <w:vAlign w:val="bottom"/>
          </w:tcPr>
          <w:p>
            <w:pPr>
              <w:spacing w:after="0"/>
              <w:rPr>
                <w:sz w:val="24"/>
                <w:szCs w:val="24"/>
                <w:color w:val="auto"/>
              </w:rPr>
            </w:pPr>
          </w:p>
        </w:tc>
      </w:tr>
      <w:tr>
        <w:trPr>
          <w:trHeight w:val="223"/>
        </w:trPr>
        <w:tc>
          <w:tcPr>
            <w:tcW w:w="4840" w:type="dxa"/>
            <w:vAlign w:val="bottom"/>
            <w:gridSpan w:val="4"/>
          </w:tcPr>
          <w:p>
            <w:pPr>
              <w:jc w:val="center"/>
              <w:ind w:left="6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ind w:left="1360"/>
              <w:spacing w:after="0"/>
              <w:rPr>
                <w:sz w:val="20"/>
                <w:szCs w:val="20"/>
                <w:color w:val="auto"/>
              </w:rPr>
            </w:pPr>
            <w:r>
              <w:rPr>
                <w:rFonts w:ascii="Arial" w:cs="Arial" w:eastAsia="Arial" w:hAnsi="Arial"/>
                <w:sz w:val="14"/>
                <w:szCs w:val="14"/>
                <w:b w:val="1"/>
                <w:bCs w:val="1"/>
                <w:color w:val="auto"/>
              </w:rPr>
              <w:t>(Zip Code)</w:t>
            </w:r>
          </w:p>
        </w:tc>
      </w:tr>
      <w:tr>
        <w:trPr>
          <w:trHeight w:val="270"/>
        </w:trPr>
        <w:tc>
          <w:tcPr>
            <w:tcW w:w="2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560" w:type="dxa"/>
            <w:vAlign w:val="bottom"/>
            <w:gridSpan w:val="8"/>
          </w:tcPr>
          <w:p>
            <w:pPr>
              <w:ind w:left="180"/>
              <w:spacing w:after="0"/>
              <w:rPr>
                <w:sz w:val="20"/>
                <w:szCs w:val="20"/>
                <w:color w:val="auto"/>
              </w:rPr>
            </w:pPr>
            <w:r>
              <w:rPr>
                <w:rFonts w:ascii="Arial" w:cs="Arial" w:eastAsia="Arial" w:hAnsi="Arial"/>
                <w:sz w:val="14"/>
                <w:szCs w:val="14"/>
                <w:b w:val="1"/>
                <w:bCs w:val="1"/>
                <w:color w:val="auto"/>
              </w:rPr>
              <w:t>Registrant's telephone number, including area code</w:t>
            </w:r>
            <w:r>
              <w:rPr>
                <w:rFonts w:ascii="Arial" w:cs="Arial" w:eastAsia="Arial" w:hAnsi="Arial"/>
                <w:sz w:val="14"/>
                <w:szCs w:val="14"/>
                <w:color w:val="auto"/>
              </w:rPr>
              <w:t>:</w:t>
            </w:r>
            <w:r>
              <w:rPr>
                <w:rFonts w:ascii="Arial" w:cs="Arial" w:eastAsia="Arial" w:hAnsi="Arial"/>
                <w:sz w:val="14"/>
                <w:szCs w:val="14"/>
                <w:b w:val="1"/>
                <w:bCs w:val="1"/>
                <w:color w:val="auto"/>
              </w:rPr>
              <w:t xml:space="preserve"> (408) 207-0700</w:t>
            </w:r>
          </w:p>
        </w:tc>
      </w:tr>
      <w:tr>
        <w:trPr>
          <w:trHeight w:val="60"/>
        </w:trPr>
        <w:tc>
          <w:tcPr>
            <w:tcW w:w="2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2"/>
        </w:trPr>
        <w:tc>
          <w:tcPr>
            <w:tcW w:w="484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7"/>
        </w:trPr>
        <w:tc>
          <w:tcPr>
            <w:tcW w:w="23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40" w:type="dxa"/>
            <w:vAlign w:val="bottom"/>
            <w:gridSpan w:val="2"/>
          </w:tcPr>
          <w:p>
            <w:pPr>
              <w:spacing w:after="0"/>
              <w:rPr>
                <w:sz w:val="16"/>
                <w:szCs w:val="16"/>
                <w:color w:val="auto"/>
              </w:rPr>
            </w:pPr>
          </w:p>
        </w:tc>
        <w:tc>
          <w:tcPr>
            <w:tcW w:w="2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840" w:type="dxa"/>
            <w:vAlign w:val="bottom"/>
            <w:gridSpan w:val="4"/>
          </w:tcPr>
          <w:p>
            <w:pPr>
              <w:jc w:val="center"/>
              <w:ind w:left="805"/>
              <w:spacing w:after="0"/>
              <w:rPr>
                <w:sz w:val="20"/>
                <w:szCs w:val="20"/>
                <w:color w:val="auto"/>
              </w:rPr>
            </w:pPr>
            <w:r>
              <w:rPr>
                <w:rFonts w:ascii="Arial" w:cs="Arial" w:eastAsia="Arial" w:hAnsi="Arial"/>
                <w:sz w:val="14"/>
                <w:szCs w:val="14"/>
                <w:color w:val="auto"/>
                <w:w w:val="91"/>
              </w:rPr>
              <w:t>Common Stock, par value $0.0001 per share</w:t>
            </w:r>
          </w:p>
        </w:tc>
        <w:tc>
          <w:tcPr>
            <w:tcW w:w="440" w:type="dxa"/>
            <w:vAlign w:val="bottom"/>
          </w:tcPr>
          <w:p>
            <w:pPr>
              <w:spacing w:after="0"/>
              <w:rPr>
                <w:sz w:val="18"/>
                <w:szCs w:val="18"/>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color w:val="auto"/>
              </w:rPr>
              <w:t>SIBN</w:t>
            </w:r>
          </w:p>
        </w:tc>
        <w:tc>
          <w:tcPr>
            <w:tcW w:w="100" w:type="dxa"/>
            <w:vAlign w:val="bottom"/>
          </w:tcPr>
          <w:p>
            <w:pPr>
              <w:spacing w:after="0"/>
              <w:rPr>
                <w:sz w:val="18"/>
                <w:szCs w:val="18"/>
                <w:color w:val="auto"/>
              </w:rPr>
            </w:pPr>
          </w:p>
        </w:tc>
        <w:tc>
          <w:tcPr>
            <w:tcW w:w="2680" w:type="dxa"/>
            <w:vAlign w:val="bottom"/>
            <w:gridSpan w:val="2"/>
          </w:tcPr>
          <w:p>
            <w:pPr>
              <w:jc w:val="right"/>
              <w:ind w:right="560"/>
              <w:spacing w:after="0"/>
              <w:rPr>
                <w:sz w:val="20"/>
                <w:szCs w:val="20"/>
                <w:color w:val="auto"/>
              </w:rPr>
            </w:pPr>
            <w:r>
              <w:rPr>
                <w:rFonts w:ascii="Arial" w:cs="Arial" w:eastAsia="Arial" w:hAnsi="Arial"/>
                <w:sz w:val="14"/>
                <w:szCs w:val="14"/>
                <w:color w:val="auto"/>
              </w:rPr>
              <w:t>The Nasdaq Global Market</w:t>
            </w:r>
          </w:p>
        </w:tc>
      </w:tr>
    </w:tbl>
    <w:p>
      <w:pPr>
        <w:spacing w:after="0" w:line="101" w:lineRule="exact"/>
        <w:rPr>
          <w:sz w:val="24"/>
          <w:szCs w:val="24"/>
          <w:color w:val="auto"/>
        </w:rPr>
      </w:pPr>
    </w:p>
    <w:p>
      <w:pPr>
        <w:jc w:val="center"/>
        <w:ind w:left="340"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jc w:val="center"/>
        <w:ind w:left="340" w:right="4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6" w:lineRule="exact"/>
        <w:rPr>
          <w:sz w:val="24"/>
          <w:szCs w:val="24"/>
          <w:color w:val="auto"/>
        </w:rPr>
      </w:pPr>
    </w:p>
    <w:p>
      <w:pPr>
        <w:jc w:val="cente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1620" w:type="dxa"/>
            <w:vAlign w:val="bottom"/>
          </w:tcPr>
          <w:p>
            <w:pPr>
              <w:jc w:val="right"/>
              <w:spacing w:after="0"/>
              <w:rPr>
                <w:sz w:val="20"/>
                <w:szCs w:val="20"/>
                <w:color w:val="auto"/>
              </w:rPr>
            </w:pPr>
            <w:r>
              <w:rPr>
                <w:rFonts w:ascii="Arial" w:cs="Arial" w:eastAsia="Arial" w:hAnsi="Arial"/>
                <w:sz w:val="14"/>
                <w:szCs w:val="14"/>
                <w:color w:val="auto"/>
              </w:rPr>
              <w:t>Large accelerated filer o</w:t>
            </w:r>
          </w:p>
        </w:tc>
        <w:tc>
          <w:tcPr>
            <w:tcW w:w="1080" w:type="dxa"/>
            <w:vAlign w:val="bottom"/>
          </w:tcPr>
          <w:p>
            <w:pPr>
              <w:spacing w:after="0"/>
              <w:rPr>
                <w:sz w:val="15"/>
                <w:szCs w:val="15"/>
                <w:color w:val="auto"/>
              </w:rPr>
            </w:pPr>
          </w:p>
        </w:tc>
        <w:tc>
          <w:tcPr>
            <w:tcW w:w="3700" w:type="dxa"/>
            <w:vAlign w:val="bottom"/>
          </w:tcPr>
          <w:p>
            <w:pPr>
              <w:jc w:val="center"/>
              <w:ind w:right="8"/>
              <w:spacing w:after="0"/>
              <w:rPr>
                <w:sz w:val="20"/>
                <w:szCs w:val="20"/>
                <w:color w:val="auto"/>
              </w:rPr>
            </w:pPr>
            <w:r>
              <w:rPr>
                <w:rFonts w:ascii="Arial" w:cs="Arial" w:eastAsia="Arial" w:hAnsi="Arial"/>
                <w:sz w:val="14"/>
                <w:szCs w:val="14"/>
                <w:color w:val="auto"/>
                <w:w w:val="98"/>
              </w:rPr>
              <w:t>Accelerated filer x</w:t>
            </w:r>
          </w:p>
        </w:tc>
        <w:tc>
          <w:tcPr>
            <w:tcW w:w="2400" w:type="dxa"/>
            <w:vAlign w:val="bottom"/>
          </w:tcPr>
          <w:p>
            <w:pPr>
              <w:ind w:left="1040"/>
              <w:spacing w:after="0"/>
              <w:rPr>
                <w:sz w:val="20"/>
                <w:szCs w:val="20"/>
                <w:color w:val="auto"/>
              </w:rPr>
            </w:pPr>
            <w:r>
              <w:rPr>
                <w:rFonts w:ascii="Arial" w:cs="Arial" w:eastAsia="Arial" w:hAnsi="Arial"/>
                <w:sz w:val="14"/>
                <w:szCs w:val="14"/>
                <w:color w:val="auto"/>
                <w:w w:val="95"/>
              </w:rPr>
              <w:t>Non-accelerated filer o</w:t>
            </w:r>
          </w:p>
        </w:tc>
      </w:tr>
      <w:tr>
        <w:trPr>
          <w:trHeight w:val="243"/>
        </w:trPr>
        <w:tc>
          <w:tcPr>
            <w:tcW w:w="1620" w:type="dxa"/>
            <w:vAlign w:val="bottom"/>
          </w:tcPr>
          <w:p>
            <w:pPr>
              <w:jc w:val="right"/>
              <w:spacing w:after="0"/>
              <w:rPr>
                <w:sz w:val="20"/>
                <w:szCs w:val="20"/>
                <w:color w:val="auto"/>
              </w:rPr>
            </w:pPr>
            <w:r>
              <w:rPr>
                <w:rFonts w:ascii="Arial" w:cs="Arial" w:eastAsia="Arial" w:hAnsi="Arial"/>
                <w:sz w:val="14"/>
                <w:szCs w:val="14"/>
                <w:color w:val="auto"/>
                <w:w w:val="93"/>
              </w:rPr>
              <w:t>Smaller reporting company</w:t>
            </w:r>
          </w:p>
        </w:tc>
        <w:tc>
          <w:tcPr>
            <w:tcW w:w="1080" w:type="dxa"/>
            <w:vAlign w:val="bottom"/>
          </w:tcPr>
          <w:p>
            <w:pPr>
              <w:ind w:left="40"/>
              <w:spacing w:after="0"/>
              <w:rPr>
                <w:sz w:val="20"/>
                <w:szCs w:val="20"/>
                <w:color w:val="auto"/>
              </w:rPr>
            </w:pPr>
            <w:r>
              <w:rPr>
                <w:rFonts w:ascii="Arial" w:cs="Arial" w:eastAsia="Arial" w:hAnsi="Arial"/>
                <w:sz w:val="14"/>
                <w:szCs w:val="14"/>
                <w:color w:val="auto"/>
              </w:rPr>
              <w:t>x</w:t>
            </w:r>
          </w:p>
        </w:tc>
        <w:tc>
          <w:tcPr>
            <w:tcW w:w="3700" w:type="dxa"/>
            <w:vAlign w:val="bottom"/>
          </w:tcPr>
          <w:p>
            <w:pPr>
              <w:jc w:val="center"/>
              <w:ind w:right="28"/>
              <w:spacing w:after="0"/>
              <w:rPr>
                <w:sz w:val="20"/>
                <w:szCs w:val="20"/>
                <w:color w:val="auto"/>
              </w:rPr>
            </w:pPr>
            <w:r>
              <w:rPr>
                <w:rFonts w:ascii="Arial" w:cs="Arial" w:eastAsia="Arial" w:hAnsi="Arial"/>
                <w:sz w:val="14"/>
                <w:szCs w:val="14"/>
                <w:color w:val="auto"/>
                <w:w w:val="94"/>
              </w:rPr>
              <w:t>Emerging growth company x</w:t>
            </w:r>
          </w:p>
        </w:tc>
        <w:tc>
          <w:tcPr>
            <w:tcW w:w="2400" w:type="dxa"/>
            <w:vAlign w:val="bottom"/>
          </w:tcPr>
          <w:p>
            <w:pPr>
              <w:spacing w:after="0"/>
              <w:rPr>
                <w:sz w:val="21"/>
                <w:szCs w:val="21"/>
                <w:color w:val="auto"/>
              </w:rPr>
            </w:pPr>
          </w:p>
        </w:tc>
      </w:tr>
    </w:tbl>
    <w:p>
      <w:pPr>
        <w:spacing w:after="0" w:line="101" w:lineRule="exact"/>
        <w:rPr>
          <w:sz w:val="24"/>
          <w:szCs w:val="24"/>
          <w:color w:val="auto"/>
        </w:rPr>
      </w:pPr>
    </w:p>
    <w:p>
      <w:pPr>
        <w:jc w:val="center"/>
        <w:ind w:left="340" w:right="28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38" w:lineRule="exact"/>
        <w:rPr>
          <w:sz w:val="24"/>
          <w:szCs w:val="24"/>
          <w:color w:val="auto"/>
        </w:rPr>
      </w:pPr>
    </w:p>
    <w:p>
      <w:pPr>
        <w:jc w:val="center"/>
        <w:ind w:right="-1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number of shares outstanding of the registrant’s Common Stock was 28,427,133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55245</wp:posOffset>
            </wp:positionV>
            <wp:extent cx="6883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EXPLANATORY NOTE</w:t>
      </w:r>
    </w:p>
    <w:p>
      <w:pPr>
        <w:spacing w:after="0" w:line="235"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SI-BONE, Inc. (“the Company”) filed its Quarterly Report on Form 10-Q as of and for the three months ended March 31, 2020 with the Securities and Exchange Commission on May 5, 2020 (the “Original Filing”). The Company is filing this Form 10-Q/A, Amendment No. 1 solely to amend the text of Exhibit 31.1 and 31.2 of the Original Filing to include paragraph 4(b) and the introductory language in paragraph 4 referring to internal control over financial reporting as defined in Exchange Act Rules 13a-15(f) and 15d-15(f)).</w:t>
      </w:r>
    </w:p>
    <w:p>
      <w:pPr>
        <w:spacing w:after="0" w:line="211" w:lineRule="exact"/>
        <w:rPr>
          <w:sz w:val="24"/>
          <w:szCs w:val="24"/>
          <w:color w:val="auto"/>
        </w:rPr>
      </w:pPr>
    </w:p>
    <w:p>
      <w:pPr>
        <w:spacing w:after="0"/>
        <w:rPr>
          <w:sz w:val="20"/>
          <w:szCs w:val="20"/>
          <w:color w:val="auto"/>
        </w:rPr>
      </w:pPr>
      <w:r>
        <w:rPr>
          <w:rFonts w:ascii="Arial" w:cs="Arial" w:eastAsia="Arial" w:hAnsi="Arial"/>
          <w:sz w:val="14"/>
          <w:szCs w:val="14"/>
          <w:color w:val="auto"/>
        </w:rPr>
        <w:t>Except as described above, no other changes have been made to the Original Filing.</w:t>
      </w:r>
    </w:p>
    <w:p>
      <w:pPr>
        <w:sectPr>
          <w:pgSz w:w="11900" w:h="16838" w:orient="portrait"/>
          <w:cols w:equalWidth="0" w:num="1">
            <w:col w:w="11240"/>
          </w:cols>
          <w:pgMar w:left="320" w:top="94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300" w:type="dxa"/>
            <w:vAlign w:val="bottom"/>
            <w:gridSpan w:val="2"/>
          </w:tcPr>
          <w:p>
            <w:pPr>
              <w:ind w:left="1460"/>
              <w:spacing w:after="0"/>
              <w:rPr>
                <w:sz w:val="20"/>
                <w:szCs w:val="20"/>
                <w:color w:val="auto"/>
              </w:rPr>
            </w:pPr>
            <w:r>
              <w:rPr>
                <w:rFonts w:ascii="Arial" w:cs="Arial" w:eastAsia="Arial" w:hAnsi="Arial"/>
                <w:sz w:val="18"/>
                <w:szCs w:val="18"/>
                <w:color w:val="auto"/>
              </w:rPr>
              <w:t>SI-BONE,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140"/>
              <w:spacing w:after="0"/>
              <w:rPr>
                <w:sz w:val="20"/>
                <w:szCs w:val="20"/>
                <w:color w:val="auto"/>
              </w:rPr>
            </w:pPr>
            <w:r>
              <w:rPr>
                <w:rFonts w:ascii="Arial" w:cs="Arial" w:eastAsia="Arial" w:hAnsi="Arial"/>
                <w:sz w:val="18"/>
                <w:szCs w:val="18"/>
                <w:color w:val="auto"/>
              </w:rPr>
              <w:t>June 17, 2020</w:t>
            </w:r>
          </w:p>
        </w:tc>
        <w:tc>
          <w:tcPr>
            <w:tcW w:w="2140" w:type="dxa"/>
            <w:vAlign w:val="bottom"/>
          </w:tcPr>
          <w:p>
            <w:pPr>
              <w:ind w:left="1460"/>
              <w:spacing w:after="0"/>
              <w:rPr>
                <w:sz w:val="20"/>
                <w:szCs w:val="20"/>
                <w:color w:val="auto"/>
              </w:rPr>
            </w:pPr>
            <w:r>
              <w:rPr>
                <w:rFonts w:ascii="Arial" w:cs="Arial" w:eastAsia="Arial" w:hAnsi="Arial"/>
                <w:sz w:val="18"/>
                <w:szCs w:val="18"/>
                <w:color w:val="auto"/>
              </w:rPr>
              <w:t>By:</w:t>
            </w:r>
          </w:p>
        </w:tc>
        <w:tc>
          <w:tcPr>
            <w:tcW w:w="4160" w:type="dxa"/>
            <w:vAlign w:val="bottom"/>
          </w:tcPr>
          <w:p>
            <w:pPr>
              <w:ind w:left="20"/>
              <w:spacing w:after="0"/>
              <w:rPr>
                <w:sz w:val="20"/>
                <w:szCs w:val="20"/>
                <w:color w:val="auto"/>
              </w:rPr>
            </w:pPr>
            <w:r>
              <w:rPr>
                <w:rFonts w:ascii="Arial" w:cs="Arial" w:eastAsia="Arial" w:hAnsi="Arial"/>
                <w:sz w:val="18"/>
                <w:szCs w:val="18"/>
                <w:color w:val="auto"/>
              </w:rPr>
              <w:t>/s/ Jeffrey W. Dunn</w:t>
            </w:r>
          </w:p>
        </w:tc>
      </w:tr>
      <w:tr>
        <w:trPr>
          <w:trHeight w:val="27"/>
        </w:trPr>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70"/>
        </w:trPr>
        <w:tc>
          <w:tcPr>
            <w:tcW w:w="5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02"/>
        </w:trPr>
        <w:tc>
          <w:tcPr>
            <w:tcW w:w="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(Duly Authorized Officer and Principal Executive</w:t>
            </w:r>
          </w:p>
        </w:tc>
      </w:tr>
      <w:tr>
        <w:trPr>
          <w:trHeight w:val="230"/>
        </w:trPr>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tc>
      </w:tr>
      <w:tr>
        <w:trPr>
          <w:trHeight w:val="674"/>
        </w:trPr>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300" w:type="dxa"/>
            <w:vAlign w:val="bottom"/>
            <w:gridSpan w:val="2"/>
          </w:tcPr>
          <w:p>
            <w:pPr>
              <w:ind w:left="1460"/>
              <w:spacing w:after="0"/>
              <w:rPr>
                <w:sz w:val="20"/>
                <w:szCs w:val="20"/>
                <w:color w:val="auto"/>
              </w:rPr>
            </w:pPr>
            <w:r>
              <w:rPr>
                <w:rFonts w:ascii="Arial" w:cs="Arial" w:eastAsia="Arial" w:hAnsi="Arial"/>
                <w:sz w:val="18"/>
                <w:szCs w:val="18"/>
                <w:color w:val="auto"/>
              </w:rPr>
              <w:t>SI-BONE, Inc.</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140"/>
              <w:spacing w:after="0"/>
              <w:rPr>
                <w:sz w:val="20"/>
                <w:szCs w:val="20"/>
                <w:color w:val="auto"/>
              </w:rPr>
            </w:pPr>
            <w:r>
              <w:rPr>
                <w:rFonts w:ascii="Arial" w:cs="Arial" w:eastAsia="Arial" w:hAnsi="Arial"/>
                <w:sz w:val="18"/>
                <w:szCs w:val="18"/>
                <w:color w:val="auto"/>
              </w:rPr>
              <w:t>June 17, 2020</w:t>
            </w:r>
          </w:p>
        </w:tc>
        <w:tc>
          <w:tcPr>
            <w:tcW w:w="2140" w:type="dxa"/>
            <w:vAlign w:val="bottom"/>
          </w:tcPr>
          <w:p>
            <w:pPr>
              <w:ind w:left="1460"/>
              <w:spacing w:after="0"/>
              <w:rPr>
                <w:sz w:val="20"/>
                <w:szCs w:val="20"/>
                <w:color w:val="auto"/>
              </w:rPr>
            </w:pPr>
            <w:r>
              <w:rPr>
                <w:rFonts w:ascii="Arial" w:cs="Arial" w:eastAsia="Arial" w:hAnsi="Arial"/>
                <w:sz w:val="18"/>
                <w:szCs w:val="18"/>
                <w:color w:val="auto"/>
              </w:rPr>
              <w:t>By:</w:t>
            </w:r>
          </w:p>
        </w:tc>
        <w:tc>
          <w:tcPr>
            <w:tcW w:w="4160" w:type="dxa"/>
            <w:vAlign w:val="bottom"/>
          </w:tcPr>
          <w:p>
            <w:pPr>
              <w:ind w:left="20"/>
              <w:spacing w:after="0"/>
              <w:rPr>
                <w:sz w:val="20"/>
                <w:szCs w:val="20"/>
                <w:color w:val="auto"/>
              </w:rPr>
            </w:pPr>
            <w:r>
              <w:rPr>
                <w:rFonts w:ascii="Arial" w:cs="Arial" w:eastAsia="Arial" w:hAnsi="Arial"/>
                <w:sz w:val="18"/>
                <w:szCs w:val="18"/>
                <w:color w:val="auto"/>
              </w:rPr>
              <w:t>/s/ Laura A. Francis</w:t>
            </w:r>
          </w:p>
        </w:tc>
      </w:tr>
      <w:tr>
        <w:trPr>
          <w:trHeight w:val="27"/>
        </w:trPr>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70"/>
        </w:trPr>
        <w:tc>
          <w:tcPr>
            <w:tcW w:w="5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Financial 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77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48" w:lineRule="auto"/>
        <w:tabs>
          <w:tab w:leader="none" w:pos="104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077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7" w:lineRule="exact"/>
        <w:rPr>
          <w:sz w:val="20"/>
          <w:szCs w:val="20"/>
          <w:color w:val="auto"/>
        </w:rPr>
      </w:pPr>
    </w:p>
    <w:p>
      <w:pPr>
        <w:ind w:left="860"/>
        <w:spacing w:after="0"/>
        <w:tabs>
          <w:tab w:leader="none" w:pos="1400" w:val="left"/>
          <w:tab w:leader="none" w:pos="7360" w:val="left"/>
        </w:tabs>
        <w:rPr>
          <w:sz w:val="20"/>
          <w:szCs w:val="20"/>
          <w:color w:val="auto"/>
        </w:rPr>
      </w:pPr>
      <w:r>
        <w:rPr>
          <w:rFonts w:ascii="Arial" w:cs="Arial" w:eastAsia="Arial" w:hAnsi="Arial"/>
          <w:sz w:val="18"/>
          <w:szCs w:val="18"/>
          <w:color w:val="auto"/>
        </w:rPr>
        <w:t>Date:</w:t>
        <w:tab/>
        <w:t>June 17,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76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3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48" w:lineRule="auto"/>
        <w:tabs>
          <w:tab w:leader="none" w:pos="104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06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380" w:val="left"/>
          <w:tab w:leader="none" w:pos="7440" w:val="left"/>
        </w:tabs>
        <w:rPr>
          <w:sz w:val="20"/>
          <w:szCs w:val="20"/>
          <w:color w:val="auto"/>
        </w:rPr>
      </w:pPr>
      <w:r>
        <w:rPr>
          <w:rFonts w:ascii="Arial" w:cs="Arial" w:eastAsia="Arial" w:hAnsi="Arial"/>
          <w:sz w:val="18"/>
          <w:szCs w:val="18"/>
          <w:color w:val="auto"/>
        </w:rPr>
        <w:t>Date:</w:t>
        <w:tab/>
        <w:t>June 17,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Operating Officer and Chief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2020-06-17T15:15:17Z</dcterms:created>
  <dcterms:modified xsi:type="dcterms:W3CDTF">2020-06-17T15:15:17Z</dcterms:modified>
</cp:coreProperties>
</file>