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SI-BONE,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825704 10 9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27,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 w:name="page2"/>
    <w:bookmarkEnd w:id="1"/>
    <w:p>
      <w:pPr>
        <w:jc w:val="right"/>
        <w:ind w:right="383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619" w:hanging="620"/>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Montreux Equity Partners IV, L.P.</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Appropriate Box if a Member of Group (See Instructions):</w:t>
      </w:r>
    </w:p>
    <w:p>
      <w:pPr>
        <w:spacing w:after="0" w:line="128" w:lineRule="exact"/>
        <w:rPr>
          <w:rFonts w:ascii="Arial" w:cs="Arial" w:eastAsia="Arial" w:hAnsi="Arial"/>
          <w:sz w:val="17"/>
          <w:szCs w:val="17"/>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399" w:hanging="620"/>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-533400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-944880</wp:posOffset>
            </wp:positionV>
            <wp:extent cx="5768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-1159510</wp:posOffset>
            </wp:positionV>
            <wp:extent cx="5768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-1776730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sectPr>
      </w:pPr>
    </w:p>
    <w:p>
      <w:pPr>
        <w:spacing w:after="0" w:line="40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Reporting</w:t>
      </w:r>
      <w:r>
        <w:rPr>
          <w:sz w:val="20"/>
          <w:szCs w:val="20"/>
          <w:color w:val="auto"/>
        </w:rPr>
        <w:tab/>
      </w:r>
      <w:r>
        <w:rPr>
          <w:rFonts w:ascii="Arial" w:cs="Arial" w:eastAsia="Arial" w:hAnsi="Arial"/>
          <w:sz w:val="16"/>
          <w:szCs w:val="16"/>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0" w:lineRule="exact"/>
        <w:rPr>
          <w:sz w:val="20"/>
          <w:szCs w:val="20"/>
          <w:color w:val="auto"/>
        </w:rPr>
      </w:pPr>
    </w:p>
    <w:p>
      <w:pPr>
        <w:spacing w:after="0" w:line="22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37" w:right="1440" w:bottom="1440" w:gutter="0" w:footer="0" w:header="0"/>
          <w:type w:val="continuous"/>
        </w:sectPr>
      </w:pPr>
    </w:p>
    <w:p>
      <w:pPr>
        <w:spacing w:after="0" w:line="227" w:lineRule="exact"/>
        <w:rPr>
          <w:sz w:val="20"/>
          <w:szCs w:val="20"/>
          <w:color w:val="auto"/>
        </w:rPr>
      </w:pPr>
    </w:p>
    <w:p>
      <w:pPr>
        <w:ind w:left="1000" w:right="421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23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497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type w:val="continuous"/>
        </w:sectPr>
      </w:pPr>
    </w:p>
    <w:bookmarkStart w:id="2" w:name="page3"/>
    <w:bookmarkEnd w:id="2"/>
    <w:p>
      <w:pPr>
        <w:jc w:val="right"/>
        <w:ind w:right="383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759" w:hanging="620"/>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Reporting Person: Montreux IV Associates,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the Appropriate Box if a Member of Group (See Instructions):</w:t>
      </w:r>
    </w:p>
    <w:p>
      <w:pPr>
        <w:spacing w:after="0" w:line="128" w:lineRule="exact"/>
        <w:rPr>
          <w:rFonts w:ascii="Arial" w:cs="Arial" w:eastAsia="Arial" w:hAnsi="Arial"/>
          <w:sz w:val="17"/>
          <w:szCs w:val="17"/>
          <w:color w:val="auto"/>
        </w:rPr>
      </w:pPr>
    </w:p>
    <w:p>
      <w:pPr>
        <w:ind w:left="2140" w:hanging="1139"/>
        <w:spacing w:after="0"/>
        <w:tabs>
          <w:tab w:leader="none" w:pos="2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39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49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-533400</wp:posOffset>
            </wp:positionV>
            <wp:extent cx="6497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-944880</wp:posOffset>
            </wp:positionV>
            <wp:extent cx="5768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-1159510</wp:posOffset>
            </wp:positionV>
            <wp:extent cx="57689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-1776730</wp:posOffset>
            </wp:positionV>
            <wp:extent cx="6497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sectPr>
      </w:pPr>
    </w:p>
    <w:p>
      <w:pPr>
        <w:spacing w:after="0" w:line="40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Reporting</w:t>
      </w:r>
      <w:r>
        <w:rPr>
          <w:sz w:val="20"/>
          <w:szCs w:val="20"/>
          <w:color w:val="auto"/>
        </w:rPr>
        <w:tab/>
      </w:r>
      <w:r>
        <w:rPr>
          <w:rFonts w:ascii="Arial" w:cs="Arial" w:eastAsia="Arial" w:hAnsi="Arial"/>
          <w:sz w:val="16"/>
          <w:szCs w:val="16"/>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0" w:lineRule="exact"/>
        <w:rPr>
          <w:sz w:val="20"/>
          <w:szCs w:val="20"/>
          <w:color w:val="auto"/>
        </w:rPr>
      </w:pPr>
    </w:p>
    <w:p>
      <w:pPr>
        <w:spacing w:after="0" w:line="22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37" w:right="1440" w:bottom="1440" w:gutter="0" w:footer="0" w:header="0"/>
          <w:type w:val="continuous"/>
        </w:sectPr>
      </w:pPr>
    </w:p>
    <w:p>
      <w:pPr>
        <w:spacing w:after="0" w:line="227" w:lineRule="exact"/>
        <w:rPr>
          <w:sz w:val="20"/>
          <w:szCs w:val="20"/>
          <w:color w:val="auto"/>
        </w:rPr>
      </w:pPr>
    </w:p>
    <w:p>
      <w:pPr>
        <w:ind w:left="1000" w:right="421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23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497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type w:val="continuous"/>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539" w:hanging="620"/>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 Montreux IV Associates IV,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the Appropriate Box if a Member of Group (See Instructions):</w:t>
      </w:r>
    </w:p>
    <w:p>
      <w:pPr>
        <w:spacing w:after="0" w:line="128" w:lineRule="exact"/>
        <w:rPr>
          <w:rFonts w:ascii="Arial" w:cs="Arial" w:eastAsia="Arial" w:hAnsi="Arial"/>
          <w:sz w:val="17"/>
          <w:szCs w:val="17"/>
          <w:color w:val="auto"/>
        </w:rPr>
      </w:pPr>
    </w:p>
    <w:p>
      <w:pPr>
        <w:ind w:left="2140" w:hanging="1139"/>
        <w:spacing w:after="0"/>
        <w:tabs>
          <w:tab w:leader="none" w:pos="2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39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497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-533400</wp:posOffset>
            </wp:positionV>
            <wp:extent cx="64979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-944880</wp:posOffset>
            </wp:positionV>
            <wp:extent cx="57689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-1159510</wp:posOffset>
            </wp:positionV>
            <wp:extent cx="5768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-1776730</wp:posOffset>
            </wp:positionV>
            <wp:extent cx="6497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sectPr>
      </w:pPr>
    </w:p>
    <w:p>
      <w:pPr>
        <w:spacing w:after="0" w:line="40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Reporting</w:t>
      </w:r>
      <w:r>
        <w:rPr>
          <w:sz w:val="20"/>
          <w:szCs w:val="20"/>
          <w:color w:val="auto"/>
        </w:rPr>
        <w:tab/>
      </w:r>
      <w:r>
        <w:rPr>
          <w:rFonts w:ascii="Arial" w:cs="Arial" w:eastAsia="Arial" w:hAnsi="Arial"/>
          <w:sz w:val="16"/>
          <w:szCs w:val="16"/>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0" w:lineRule="exact"/>
        <w:rPr>
          <w:sz w:val="20"/>
          <w:szCs w:val="20"/>
          <w:color w:val="auto"/>
        </w:rPr>
      </w:pPr>
    </w:p>
    <w:p>
      <w:pPr>
        <w:spacing w:after="0" w:line="22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37" w:right="1440" w:bottom="1440" w:gutter="0" w:footer="0" w:header="0"/>
          <w:type w:val="continuous"/>
        </w:sectPr>
      </w:pPr>
    </w:p>
    <w:p>
      <w:pPr>
        <w:spacing w:after="0" w:line="227" w:lineRule="exact"/>
        <w:rPr>
          <w:sz w:val="20"/>
          <w:szCs w:val="20"/>
          <w:color w:val="auto"/>
        </w:rPr>
      </w:pPr>
    </w:p>
    <w:p>
      <w:pPr>
        <w:ind w:left="1000" w:right="421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23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497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type w:val="continuous"/>
        </w:sectPr>
      </w:pPr>
    </w:p>
    <w:bookmarkStart w:id="4" w:name="page5"/>
    <w:bookmarkEnd w:id="4"/>
    <w:p>
      <w:pPr>
        <w:jc w:val="right"/>
        <w:ind w:right="383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99" w:hanging="620"/>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Reporting Person: Daniel K. Turner, III</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the Appropriate Box if a Member of Group (See Instructions):</w:t>
      </w:r>
    </w:p>
    <w:p>
      <w:pPr>
        <w:spacing w:after="0" w:line="128" w:lineRule="exact"/>
        <w:rPr>
          <w:rFonts w:ascii="Arial" w:cs="Arial" w:eastAsia="Arial" w:hAnsi="Arial"/>
          <w:sz w:val="17"/>
          <w:szCs w:val="17"/>
          <w:color w:val="auto"/>
        </w:rPr>
      </w:pPr>
    </w:p>
    <w:p>
      <w:pPr>
        <w:ind w:left="2140" w:hanging="1139"/>
        <w:spacing w:after="0"/>
        <w:tabs>
          <w:tab w:leader="none" w:pos="2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399" w:hanging="620"/>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497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-533400</wp:posOffset>
            </wp:positionV>
            <wp:extent cx="64979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-944880</wp:posOffset>
            </wp:positionV>
            <wp:extent cx="5768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-1159510</wp:posOffset>
            </wp:positionV>
            <wp:extent cx="57689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-1776730</wp:posOffset>
            </wp:positionV>
            <wp:extent cx="6497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sectPr>
      </w:pPr>
    </w:p>
    <w:p>
      <w:pPr>
        <w:spacing w:after="0" w:line="40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Reporting</w:t>
      </w:r>
      <w:r>
        <w:rPr>
          <w:sz w:val="20"/>
          <w:szCs w:val="20"/>
          <w:color w:val="auto"/>
        </w:rPr>
        <w:tab/>
      </w:r>
      <w:r>
        <w:rPr>
          <w:rFonts w:ascii="Arial" w:cs="Arial" w:eastAsia="Arial" w:hAnsi="Arial"/>
          <w:sz w:val="16"/>
          <w:szCs w:val="16"/>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0" w:lineRule="exact"/>
        <w:rPr>
          <w:sz w:val="20"/>
          <w:szCs w:val="20"/>
          <w:color w:val="auto"/>
        </w:rPr>
      </w:pPr>
    </w:p>
    <w:p>
      <w:pPr>
        <w:spacing w:after="0" w:line="22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37" w:right="1440" w:bottom="1440" w:gutter="0" w:footer="0" w:header="0"/>
          <w:type w:val="continuous"/>
        </w:sectPr>
      </w:pPr>
    </w:p>
    <w:p>
      <w:pPr>
        <w:spacing w:after="0" w:line="227" w:lineRule="exact"/>
        <w:rPr>
          <w:sz w:val="20"/>
          <w:szCs w:val="20"/>
          <w:color w:val="auto"/>
        </w:rPr>
      </w:pPr>
    </w:p>
    <w:p>
      <w:pPr>
        <w:ind w:left="1000" w:right="421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23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497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60" w:right="7539" w:hanging="575"/>
        <w:spacing w:after="0" w:line="342"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Issuer: SI-BONE, Inc.</w:t>
      </w:r>
    </w:p>
    <w:p>
      <w:pPr>
        <w:spacing w:after="0" w:line="29" w:lineRule="exact"/>
        <w:rPr>
          <w:rFonts w:ascii="Arial" w:cs="Arial" w:eastAsia="Arial" w:hAnsi="Arial"/>
          <w:sz w:val="16"/>
          <w:szCs w:val="16"/>
          <w:color w:val="auto"/>
        </w:rPr>
      </w:pPr>
    </w:p>
    <w:p>
      <w:pPr>
        <w:ind w:left="1460" w:hanging="575"/>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471 El Camino Real, Suite 101,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40005</wp:posOffset>
            </wp:positionV>
            <wp:extent cx="6214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-310515</wp:posOffset>
            </wp:positionV>
            <wp:extent cx="6214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60" w:right="6159" w:hanging="575"/>
        <w:spacing w:after="0" w:line="257"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Montreux Equity Partners IV, L.P. Montreux IV Associates, L.L.C. Montreux IV Associates IV, L.L.C. Daniel K. Turner, III</w:t>
      </w:r>
    </w:p>
    <w:p>
      <w:pPr>
        <w:spacing w:after="0" w:line="93" w:lineRule="exact"/>
        <w:rPr>
          <w:rFonts w:ascii="Arial" w:cs="Arial" w:eastAsia="Arial" w:hAnsi="Arial"/>
          <w:sz w:val="18"/>
          <w:szCs w:val="18"/>
          <w:color w:val="auto"/>
        </w:rPr>
      </w:pPr>
    </w:p>
    <w:p>
      <w:pPr>
        <w:ind w:left="1460" w:right="4359" w:hanging="575"/>
        <w:spacing w:after="0" w:line="258"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or Principal Business Office or, if none, Residence: Four Embarcadero Center, Suite 3720</w:t>
      </w:r>
    </w:p>
    <w:p>
      <w:pPr>
        <w:spacing w:after="0" w:line="1"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San Francisco, CA 94111</w:t>
      </w:r>
    </w:p>
    <w:p>
      <w:pPr>
        <w:spacing w:after="0" w:line="116" w:lineRule="exact"/>
        <w:rPr>
          <w:rFonts w:ascii="Arial" w:cs="Arial" w:eastAsia="Arial" w:hAnsi="Arial"/>
          <w:sz w:val="18"/>
          <w:szCs w:val="18"/>
          <w:color w:val="auto"/>
        </w:rPr>
      </w:pPr>
    </w:p>
    <w:p>
      <w:pPr>
        <w:ind w:left="1460" w:hanging="575"/>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460" w:right="3819"/>
        <w:spacing w:after="0" w:line="250" w:lineRule="auto"/>
        <w:rPr>
          <w:rFonts w:ascii="Arial" w:cs="Arial" w:eastAsia="Arial" w:hAnsi="Arial"/>
          <w:sz w:val="18"/>
          <w:szCs w:val="18"/>
          <w:color w:val="auto"/>
        </w:rPr>
      </w:pPr>
      <w:r>
        <w:rPr>
          <w:rFonts w:ascii="Arial" w:cs="Arial" w:eastAsia="Arial" w:hAnsi="Arial"/>
          <w:sz w:val="18"/>
          <w:szCs w:val="18"/>
          <w:color w:val="auto"/>
        </w:rPr>
        <w:t>Montreux Equity Partners IV, L.P., Montreux IV Associates, L.L.C. And Montreux IV Associates IV, L.L.C.: California.</w:t>
      </w:r>
    </w:p>
    <w:p>
      <w:pPr>
        <w:ind w:left="1460"/>
        <w:spacing w:after="0"/>
        <w:rPr>
          <w:rFonts w:ascii="Arial" w:cs="Arial" w:eastAsia="Arial" w:hAnsi="Arial"/>
          <w:sz w:val="18"/>
          <w:szCs w:val="18"/>
          <w:color w:val="auto"/>
        </w:rPr>
      </w:pPr>
      <w:r>
        <w:rPr>
          <w:rFonts w:ascii="Arial" w:cs="Arial" w:eastAsia="Arial" w:hAnsi="Arial"/>
          <w:sz w:val="18"/>
          <w:szCs w:val="18"/>
          <w:color w:val="auto"/>
        </w:rPr>
        <w:t>Daniel K. Turner, III: United States of America</w:t>
      </w:r>
    </w:p>
    <w:p>
      <w:pPr>
        <w:spacing w:after="0" w:line="116" w:lineRule="exact"/>
        <w:rPr>
          <w:rFonts w:ascii="Arial" w:cs="Arial" w:eastAsia="Arial" w:hAnsi="Arial"/>
          <w:sz w:val="18"/>
          <w:szCs w:val="18"/>
          <w:color w:val="auto"/>
        </w:rPr>
      </w:pPr>
    </w:p>
    <w:p>
      <w:pPr>
        <w:ind w:left="1460" w:right="6719" w:hanging="575"/>
        <w:spacing w:after="0" w:line="342"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60" w:right="7499" w:hanging="575"/>
        <w:spacing w:after="0" w:line="342"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6214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-366395</wp:posOffset>
            </wp:positionV>
            <wp:extent cx="62147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-717550</wp:posOffset>
            </wp:positionV>
            <wp:extent cx="6214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-1343660</wp:posOffset>
            </wp:positionV>
            <wp:extent cx="6214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-1831975</wp:posOffset>
            </wp:positionV>
            <wp:extent cx="6214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91" w:right="1440" w:bottom="1440" w:gutter="0" w:footer="0" w:header="0"/>
        </w:sectPr>
      </w:pPr>
    </w:p>
    <w:bookmarkStart w:id="6" w:name="page7"/>
    <w:bookmarkEnd w:id="6"/>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January 27, 2020, Montreux Equity Partners IV, L.P., Montreux IV Associates, L.L.C., Montreux IV Associates IV, L.L.C. and Daniel K. Turner, III do not have beneficial ownership over any shares of the Issuer’s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79"/>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50"/>
              <w:spacing w:after="0"/>
              <w:rPr>
                <w:sz w:val="20"/>
                <w:szCs w:val="20"/>
                <w:color w:val="auto"/>
              </w:rPr>
            </w:pPr>
            <w:r>
              <w:rPr>
                <w:rFonts w:ascii="Arial" w:cs="Arial" w:eastAsia="Arial" w:hAnsi="Arial"/>
                <w:sz w:val="18"/>
                <w:szCs w:val="18"/>
                <w:color w:val="auto"/>
                <w:w w:val="79"/>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79"/>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50"/>
              <w:spacing w:after="0"/>
              <w:rPr>
                <w:sz w:val="20"/>
                <w:szCs w:val="20"/>
                <w:color w:val="auto"/>
              </w:rPr>
            </w:pPr>
            <w:r>
              <w:rPr>
                <w:rFonts w:ascii="Arial" w:cs="Arial" w:eastAsia="Arial" w:hAnsi="Arial"/>
                <w:sz w:val="18"/>
                <w:szCs w:val="18"/>
                <w:color w:val="auto"/>
                <w:w w:val="79"/>
              </w:rPr>
              <w:t>0</w:t>
            </w:r>
          </w:p>
        </w:tc>
        <w:tc>
          <w:tcPr>
            <w:tcW w:w="3080" w:type="dxa"/>
            <w:vAlign w:val="bottom"/>
          </w:tcPr>
          <w:p>
            <w:pPr>
              <w:spacing w:after="0"/>
              <w:rPr>
                <w:sz w:val="20"/>
                <w:szCs w:val="20"/>
                <w:color w:val="auto"/>
              </w:rPr>
            </w:pPr>
          </w:p>
        </w:tc>
      </w:tr>
      <w:tr>
        <w:trPr>
          <w:trHeight w:val="418"/>
        </w:trPr>
        <w:tc>
          <w:tcPr>
            <w:tcW w:w="7620" w:type="dxa"/>
            <w:vAlign w:val="bottom"/>
          </w:tcPr>
          <w:p>
            <w:pPr>
              <w:spacing w:after="0"/>
              <w:rPr>
                <w:sz w:val="20"/>
                <w:szCs w:val="20"/>
                <w:color w:val="auto"/>
              </w:rPr>
            </w:pPr>
            <w:r>
              <w:rPr>
                <w:rFonts w:ascii="Arial" w:cs="Arial" w:eastAsia="Arial" w:hAnsi="Arial"/>
                <w:sz w:val="18"/>
                <w:szCs w:val="18"/>
                <w:color w:val="auto"/>
              </w:rPr>
              <w:t>(b) Percent of class:</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50"/>
              <w:spacing w:after="0"/>
              <w:rPr>
                <w:sz w:val="20"/>
                <w:szCs w:val="20"/>
                <w:color w:val="auto"/>
              </w:rPr>
            </w:pPr>
            <w:r>
              <w:rPr>
                <w:rFonts w:ascii="Arial" w:cs="Arial" w:eastAsia="Arial" w:hAnsi="Arial"/>
                <w:sz w:val="18"/>
                <w:szCs w:val="18"/>
                <w:color w:val="auto"/>
                <w:w w:val="92"/>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50"/>
              <w:spacing w:after="0"/>
              <w:rPr>
                <w:sz w:val="20"/>
                <w:szCs w:val="20"/>
                <w:color w:val="auto"/>
              </w:rPr>
            </w:pPr>
            <w:r>
              <w:rPr>
                <w:rFonts w:ascii="Arial" w:cs="Arial" w:eastAsia="Arial" w:hAnsi="Arial"/>
                <w:sz w:val="18"/>
                <w:szCs w:val="18"/>
                <w:color w:val="auto"/>
                <w:w w:val="92"/>
              </w:rPr>
              <w:t>0%</w:t>
            </w:r>
          </w:p>
        </w:tc>
        <w:tc>
          <w:tcPr>
            <w:tcW w:w="3080" w:type="dxa"/>
            <w:vAlign w:val="bottom"/>
          </w:tcPr>
          <w:p>
            <w:pPr>
              <w:spacing w:after="0"/>
              <w:rPr>
                <w:sz w:val="20"/>
                <w:szCs w:val="20"/>
                <w:color w:val="auto"/>
              </w:rPr>
            </w:pPr>
          </w:p>
        </w:tc>
      </w:tr>
      <w:tr>
        <w:trPr>
          <w:trHeight w:val="418"/>
        </w:trPr>
        <w:tc>
          <w:tcPr>
            <w:tcW w:w="7620" w:type="dxa"/>
            <w:vAlign w:val="bottom"/>
          </w:tcPr>
          <w:p>
            <w:pPr>
              <w:spacing w:after="0"/>
              <w:rPr>
                <w:sz w:val="20"/>
                <w:szCs w:val="20"/>
                <w:color w:val="auto"/>
              </w:rPr>
            </w:pPr>
            <w:r>
              <w:rPr>
                <w:rFonts w:ascii="Arial" w:cs="Arial" w:eastAsia="Arial" w:hAnsi="Arial"/>
                <w:sz w:val="18"/>
                <w:szCs w:val="18"/>
                <w:color w:val="auto"/>
              </w:rPr>
              <w:t>(c)(i) Number of shares to which the person has sole power to vote or direct the vote:</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20"/>
                <w:szCs w:val="20"/>
                <w:color w:val="auto"/>
              </w:rPr>
            </w:pPr>
          </w:p>
        </w:tc>
      </w:tr>
      <w:tr>
        <w:trPr>
          <w:trHeight w:val="418"/>
        </w:trPr>
        <w:tc>
          <w:tcPr>
            <w:tcW w:w="7620" w:type="dxa"/>
            <w:vAlign w:val="bottom"/>
          </w:tcPr>
          <w:p>
            <w:pPr>
              <w:spacing w:after="0"/>
              <w:rPr>
                <w:sz w:val="20"/>
                <w:szCs w:val="20"/>
                <w:color w:val="auto"/>
              </w:rPr>
            </w:pPr>
            <w:r>
              <w:rPr>
                <w:rFonts w:ascii="Arial" w:cs="Arial" w:eastAsia="Arial" w:hAnsi="Arial"/>
                <w:sz w:val="18"/>
                <w:szCs w:val="18"/>
                <w:color w:val="auto"/>
              </w:rPr>
              <w:t>(c)(ii) Number of shares to which the person has shared power to vote or direct the vote:</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20"/>
                <w:szCs w:val="20"/>
                <w:color w:val="auto"/>
              </w:rPr>
            </w:pPr>
          </w:p>
        </w:tc>
      </w:tr>
      <w:tr>
        <w:trPr>
          <w:trHeight w:val="418"/>
        </w:trPr>
        <w:tc>
          <w:tcPr>
            <w:tcW w:w="7620" w:type="dxa"/>
            <w:vAlign w:val="bottom"/>
          </w:tcPr>
          <w:p>
            <w:pPr>
              <w:spacing w:after="0"/>
              <w:rPr>
                <w:sz w:val="20"/>
                <w:szCs w:val="20"/>
                <w:color w:val="auto"/>
              </w:rPr>
            </w:pPr>
            <w:r>
              <w:rPr>
                <w:rFonts w:ascii="Arial" w:cs="Arial" w:eastAsia="Arial" w:hAnsi="Arial"/>
                <w:sz w:val="18"/>
                <w:szCs w:val="18"/>
                <w:color w:val="auto"/>
                <w:w w:val="97"/>
              </w:rPr>
              <w:t>(c)(iii) Number of shares to which the person has sole power to dispose or direct the disposition of:</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20"/>
                <w:szCs w:val="20"/>
                <w:color w:val="auto"/>
              </w:rPr>
            </w:pPr>
          </w:p>
        </w:tc>
      </w:tr>
      <w:tr>
        <w:trPr>
          <w:trHeight w:val="418"/>
        </w:trPr>
        <w:tc>
          <w:tcPr>
            <w:tcW w:w="7620" w:type="dxa"/>
            <w:vAlign w:val="bottom"/>
          </w:tcPr>
          <w:p>
            <w:pPr>
              <w:spacing w:after="0"/>
              <w:rPr>
                <w:sz w:val="20"/>
                <w:szCs w:val="20"/>
                <w:color w:val="auto"/>
              </w:rPr>
            </w:pPr>
            <w:r>
              <w:rPr>
                <w:rFonts w:ascii="Arial" w:cs="Arial" w:eastAsia="Arial" w:hAnsi="Arial"/>
                <w:sz w:val="18"/>
                <w:szCs w:val="18"/>
                <w:color w:val="auto"/>
                <w:w w:val="94"/>
              </w:rPr>
              <w:t>(c)(iv) Number of shares to which the person has shared power to dispose or direct the disposition of:</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Equity Partners IV, L.P.</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Montreux IV Associates, L.L.C.</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Montreux IV Associates IV, L.L.C.</w:t>
            </w:r>
          </w:p>
        </w:tc>
        <w:tc>
          <w:tcPr>
            <w:tcW w:w="5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Daniel K. Turner, III</w:t>
            </w:r>
          </w:p>
        </w:tc>
        <w:tc>
          <w:tcPr>
            <w:tcW w:w="580" w:type="dxa"/>
            <w:vAlign w:val="bottom"/>
          </w:tcPr>
          <w:p>
            <w:pPr>
              <w:jc w:val="center"/>
              <w:ind w:left="270"/>
              <w:spacing w:after="0"/>
              <w:rPr>
                <w:sz w:val="20"/>
                <w:szCs w:val="20"/>
                <w:color w:val="auto"/>
              </w:rPr>
            </w:pPr>
            <w:r>
              <w:rPr>
                <w:rFonts w:ascii="Arial" w:cs="Arial" w:eastAsia="Arial" w:hAnsi="Arial"/>
                <w:sz w:val="18"/>
                <w:szCs w:val="18"/>
                <w:color w:val="auto"/>
                <w:w w:val="99"/>
              </w:rPr>
              <w:t>0</w:t>
            </w:r>
          </w:p>
        </w:tc>
        <w:tc>
          <w:tcPr>
            <w:tcW w:w="3080" w:type="dxa"/>
            <w:vAlign w:val="bottom"/>
          </w:tcPr>
          <w:p>
            <w:pPr>
              <w:spacing w:after="0"/>
              <w:rPr>
                <w:sz w:val="20"/>
                <w:szCs w:val="20"/>
                <w:color w:val="auto"/>
              </w:rPr>
            </w:pPr>
          </w:p>
        </w:tc>
      </w:tr>
      <w:tr>
        <w:trPr>
          <w:trHeight w:val="418"/>
        </w:trPr>
        <w:tc>
          <w:tcPr>
            <w:tcW w:w="7620" w:type="dxa"/>
            <w:vAlign w:val="bottom"/>
          </w:tcPr>
          <w:p>
            <w:pPr>
              <w:ind w:left="558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32"/>
        </w:trPr>
        <w:tc>
          <w:tcPr>
            <w:tcW w:w="76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18" w:right="29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91" w:right="41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MONTREUX EQUITY PARTNERS IV, LP</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Montreux Equity Management IV, L.L.C., its General Partner</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3265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Daniel K. Turner, III, Managing Member</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MONTREUX IV ASSOCIATES, L.L.C.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Montreux Equity Management IV, L.L.C., its General Partner</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3265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Daniel K. Turner, III, Managing Member</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MONTREUX IV ASSOCIATES IV, L.L.C.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Montreux Equity Management IV, L.L.C., its General Partner</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3265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Daniel K. Turner, III, Managing Member</w:t>
      </w:r>
    </w:p>
    <w:p>
      <w:pPr>
        <w:spacing w:after="0" w:line="200" w:lineRule="exact"/>
        <w:rPr>
          <w:sz w:val="20"/>
          <w:szCs w:val="20"/>
          <w:color w:val="auto"/>
        </w:rPr>
      </w:pPr>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3265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Daniel K. Turner, III</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9" w:name="page10"/>
    <w:bookmarkEnd w:id="9"/>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Exhibit I — Joint Filing Agreement (previously filed with the Schedule 13G filed by the Reporting Persons on February 14, 2019)</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2020-03-10T05:06:16Z</dcterms:created>
  <dcterms:modified xsi:type="dcterms:W3CDTF">2020-03-10T05:06:16Z</dcterms:modified>
</cp:coreProperties>
</file>