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8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135890</wp:posOffset>
            </wp:positionV>
            <wp:extent cx="198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(Mark one)</w:t>
      </w:r>
    </w:p>
    <w:p>
      <w:pPr>
        <w:spacing w:after="0" w:line="35" w:lineRule="exact"/>
        <w:rPr>
          <w:sz w:val="24"/>
          <w:szCs w:val="24"/>
          <w:color w:val="auto"/>
        </w:rPr>
      </w:pPr>
    </w:p>
    <w:p>
      <w:pPr>
        <w:ind w:left="1680" w:hanging="344"/>
        <w:spacing w:after="0"/>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 the quarterly period ended March 31, 2024</w:t>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75" w:lineRule="exact"/>
        <w:rPr>
          <w:sz w:val="24"/>
          <w:szCs w:val="24"/>
          <w:color w:val="auto"/>
        </w:rPr>
      </w:pPr>
    </w:p>
    <w:p>
      <w:pPr>
        <w:ind w:left="1680" w:hanging="350"/>
        <w:spacing w:after="0"/>
        <w:tabs>
          <w:tab w:leader="none" w:pos="1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001-38701</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SI-BONE, INC.</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80645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820" w:type="dxa"/>
            <w:vAlign w:val="bottom"/>
            <w:gridSpan w:val="4"/>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60" w:type="dxa"/>
            <w:vAlign w:val="bottom"/>
            <w:gridSpan w:val="2"/>
          </w:tcPr>
          <w:p>
            <w:pPr>
              <w:jc w:val="center"/>
              <w:ind w:left="702"/>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46"/>
        </w:trPr>
        <w:tc>
          <w:tcPr>
            <w:tcW w:w="4820" w:type="dxa"/>
            <w:vAlign w:val="bottom"/>
            <w:gridSpan w:val="4"/>
          </w:tcPr>
          <w:p>
            <w:pPr>
              <w:jc w:val="center"/>
              <w:ind w:left="85"/>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tcPr>
          <w:p>
            <w:pPr>
              <w:ind w:left="1160"/>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20" w:type="dxa"/>
            <w:vAlign w:val="bottom"/>
            <w:gridSpan w:val="4"/>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25"/>
        </w:trPr>
        <w:tc>
          <w:tcPr>
            <w:tcW w:w="4820" w:type="dxa"/>
            <w:vAlign w:val="bottom"/>
            <w:gridSpan w:val="4"/>
          </w:tcPr>
          <w:p>
            <w:pPr>
              <w:jc w:val="center"/>
              <w:ind w:left="65"/>
              <w:spacing w:after="0"/>
              <w:rPr>
                <w:sz w:val="20"/>
                <w:szCs w:val="20"/>
                <w:color w:val="auto"/>
              </w:rPr>
            </w:pPr>
            <w:r>
              <w:rPr>
                <w:rFonts w:ascii="Times New Roman" w:cs="Times New Roman" w:eastAsia="Times New Roman" w:hAnsi="Times New Roman"/>
                <w:sz w:val="16"/>
                <w:szCs w:val="16"/>
                <w:b w:val="1"/>
                <w:bCs w:val="1"/>
                <w:color w:val="auto"/>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gridSpan w:val="2"/>
          </w:tcPr>
          <w:p>
            <w:pPr>
              <w:jc w:val="center"/>
              <w:ind w:left="722"/>
              <w:spacing w:after="0"/>
              <w:rPr>
                <w:sz w:val="20"/>
                <w:szCs w:val="20"/>
                <w:color w:val="auto"/>
              </w:rPr>
            </w:pPr>
            <w:r>
              <w:rPr>
                <w:rFonts w:ascii="Times New Roman" w:cs="Times New Roman" w:eastAsia="Times New Roman" w:hAnsi="Times New Roman"/>
                <w:sz w:val="16"/>
                <w:szCs w:val="16"/>
                <w:b w:val="1"/>
                <w:bCs w:val="1"/>
                <w:color w:val="auto"/>
                <w:w w:val="99"/>
              </w:rPr>
              <w:t>95050</w:t>
            </w:r>
          </w:p>
        </w:tc>
      </w:tr>
      <w:tr>
        <w:trPr>
          <w:trHeight w:val="190"/>
        </w:trPr>
        <w:tc>
          <w:tcPr>
            <w:tcW w:w="4820" w:type="dxa"/>
            <w:vAlign w:val="bottom"/>
            <w:gridSpan w:val="4"/>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4"/>
        </w:trPr>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56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(408) 207-0700</w:t>
            </w:r>
          </w:p>
        </w:tc>
      </w:tr>
      <w:tr>
        <w:trPr>
          <w:trHeight w:val="125"/>
        </w:trPr>
        <w:tc>
          <w:tcPr>
            <w:tcW w:w="2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Pr>
          <w:p>
            <w:pPr>
              <w:spacing w:after="0"/>
              <w:rPr>
                <w:sz w:val="10"/>
                <w:szCs w:val="10"/>
                <w:color w:val="auto"/>
              </w:rPr>
            </w:pPr>
          </w:p>
        </w:tc>
      </w:tr>
      <w:tr>
        <w:trPr>
          <w:trHeight w:val="355"/>
        </w:trPr>
        <w:tc>
          <w:tcPr>
            <w:tcW w:w="4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93"/>
        </w:trPr>
        <w:tc>
          <w:tcPr>
            <w:tcW w:w="2300" w:type="dxa"/>
            <w:vAlign w:val="bottom"/>
          </w:tcPr>
          <w:p>
            <w:pPr>
              <w:spacing w:after="0"/>
              <w:rPr>
                <w:sz w:val="24"/>
                <w:szCs w:val="24"/>
                <w:color w:val="auto"/>
              </w:rPr>
            </w:pPr>
          </w:p>
        </w:tc>
        <w:tc>
          <w:tcPr>
            <w:tcW w:w="252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6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4820" w:type="dxa"/>
            <w:vAlign w:val="bottom"/>
            <w:gridSpan w:val="4"/>
          </w:tcPr>
          <w:p>
            <w:pPr>
              <w:jc w:val="center"/>
              <w:ind w:left="805"/>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440" w:type="dxa"/>
            <w:vAlign w:val="bottom"/>
          </w:tcPr>
          <w:p>
            <w:pPr>
              <w:spacing w:after="0"/>
              <w:rPr>
                <w:sz w:val="18"/>
                <w:szCs w:val="18"/>
                <w:color w:val="auto"/>
              </w:rPr>
            </w:pPr>
          </w:p>
        </w:tc>
        <w:tc>
          <w:tcPr>
            <w:tcW w:w="19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SIBN</w:t>
            </w:r>
          </w:p>
        </w:tc>
        <w:tc>
          <w:tcPr>
            <w:tcW w:w="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0" w:lineRule="exact"/>
        <w:rPr>
          <w:sz w:val="24"/>
          <w:szCs w:val="24"/>
          <w:color w:val="auto"/>
        </w:rPr>
      </w:pPr>
    </w:p>
    <w:p>
      <w:pPr>
        <w:spacing w:after="0" w:line="246" w:lineRule="exact"/>
        <w:rPr>
          <w:sz w:val="24"/>
          <w:szCs w:val="24"/>
          <w:color w:val="auto"/>
        </w:rPr>
      </w:pPr>
    </w:p>
    <w:p>
      <w:pPr>
        <w:jc w:val="center"/>
        <w:ind w:left="380"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center"/>
        <w:ind w:left="38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center"/>
        <w:ind w:left="360" w:right="2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700" w:type="dxa"/>
        <w:tblCellMar>
          <w:top w:w="0" w:type="dxa"/>
          <w:left w:w="0" w:type="dxa"/>
          <w:bottom w:w="0" w:type="dxa"/>
          <w:right w:w="0" w:type="dxa"/>
        </w:tblCellMar>
      </w:tblPr>
      <w:tr>
        <w:trPr>
          <w:trHeight w:val="203"/>
        </w:trPr>
        <w:tc>
          <w:tcPr>
            <w:tcW w:w="1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Large accelerated filer</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Non-accelerated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203" w:lineRule="exact"/>
        <w:rPr>
          <w:sz w:val="24"/>
          <w:szCs w:val="24"/>
          <w:color w:val="auto"/>
        </w:rPr>
      </w:pPr>
    </w:p>
    <w:p>
      <w:pPr>
        <w:jc w:val="center"/>
        <w:ind w:left="380" w:right="24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jc w:val="center"/>
        <w:ind w:right="-59"/>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was 41,204,796 as of May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100" w:type="dxa"/>
            <w:vAlign w:val="bottom"/>
            <w:gridSpan w:val="18"/>
            <w:vMerge w:val="restart"/>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00" w:type="dxa"/>
            <w:vAlign w:val="bottom"/>
            <w:gridSpan w:val="18"/>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760" w:type="dxa"/>
            <w:vAlign w:val="bottom"/>
            <w:gridSpan w:val="3"/>
          </w:tcPr>
          <w:p>
            <w:pPr>
              <w:spacing w:after="0"/>
              <w:rPr>
                <w:sz w:val="16"/>
                <w:szCs w:val="16"/>
                <w:color w:val="auto"/>
              </w:rPr>
            </w:pPr>
          </w:p>
        </w:tc>
        <w:tc>
          <w:tcPr>
            <w:tcW w:w="15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Financial Statements</w:t>
            </w:r>
          </w:p>
        </w:tc>
        <w:tc>
          <w:tcPr>
            <w:tcW w:w="7920" w:type="dxa"/>
            <w:vAlign w:val="bottom"/>
            <w:gridSpan w:val="20"/>
          </w:tcPr>
          <w:p>
            <w:pPr>
              <w:spacing w:after="0"/>
              <w:rPr>
                <w:sz w:val="16"/>
                <w:szCs w:val="16"/>
                <w:color w:val="auto"/>
              </w:rPr>
            </w:pPr>
          </w:p>
        </w:tc>
        <w:tc>
          <w:tcPr>
            <w:tcW w:w="52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2980" w:type="dxa"/>
            <w:vAlign w:val="bottom"/>
            <w:gridSpan w:val="3"/>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760" w:type="dxa"/>
            <w:vAlign w:val="bottom"/>
            <w:gridSpan w:val="3"/>
          </w:tcPr>
          <w:p>
            <w:pPr>
              <w:spacing w:after="0"/>
              <w:rPr>
                <w:sz w:val="18"/>
                <w:szCs w:val="18"/>
                <w:color w:val="auto"/>
              </w:rPr>
            </w:pPr>
          </w:p>
        </w:tc>
        <w:tc>
          <w:tcPr>
            <w:tcW w:w="6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760" w:type="dxa"/>
            <w:vAlign w:val="bottom"/>
            <w:gridSpan w:val="3"/>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6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4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gridSpan w:val="16"/>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760" w:type="dxa"/>
            <w:vAlign w:val="bottom"/>
            <w:gridSpan w:val="3"/>
          </w:tcPr>
          <w:p>
            <w:pPr>
              <w:spacing w:after="0"/>
              <w:rPr>
                <w:sz w:val="16"/>
                <w:szCs w:val="16"/>
                <w:color w:val="auto"/>
              </w:rPr>
            </w:pPr>
          </w:p>
        </w:tc>
        <w:tc>
          <w:tcPr>
            <w:tcW w:w="942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4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4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80" w:type="dxa"/>
            <w:vAlign w:val="bottom"/>
            <w:tcBorders>
              <w:bottom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7"/>
          </w:tcPr>
          <w:p>
            <w:pPr>
              <w:spacing w:after="0"/>
              <w:rPr>
                <w:sz w:val="18"/>
                <w:szCs w:val="18"/>
                <w:color w:val="auto"/>
              </w:rPr>
            </w:pPr>
          </w:p>
        </w:tc>
        <w:tc>
          <w:tcPr>
            <w:tcW w:w="5080" w:type="dxa"/>
            <w:vAlign w:val="bottom"/>
            <w:gridSpan w:val="11"/>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80" w:type="dxa"/>
            <w:vAlign w:val="bottom"/>
          </w:tcPr>
          <w:p>
            <w:pPr>
              <w:spacing w:after="0"/>
              <w:rPr>
                <w:sz w:val="18"/>
                <w:szCs w:val="18"/>
                <w:color w:val="auto"/>
              </w:rPr>
            </w:pPr>
          </w:p>
        </w:tc>
        <w:tc>
          <w:tcPr>
            <w:tcW w:w="94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8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9"/>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760" w:type="dxa"/>
            <w:vAlign w:val="bottom"/>
            <w:gridSpan w:val="3"/>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8"/>
                <w:szCs w:val="18"/>
                <w:color w:val="auto"/>
              </w:rPr>
            </w:pPr>
          </w:p>
        </w:tc>
        <w:tc>
          <w:tcPr>
            <w:tcW w:w="8100" w:type="dxa"/>
            <w:vAlign w:val="bottom"/>
            <w:gridSpan w:val="21"/>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physician adoption, reimbursement determinations, clinical trial results, and U.S. Food and Drug Administration ("FDA") approvals, are forward-looking statements.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spacing w:after="0" w:line="13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a significant portion of our revenues will be derived from sales of the iFuse Implant System, or iFuse;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additional revenue opportunities, including new indications for use and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grow our sales team based on the demand for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train, and retain physicians to perform procedures using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favorable coverage and reimbursement determinations from third-party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market opportunity;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protection from intellectual property rights covering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results from our clinical trials;</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clearances and authorization from the FDA and regulators in other jurisdictions and CE Certificates of Conformity from Notified Bodies;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regulatory filings and feedback;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we serve;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reliability and performance of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benefits to patients, providers, and payors of our products;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supply chains we rely on, including the availability of raw materials and skilled labor serving our suppliers, and the cost of these factors of production which may in turn impact the prices we pay for our devices;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including sole source suppliers, which may impact the availability of instruments and materials;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or increase demand for our products;</w:t>
      </w:r>
    </w:p>
    <w:p>
      <w:pPr>
        <w:spacing w:after="0" w:line="211" w:lineRule="exact"/>
        <w:rPr>
          <w:rFonts w:ascii="Times New Roman" w:cs="Times New Roman" w:eastAsia="Times New Roman" w:hAnsi="Times New Roman"/>
          <w:sz w:val="18"/>
          <w:szCs w:val="18"/>
          <w:color w:val="auto"/>
        </w:rPr>
      </w:pPr>
    </w:p>
    <w:p>
      <w:pPr>
        <w:ind w:left="660" w:right="48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epidemics on our operations, financial results, liquidity, and capital resources, including the impact on the global supply chain, demand for and ability to obtain our products and procedures, and our ability to maintain a healthy workforce;</w:t>
      </w:r>
    </w:p>
    <w:p>
      <w:pPr>
        <w:spacing w:after="0" w:line="14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costs and risks associated with our international operations and expansion;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retain and recruit key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 including those with specialized skills and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and strategic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the cost of, federal, state, and foreign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48"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Factors that may cause actual results to differ materially from current expectations include, among other things, those listed under “Risk Factors” in our Annual Report on Form 10-K for the year ended December 31, 2023, together with any updates in the section titled “Risk Factors” in this Quarterly Report on Form 10-Q.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8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33,271</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132,748</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$1,189 and $1,118, respectively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21,953</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211,394</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223,713</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8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61,050</w:t>
            </w:r>
          </w:p>
        </w:tc>
      </w:tr>
      <w:tr>
        <w:trPr>
          <w:trHeight w:val="237"/>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5,000,000 shares authorized; no shares issued and outstanding</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 shares authorized; 41,078,762 and 40,693,299 shares issued and</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569,477</w:t>
            </w:r>
          </w:p>
        </w:tc>
      </w:tr>
      <w:tr>
        <w:trPr>
          <w:trHeight w:val="229"/>
        </w:trPr>
        <w:tc>
          <w:tcPr>
            <w:tcW w:w="8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8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(400,441)</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169,375</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223,713</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230,425</w:t>
            </w:r>
          </w:p>
        </w:tc>
      </w:tr>
      <w:tr>
        <w:trPr>
          <w:trHeight w:val="21"/>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6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6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5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0" w:type="dxa"/>
            <w:vAlign w:val="bottom"/>
          </w:tcPr>
          <w:p>
            <w:pPr>
              <w:spacing w:after="0"/>
              <w:rPr>
                <w:sz w:val="1"/>
                <w:szCs w:val="1"/>
                <w:color w:val="auto"/>
              </w:rPr>
            </w:pPr>
          </w:p>
        </w:tc>
      </w:tr>
      <w:tr>
        <w:trPr>
          <w:trHeight w:val="210"/>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0" w:type="dxa"/>
            <w:vAlign w:val="bottom"/>
          </w:tcPr>
          <w:p>
            <w:pPr>
              <w:spacing w:after="0"/>
              <w:rPr>
                <w:sz w:val="1"/>
                <w:szCs w:val="1"/>
                <w:color w:val="auto"/>
              </w:rPr>
            </w:pPr>
          </w:p>
        </w:tc>
      </w:tr>
      <w:tr>
        <w:trPr>
          <w:trHeight w:val="229"/>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38,077</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0" w:type="dxa"/>
            <w:vAlign w:val="bottom"/>
          </w:tcPr>
          <w:p>
            <w:pPr>
              <w:spacing w:after="0"/>
              <w:rPr>
                <w:sz w:val="1"/>
                <w:szCs w:val="1"/>
                <w:color w:val="auto"/>
              </w:rPr>
            </w:pPr>
          </w:p>
        </w:tc>
      </w:tr>
      <w:tr>
        <w:trPr>
          <w:trHeight w:val="229"/>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9"/>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foreign currency translation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used to compute basic and</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40,934,392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34,916,106</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6" w:name="page7"/>
    <w:bookmarkEnd w:id="6"/>
    <w:p>
      <w:pPr>
        <w:ind w:left="494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1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1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4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auto"/>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72"/>
              <w:spacing w:after="0" w:line="183"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1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7"/>
                <w:szCs w:val="17"/>
                <w:color w:val="auto"/>
              </w:rPr>
            </w:pPr>
          </w:p>
        </w:tc>
        <w:tc>
          <w:tcPr>
            <w:tcW w:w="9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00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3"/>
        </w:trPr>
        <w:tc>
          <w:tcPr>
            <w:tcW w:w="484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0" w:type="dxa"/>
            <w:vAlign w:val="bottom"/>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shd w:val="clear" w:color="auto" w:fill="CCEEFF"/>
              </w:rPr>
              <w:t>40,693,299</w:t>
            </w:r>
          </w:p>
        </w:tc>
        <w:tc>
          <w:tcPr>
            <w:tcW w:w="8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569,477</w:t>
            </w:r>
          </w:p>
        </w:tc>
        <w:tc>
          <w:tcPr>
            <w:tcW w:w="80" w:type="dxa"/>
            <w:vAlign w:val="bottom"/>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(400,441)</w:t>
            </w:r>
          </w:p>
        </w:tc>
        <w:tc>
          <w:tcPr>
            <w:tcW w:w="8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169,375</w:t>
            </w:r>
          </w:p>
        </w:tc>
        <w:tc>
          <w:tcPr>
            <w:tcW w:w="0" w:type="dxa"/>
            <w:vAlign w:val="bottom"/>
          </w:tcPr>
          <w:p>
            <w:pPr>
              <w:spacing w:after="0"/>
              <w:rPr>
                <w:sz w:val="1"/>
                <w:szCs w:val="1"/>
                <w:color w:val="auto"/>
              </w:rPr>
            </w:pPr>
          </w:p>
        </w:tc>
      </w:tr>
      <w:tr>
        <w:trPr>
          <w:trHeight w:val="176"/>
        </w:trPr>
        <w:tc>
          <w:tcPr>
            <w:tcW w:w="4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0" w:type="dxa"/>
            <w:vAlign w:val="bottom"/>
          </w:tcPr>
          <w:p>
            <w:pPr>
              <w:spacing w:after="0"/>
              <w:rPr>
                <w:sz w:val="1"/>
                <w:szCs w:val="1"/>
                <w:color w:val="auto"/>
              </w:rPr>
            </w:pPr>
          </w:p>
        </w:tc>
      </w:tr>
      <w:tr>
        <w:trPr>
          <w:trHeight w:val="196"/>
        </w:trPr>
        <w:tc>
          <w:tcPr>
            <w:tcW w:w="48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41,078,762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576,612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(411,345)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165,537</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4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8"/>
        </w:trPr>
        <w:tc>
          <w:tcPr>
            <w:tcW w:w="4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auto"/>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72"/>
              <w:spacing w:after="0" w:line="183"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12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7"/>
                <w:szCs w:val="17"/>
                <w:color w:val="auto"/>
              </w:rPr>
            </w:pPr>
          </w:p>
        </w:tc>
        <w:tc>
          <w:tcPr>
            <w:tcW w:w="9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00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3"/>
        </w:trPr>
        <w:tc>
          <w:tcPr>
            <w:tcW w:w="484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0" w:type="dxa"/>
            <w:vAlign w:val="bottom"/>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shd w:val="clear" w:color="auto" w:fill="CCEEFF"/>
              </w:rPr>
              <w:t>34,731,577</w:t>
            </w:r>
          </w:p>
        </w:tc>
        <w:tc>
          <w:tcPr>
            <w:tcW w:w="8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455,172</w:t>
            </w:r>
          </w:p>
        </w:tc>
        <w:tc>
          <w:tcPr>
            <w:tcW w:w="80" w:type="dxa"/>
            <w:vAlign w:val="bottom"/>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(357,105)</w:t>
            </w:r>
          </w:p>
        </w:tc>
        <w:tc>
          <w:tcPr>
            <w:tcW w:w="8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98,302</w:t>
            </w:r>
          </w:p>
        </w:tc>
        <w:tc>
          <w:tcPr>
            <w:tcW w:w="0" w:type="dxa"/>
            <w:vAlign w:val="bottom"/>
          </w:tcPr>
          <w:p>
            <w:pPr>
              <w:spacing w:after="0"/>
              <w:rPr>
                <w:sz w:val="1"/>
                <w:szCs w:val="1"/>
                <w:color w:val="auto"/>
              </w:rPr>
            </w:pPr>
          </w:p>
        </w:tc>
      </w:tr>
      <w:tr>
        <w:trPr>
          <w:trHeight w:val="175"/>
        </w:trPr>
        <w:tc>
          <w:tcPr>
            <w:tcW w:w="4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stock options, net of</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vesting of restricted stock units</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254,320</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35,106,163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461,886</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(368,230)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93,959</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19" w:right="3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w:t>
            </w:r>
          </w:p>
        </w:tc>
      </w:tr>
      <w:tr>
        <w:trPr>
          <w:trHeight w:val="219"/>
        </w:trPr>
        <w:tc>
          <w:tcPr>
            <w:tcW w:w="8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6,194</w:t>
            </w:r>
          </w:p>
        </w:tc>
      </w:tr>
      <w:tr>
        <w:trPr>
          <w:trHeight w:val="21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r>
      <w:tr>
        <w:trPr>
          <w:trHeight w:val="213"/>
        </w:trPr>
        <w:tc>
          <w:tcPr>
            <w:tcW w:w="8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credit losses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discount and premium on marketable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8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r>
      <w:tr>
        <w:trPr>
          <w:trHeight w:val="21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07"/>
        </w:trPr>
        <w:tc>
          <w:tcPr>
            <w:tcW w:w="8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(10,753)</w:t>
            </w:r>
          </w:p>
        </w:tc>
      </w:tr>
      <w:tr>
        <w:trPr>
          <w:trHeight w:val="199"/>
        </w:trPr>
        <w:tc>
          <w:tcPr>
            <w:tcW w:w="8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(15,718)</w:t>
            </w:r>
          </w:p>
        </w:tc>
      </w:tr>
      <w:tr>
        <w:trPr>
          <w:trHeight w:val="213"/>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w:t>
            </w:r>
          </w:p>
        </w:tc>
      </w:tr>
      <w:tr>
        <w:trPr>
          <w:trHeight w:val="212"/>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11,703</w:t>
            </w:r>
          </w:p>
        </w:tc>
      </w:tr>
      <w:tr>
        <w:trPr>
          <w:trHeight w:val="194"/>
        </w:trPr>
        <w:tc>
          <w:tcPr>
            <w:tcW w:w="8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8"/>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debt financing</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13"/>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debt financing</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(35,275)</w:t>
            </w:r>
          </w:p>
        </w:tc>
      </w:tr>
      <w:tr>
        <w:trPr>
          <w:trHeight w:val="21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12"/>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r>
      <w:tr>
        <w:trPr>
          <w:trHeight w:val="207"/>
        </w:trPr>
        <w:tc>
          <w:tcPr>
            <w:tcW w:w="8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2"/>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14"/>
        </w:trPr>
        <w:tc>
          <w:tcPr>
            <w:tcW w:w="8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and cash equivalents at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20,717</w:t>
            </w:r>
          </w:p>
        </w:tc>
      </w:tr>
      <w:tr>
        <w:trPr>
          <w:trHeight w:val="183"/>
        </w:trPr>
        <w:tc>
          <w:tcPr>
            <w:tcW w:w="804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32,040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22,969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0"/>
        </w:trPr>
        <w:tc>
          <w:tcPr>
            <w:tcW w:w="8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r>
    </w:tbl>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846" w:right="5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SI-BONE, Inc. (the “Company”) was incorporated in the state of Delaware on March 18, 2008 and is headquartered in Santa Clara, California. The Company is a medical device company that has pioneered a family of proprietary minimally invasive surgical implants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 The second generation iFuse implant, iFuse-3D, was introduced in 2017 followed by iFuse-TORQ in 2021, iFuse Bedrock Granite in 2022 and iFuse INTRA in January 2024.</w:t>
      </w:r>
    </w:p>
    <w:p>
      <w:pPr>
        <w:spacing w:after="0" w:line="62"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In May 2023, the Company received a total of $83.7 million of net proceeds after deducting the underwriting discounts and commissions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did not result in any proceeds to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2023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2024 are not necessarily indicative of the results to be expected for the year ending December 31, 2024 or for any other interim period or for any other future year.</w:t>
      </w:r>
    </w:p>
    <w:p>
      <w:pPr>
        <w:spacing w:after="0" w:line="18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should be read in conjunction with the audited financial statements and related notes thereto for the year ended December 31, 2023 contained in the 2023 Annual Report.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1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During the current quarter, the Company reassessed the useful life of its instrument trays based on a comprehensive evaluation of usage trends and its estimate on the average life of instruments before loss or damage that requires disposal. As a result of this review, the Company determined that extending the useful life of its instrument trays would more accurately reflect its anticipated future economic benefits. Effective January 1, 2024, the Company changed its estimates of the useful lives of instrument trays from three to five years. The effect of this change in estimate reduced depreciation expense by $0.5 million, resulting in a decrease in net loss of $0.5 million and basic and diluted earnings per share by $0.01 for the three months ended March 31, 2024.</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2023 Annual Report. There have been no material changes to these accounting policies.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w:t>
      </w:r>
    </w:p>
    <w:p>
      <w:pPr>
        <w:sectPr>
          <w:pgSz w:w="11900" w:h="16838" w:orient="portrait"/>
          <w:cols w:equalWidth="0" w:num="1">
            <w:col w:w="11240"/>
          </w:cols>
          <w:pgMar w:left="320" w:top="117" w:right="3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managers who are held accountable for operations, operating results or plans for levels or components below the consolidated unit level. Accordingly, the Company has determined that it has a single reportable and operating segment structure</w:t>
      </w:r>
      <w:r>
        <w:rPr>
          <w:rFonts w:ascii="Times New Roman" w:cs="Times New Roman" w:eastAsia="Times New Roman" w:hAnsi="Times New Roman"/>
          <w:sz w:val="21"/>
          <w:szCs w:val="21"/>
          <w:color w:val="008080"/>
        </w:rPr>
        <w:t>.</w:t>
      </w:r>
    </w:p>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4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8"/>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spacing w:after="0"/>
              <w:rPr>
                <w:sz w:val="18"/>
                <w:szCs w:val="18"/>
                <w:color w:val="auto"/>
              </w:rPr>
            </w:pPr>
          </w:p>
        </w:tc>
      </w:tr>
      <w:tr>
        <w:trPr>
          <w:trHeight w:val="23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120" w:type="dxa"/>
            <w:vAlign w:val="bottom"/>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30,450</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48"/>
        </w:trPr>
        <w:tc>
          <w:tcPr>
            <w:tcW w:w="4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12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ASU 2023-06, Disclosure Agreements - Codification Amendments in Response to the SEC’s Disclosure Update and Simplification Initiative ("ASU 2023-06").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impacts of the amendment on its disclosures.</w:t>
      </w:r>
    </w:p>
    <w:p>
      <w:pPr>
        <w:spacing w:after="0" w:line="18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requires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Early adoption is permitted. The Company is currently evaluating the guidance to determine the impact on its disclosures.</w:t>
      </w:r>
    </w:p>
    <w:p>
      <w:pPr>
        <w:spacing w:after="0" w:line="18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and for interim periods for fiscal years beginning after December 15, 2025. The Company is currently evaluating the impacts of ASU 2023-09 on its disclosures.</w:t>
      </w:r>
    </w:p>
    <w:p>
      <w:pPr>
        <w:spacing w:after="0" w:line="18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ASU 2024-02 amends the Codification to remove references to various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Generally, the amendments in ASU 2024-02 are not intended to result in significant accounting changes for most entities. ASU 2024-02 is effective January 1, 2025, and the Company is currently evaluating the impacts of the amendment on its disclosures.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the marketable securities:</w:t>
      </w:r>
    </w:p>
    <w:p>
      <w:pPr>
        <w:spacing w:after="0" w:line="268"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3"/>
                <w:szCs w:val="13"/>
                <w:color w:val="auto"/>
              </w:rPr>
            </w:pPr>
          </w:p>
        </w:tc>
        <w:tc>
          <w:tcPr>
            <w:tcW w:w="132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80" w:type="dxa"/>
            <w:vAlign w:val="bottom"/>
          </w:tcPr>
          <w:p>
            <w:pPr>
              <w:spacing w:after="0"/>
              <w:rPr>
                <w:sz w:val="13"/>
                <w:szCs w:val="13"/>
                <w:color w:val="auto"/>
              </w:rPr>
            </w:pPr>
          </w:p>
        </w:tc>
        <w:tc>
          <w:tcPr>
            <w:tcW w:w="1420" w:type="dxa"/>
            <w:vAlign w:val="bottom"/>
            <w:gridSpan w:val="3"/>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5"/>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125,814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9"/>
              </w:rPr>
              <w:t>(34)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(34)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148,767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11"/>
              <w:spacing w:after="0" w:line="196" w:lineRule="exact"/>
              <w:rPr>
                <w:sz w:val="20"/>
                <w:szCs w:val="20"/>
                <w:color w:val="auto"/>
              </w:rPr>
            </w:pPr>
            <w:r>
              <w:rPr>
                <w:rFonts w:ascii="Times New Roman" w:cs="Times New Roman" w:eastAsia="Times New Roman" w:hAnsi="Times New Roman"/>
                <w:sz w:val="18"/>
                <w:szCs w:val="18"/>
                <w:color w:val="auto"/>
                <w:w w:val="99"/>
              </w:rPr>
              <w:t>(34)</w:t>
            </w:r>
          </w:p>
        </w:tc>
        <w:tc>
          <w:tcPr>
            <w:tcW w:w="140" w:type="dxa"/>
            <w:vAlign w:val="bottom"/>
          </w:tcPr>
          <w:p>
            <w:pPr>
              <w:spacing w:after="0"/>
              <w:rPr>
                <w:sz w:val="17"/>
                <w:szCs w:val="17"/>
                <w:color w:val="auto"/>
              </w:rPr>
            </w:pP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148,735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Aggregate Fair</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vMerge w:val="continue"/>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320" w:type="dxa"/>
            <w:vAlign w:val="bottom"/>
            <w:gridSpan w:val="3"/>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23,331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23,331</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129,695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129,762</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bonds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132,683</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132,748</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156,014</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156,079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three months ended March 31, 2024 and 2023,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March 31, 2024 and December 31, 2023.</w:t>
      </w:r>
    </w:p>
    <w:p>
      <w:pPr>
        <w:spacing w:after="0" w:line="18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elected to present accrued interest receivable separately from short-term and long-term investments on its condensed consolidated balance sheets. Accrued interest receivable was $0.2 million as of March 31, 2024,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March 31, 2024 or December 31, 2023.</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w:t>
      </w:r>
    </w:p>
    <w:p>
      <w:pPr>
        <w:spacing w:after="0" w:line="18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 of the Company’s marketable securities measured at fair value on a recurring basis based on the three-tier fair value hierarchy:</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1"/>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125,782</w:t>
            </w:r>
          </w:p>
        </w:tc>
        <w:tc>
          <w:tcPr>
            <w:tcW w:w="12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125,782</w:t>
            </w:r>
          </w:p>
        </w:tc>
      </w:tr>
      <w:tr>
        <w:trPr>
          <w:trHeight w:val="22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148,735</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90"/>
        </w:trPr>
        <w:tc>
          <w:tcPr>
            <w:tcW w:w="4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1"/>
        </w:trPr>
        <w:tc>
          <w:tcPr>
            <w:tcW w:w="4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1"/>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129,762</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129,762</w:t>
            </w:r>
          </w:p>
        </w:tc>
      </w:tr>
      <w:tr>
        <w:trPr>
          <w:trHeight w:val="229"/>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43"/>
        </w:trPr>
        <w:tc>
          <w:tcPr>
            <w:tcW w:w="4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153,093</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0" w:right="8960" w:hanging="452"/>
        <w:spacing w:after="0" w:line="377" w:lineRule="auto"/>
        <w:tabs>
          <w:tab w:leader="none" w:pos="1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Components </w:t>
      </w:r>
      <w:r>
        <w:rPr>
          <w:rFonts w:ascii="Times New Roman" w:cs="Times New Roman" w:eastAsia="Times New Roman" w:hAnsi="Times New Roman"/>
          <w:sz w:val="18"/>
          <w:szCs w:val="18"/>
          <w:b w:val="1"/>
          <w:bCs w:val="1"/>
          <w:i w:val="1"/>
          <w:iCs w:val="1"/>
          <w:color w:val="auto"/>
        </w:rPr>
        <w:t>Inventory</w:t>
      </w:r>
    </w:p>
    <w:p>
      <w:pPr>
        <w:spacing w:after="0" w:line="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inventory consisted of finished goods of $19.4 million and work-in-progress and components of $1.6 million. As of December 31, 2023, inventory consisted of finished goods of $18.8 million and work-in-progress and components of $1.4 million.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72"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18"/>
                <w:szCs w:val="18"/>
                <w:color w:val="auto"/>
              </w:rPr>
            </w:pPr>
          </w:p>
        </w:tc>
      </w:tr>
      <w:tr>
        <w:trPr>
          <w:trHeight w:val="233"/>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Instrument trays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tcPr>
          <w:p>
            <w:pPr>
              <w:spacing w:after="0"/>
              <w:rPr>
                <w:sz w:val="20"/>
                <w:szCs w:val="20"/>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w:t>
            </w:r>
          </w:p>
        </w:tc>
      </w:tr>
      <w:tr>
        <w:trPr>
          <w:trHeight w:val="229"/>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29"/>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30"/>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29"/>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r>
      <w:tr>
        <w:trPr>
          <w:trHeight w:val="230"/>
        </w:trPr>
        <w:tc>
          <w:tcPr>
            <w:tcW w:w="6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3"/>
        </w:trPr>
        <w:tc>
          <w:tcPr>
            <w:tcW w:w="6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33,657</w:t>
            </w:r>
          </w:p>
        </w:tc>
        <w:tc>
          <w:tcPr>
            <w:tcW w:w="10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r>
      <w:tr>
        <w:trPr>
          <w:trHeight w:val="230"/>
        </w:trPr>
        <w:tc>
          <w:tcPr>
            <w:tcW w:w="6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(15,246)</w:t>
            </w:r>
          </w:p>
        </w:tc>
      </w:tr>
      <w:tr>
        <w:trPr>
          <w:trHeight w:val="248"/>
        </w:trPr>
        <w:tc>
          <w:tcPr>
            <w:tcW w:w="6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100" w:type="dxa"/>
            <w:vAlign w:val="bottom"/>
          </w:tcPr>
          <w:p>
            <w:pPr>
              <w:spacing w:after="0"/>
              <w:rPr>
                <w:sz w:val="21"/>
                <w:szCs w:val="21"/>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March 31, 2024, construction in progress pertains to the cost of individual components of an instrument tray used for surgical placement of the Company's products that have not yet been placed into service of $4.8 million and software costs of $0.3 million. As of December 31, 2023, construction in progress pertains to cost of individual components of a custom instrument set used for surgical placement of the Company's products that have not yet been placed into service of $3.5 million and software costs of $0.4 million. Depreciation expense was $1.1 million for each of the three months ended March 31, 2024 and 2023.</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 and Other</w:t>
      </w:r>
      <w:r>
        <w:rPr>
          <w:rFonts w:ascii="Times New Roman" w:cs="Times New Roman" w:eastAsia="Times New Roman" w:hAnsi="Times New Roman"/>
          <w:sz w:val="18"/>
          <w:szCs w:val="18"/>
          <w:color w:val="auto"/>
        </w:rPr>
        <w: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Borders>
              <w:top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royalty</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tc>
        <w:tc>
          <w:tcPr>
            <w:tcW w:w="1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3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movement in the allowance for credit losses was as follows:</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46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0" w:type="dxa"/>
            <w:vAlign w:val="bottom"/>
            <w:tcBorders>
              <w:top w:val="single" w:sz="8" w:color="auto"/>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56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Write-offs</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4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right="8500" w:hanging="452"/>
        <w:spacing w:after="0" w:line="466" w:lineRule="auto"/>
        <w:tabs>
          <w:tab w:leader="none" w:pos="19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Leases</w:t>
      </w:r>
    </w:p>
    <w:p>
      <w:pPr>
        <w:spacing w:after="0" w:line="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has a non-cancelable operating lease for an office building space, located in Santa Clara, California which expires in May 2025 and a building used for research and development and warehouse space in Santa Clara, California which expires in October 2026. The Company also has a non-cancelable operating lease for its office building spaces in Gallarate, Italy which expires in August 2027.</w:t>
      </w:r>
    </w:p>
    <w:p>
      <w:pPr>
        <w:spacing w:after="0" w:line="12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Company also leases vehicles under operating lease arrangements for certain of its personnel in Europe which expire at various times throughout 2024 to 2026.</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lease expense and valuation of the lease assets and lease liabilities are as follows:</w:t>
      </w:r>
    </w:p>
    <w:p>
      <w:pPr>
        <w:spacing w:after="0" w:line="293"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300" w:type="dxa"/>
        <w:tblCellMar>
          <w:top w:w="0" w:type="dxa"/>
          <w:left w:w="0" w:type="dxa"/>
          <w:bottom w:w="0" w:type="dxa"/>
          <w:right w:w="0" w:type="dxa"/>
        </w:tblCellMar>
      </w:tblPr>
      <w:tr>
        <w:trPr>
          <w:trHeight w:val="214"/>
        </w:trPr>
        <w:tc>
          <w:tcPr>
            <w:tcW w:w="34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w:t>
            </w:r>
          </w:p>
        </w:tc>
      </w:tr>
      <w:tr>
        <w:trPr>
          <w:trHeight w:val="257"/>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8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r>
      <w:tr>
        <w:trPr>
          <w:trHeight w:val="248"/>
        </w:trPr>
        <w:tc>
          <w:tcPr>
            <w:tcW w:w="3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lease expense</w:t>
            </w: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8" w:lineRule="exact"/>
        <w:rPr>
          <w:sz w:val="20"/>
          <w:szCs w:val="20"/>
          <w:color w:val="auto"/>
        </w:rPr>
      </w:pPr>
    </w:p>
    <w:p>
      <w:pPr>
        <w:ind w:left="1320" w:right="140"/>
        <w:spacing w:after="0" w:line="281" w:lineRule="auto"/>
        <w:rPr>
          <w:sz w:val="20"/>
          <w:szCs w:val="20"/>
          <w:color w:val="auto"/>
        </w:rPr>
      </w:pPr>
      <w:r>
        <w:rPr>
          <w:rFonts w:ascii="Times New Roman" w:cs="Times New Roman" w:eastAsia="Times New Roman" w:hAnsi="Times New Roman"/>
          <w:sz w:val="17"/>
          <w:szCs w:val="17"/>
          <w:color w:val="auto"/>
        </w:rPr>
        <w:t>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-287020</wp:posOffset>
            </wp:positionV>
            <wp:extent cx="378015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80155" cy="291465"/>
                    </a:xfrm>
                    <a:prstGeom prst="rect">
                      <a:avLst/>
                    </a:prstGeom>
                    <a:noFill/>
                  </pic:spPr>
                </pic:pic>
              </a:graphicData>
            </a:graphic>
          </wp:anchor>
        </w:drawing>
      </w:r>
    </w:p>
    <w:p>
      <w:pPr>
        <w:ind w:left="1320"/>
        <w:spacing w:after="0" w:line="266" w:lineRule="auto"/>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20" w:right="60"/>
        <w:spacing w:after="0" w:line="266" w:lineRule="auto"/>
        <w:rPr>
          <w:sz w:val="20"/>
          <w:szCs w:val="20"/>
          <w:color w:val="auto"/>
        </w:rPr>
      </w:pPr>
      <w:r>
        <w:rPr>
          <w:rFonts w:ascii="Times New Roman" w:cs="Times New Roman" w:eastAsia="Times New Roman" w:hAnsi="Times New Roman"/>
          <w:sz w:val="18"/>
          <w:szCs w:val="18"/>
          <w:color w:val="auto"/>
        </w:rPr>
        <w:t>Weighted average remaining lease term (in years)</w:t>
      </w:r>
    </w:p>
    <w:p>
      <w:pPr>
        <w:ind w:left="132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-127635</wp:posOffset>
            </wp:positionV>
            <wp:extent cx="378015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8015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702"/>
        </w:trPr>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32"/>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13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41"/>
        </w:trPr>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60" w:space="240"/>
            <w:col w:w="6540"/>
          </w:cols>
          <w:pgMar w:left="320" w:top="117" w:right="339" w:bottom="1440" w:gutter="0" w:footer="0" w:header="0"/>
          <w:type w:val="continuous"/>
        </w:sectPr>
      </w:pP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March 31, 2024 was as follows:</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the Company had no operating lease liabilities that had not commenced.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Company has certain purchase commitments related to its inventory management with certain manufacturing suppliers wherein the Company is required to purchase the amounts forecasted in a blanket purchase order. The contractual obligations</w:t>
      </w:r>
    </w:p>
    <w:p>
      <w:pPr>
        <w:sectPr>
          <w:pgSz w:w="11900" w:h="16838" w:orient="portrait"/>
          <w:cols w:equalWidth="0" w:num="1">
            <w:col w:w="11240"/>
          </w:cols>
          <w:pgMar w:left="320" w:top="117"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 future cash commitments and liabilities under agreements with third parties and exclude orders for goods and services entered into in the normal course of business that are not enforceable or legally binding. These outstanding commitments amounted to $0.2 million and $0.4 million as of March 31, 2024 and December 31, 2023, respectively.</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w:t>
      </w:r>
    </w:p>
    <w:p>
      <w:pPr>
        <w:spacing w:after="0" w:line="158" w:lineRule="exact"/>
        <w:rPr>
          <w:sz w:val="20"/>
          <w:szCs w:val="20"/>
          <w:color w:val="auto"/>
        </w:rPr>
      </w:pPr>
    </w:p>
    <w:p>
      <w:pPr>
        <w:ind w:left="420" w:right="10000" w:hanging="412"/>
        <w:spacing w:after="0" w:line="466" w:lineRule="auto"/>
        <w:tabs>
          <w:tab w:leader="none" w:pos="19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Borrowings </w:t>
      </w:r>
      <w:r>
        <w:rPr>
          <w:rFonts w:ascii="Times New Roman" w:cs="Times New Roman" w:eastAsia="Times New Roman" w:hAnsi="Times New Roman"/>
          <w:sz w:val="17"/>
          <w:szCs w:val="17"/>
          <w:b w:val="1"/>
          <w:bCs w:val="1"/>
          <w:i w:val="1"/>
          <w:iCs w:val="1"/>
          <w:color w:val="auto"/>
        </w:rPr>
        <w:t>Term Loan</w:t>
      </w:r>
    </w:p>
    <w:p>
      <w:pPr>
        <w:ind w:left="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outstanding borrowings from the term loan as of periods presented:</w:t>
      </w:r>
    </w:p>
    <w:p>
      <w:pPr>
        <w:spacing w:after="0" w:line="268"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spacing w:after="0"/>
              <w:rPr>
                <w:sz w:val="18"/>
                <w:szCs w:val="18"/>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 and final fee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Unaccreted value of final fee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debt, net of debt issuance costs and unaccreted value of final fee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36,107</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36,107</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36,065</w:t>
            </w: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outstanding debt is related to a term loan pursuant to the Loan and Security Agreement dated August 12, 2021 entered into by the Company with Silicon Valley Bank (“SVB” or the “Lender”) (the “Original Loan Agreement”). Pursuant to the Original Loan Agreement, SVB provided a term loan in an aggregate principal amount of $35.0 million to the Company (the “Original Term Loan”).</w:t>
      </w:r>
    </w:p>
    <w:p>
      <w:pPr>
        <w:spacing w:after="0" w:line="12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January 6, 2023, the Company entered into a First Amendment to Loan and Security Agreement (the “First Amendment”) with SVB, which amended the Company's Original Term Loan pursuant to which the Company received a new term loan facility in an aggregate principal amount of $36.0 million (the “Original Loan Agreement” with the Amendment, collectively the “Amended Loan Agreement”). Upon entry into the Amended Loan Agreement, the Company borrowed $36.0 million pursuant to a term loan (the "Term Loan"), which was substantially used to repay in full the $35.0 million term loan outstanding under the Original Loan Agreement and secured a revolving credit facility in an aggregate principal amount of up to $15.0 million (the “Revolving Line”). The Amended Loan Agreement also includes an uncommitted accordion term loan in an aggregate principal amount of up to $15.0 million, which accordion may be approved by the Lender solely in its discretion, upon the Company’s request. The Term Loan matures on December 1, 2027 (the “Term Loan Maturity Date”). Interest on the Term Loan will be payable monthly at a floating annual rate set at the greater of (i) the prime rate as published in the Wall Street Journal plus 0.5% or (ii) 6.75%. Commencing on July 1, 2025, the Company will be required to make monthly principal Term Loan amortization payments. A final fee payment of 2% of the original principal amount of the Term Loan is due upon the earlier of the Term Loan Maturity Date, termination of the Amended Loan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Agreement, acceleration by the Lender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the Lender.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the Company does not maintain an adjusted quick ratio of at least 1.5 to 1.0, then falling below such threshold will allow the Lender to apply accounts receivable collections to outstanding Revolving Line borrowings. The Company will pay a total commitment fee of $187,500 on account of the Revolving Line payable in installments, but fully earned at close. The Company will also be required to pay a fee of $150,000 if it terminates the Amended Loan Agreement or Revolving Line prior to Revolving Line Maturity Date, or if the Lender terminates the Loan Agreement or the Revolving Line following an event of default. No termination fee would be due if the Revolving Line is replaced with a new facility with the Lender.</w:t>
      </w:r>
    </w:p>
    <w:p>
      <w:pPr>
        <w:spacing w:after="0" w:line="13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 On January 25, 2024, the Company entered into a Second Amendment to Loan and Security Agreement with SVB which amends the Company's Amended Loan Agreement (the “Second Amendment” and together with the Amended Loan Agreement, the “Second Amended Loan Agreement”). The Second Amendment revised certain provisions related to financial covenants and the periods in which the covenants apply. No amounts were outstanding under the Revolver as of March 31, 2024.</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accounted for the Amended Loan Agreement as a debt modification. Accordingly, the remaining unamortized debt issuance costs related to the Original Loan Agreement together with any lender fees incurred in connection with the entry of the Amended Loan Agreement are amortized to interest expense using the straight-line method over the new term of the loan through December 2027.</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effective interest rate related to the First-Citizens Term Loan for the three months ended March 31, 2024 and March 31, 2023 was 9.3% and 8.6%,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future principal and final fee payments under the Fist-Citizens Term Loan as of March 31, 2024:</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principal and final fee payments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36,720</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Second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March 31, 2024, the Company was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60" w:right="7720" w:hanging="452"/>
        <w:spacing w:after="0" w:line="518" w:lineRule="auto"/>
        <w:tabs>
          <w:tab w:leader="none" w:pos="1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Incentive Compensation Plans </w:t>
      </w:r>
      <w:r>
        <w:rPr>
          <w:rFonts w:ascii="Times New Roman" w:cs="Times New Roman" w:eastAsia="Times New Roman" w:hAnsi="Times New Roman"/>
          <w:sz w:val="18"/>
          <w:szCs w:val="18"/>
          <w:b w:val="1"/>
          <w:bCs w:val="1"/>
          <w:i w:val="1"/>
          <w:iCs w:val="1"/>
          <w:color w:val="auto"/>
        </w:rPr>
        <w:t>Stock Options</w:t>
      </w:r>
    </w:p>
    <w:p>
      <w:pPr>
        <w:spacing w:after="0" w:line="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summarizes the stock option activity for the three months ended March 31, 2024:</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14"/>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4"/>
                <w:szCs w:val="14"/>
                <w:color w:val="auto"/>
              </w:rPr>
            </w:pPr>
          </w:p>
        </w:tc>
        <w:tc>
          <w:tcPr>
            <w:tcW w:w="108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4"/>
        </w:trPr>
        <w:tc>
          <w:tcPr>
            <w:tcW w:w="39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00" w:type="dxa"/>
            <w:vAlign w:val="bottom"/>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1,188,708</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9"/>
                <w:szCs w:val="19"/>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0" w:type="dxa"/>
            <w:vAlign w:val="bottom"/>
          </w:tcPr>
          <w:p>
            <w:pPr>
              <w:spacing w:after="0"/>
              <w:rPr>
                <w:sz w:val="1"/>
                <w:szCs w:val="1"/>
                <w:color w:val="auto"/>
              </w:rPr>
            </w:pPr>
          </w:p>
        </w:tc>
      </w:tr>
      <w:tr>
        <w:trPr>
          <w:trHeight w:val="256"/>
        </w:trPr>
        <w:tc>
          <w:tcPr>
            <w:tcW w:w="3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1,158,816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and exercisable, March 31, 2024</w:t>
            </w: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BFE4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1,158,816</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Options vested and expected to vest, March 31,</w:t>
            </w:r>
          </w:p>
        </w:tc>
        <w:tc>
          <w:tcPr>
            <w:tcW w:w="100" w:type="dxa"/>
            <w:vAlign w:val="bottom"/>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BFE4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920" w:type="dxa"/>
            <w:vAlign w:val="bottom"/>
            <w:vMerge w:val="continue"/>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1,158,816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gridSpan w:val="2"/>
            <w:vMerge w:val="continue"/>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there is no unrecognized compensation cost related to stock options.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stock options granted during the three months ended March 31, 2024 and 2023.</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RSUs are share awards that entitle the holder to receive freely tradable shares of the Company’s common stock upon vesting. RSUs generally vest over two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As of March 31, 2024, the unrecognized compensation cost related to the RSUs was $36.5 million, which is expected to be recognized over a period of approximately 2.6 years.</w:t>
      </w:r>
    </w:p>
    <w:p>
      <w:pPr>
        <w:spacing w:after="0" w:line="18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47.0%</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58.0%</w:t>
            </w: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volatility of peer companies</w:t>
            </w:r>
          </w:p>
        </w:tc>
        <w:tc>
          <w:tcPr>
            <w:tcW w:w="80" w:type="dxa"/>
            <w:vAlign w:val="bottom"/>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29.0%</w:t>
            </w:r>
          </w:p>
        </w:tc>
        <w:tc>
          <w:tcPr>
            <w:tcW w:w="8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12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33.0%</w:t>
            </w:r>
          </w:p>
        </w:tc>
        <w:tc>
          <w:tcPr>
            <w:tcW w:w="7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to</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Correlation coefficient of peer companies</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(0.15)</w:t>
            </w: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12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5"/>
              </w:rPr>
              <w:t>4.7%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5"/>
              </w:rPr>
              <w:t>3.9%</w:t>
            </w:r>
          </w:p>
        </w:tc>
        <w:tc>
          <w:tcPr>
            <w:tcW w:w="7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to</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4.7%</w:t>
            </w:r>
          </w:p>
        </w:tc>
        <w:tc>
          <w:tcPr>
            <w:tcW w:w="12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w:t>
            </w:r>
          </w:p>
        </w:tc>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to</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2024, the unrecognized compensation cost related to the PSUs was $7.0 million, which is expected to be recognized over a period of approximately 2.4 years.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RSU and PSU activity for the three months ended March 31, 2024: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100" w:type="dxa"/>
        <w:tblCellMar>
          <w:top w:w="0" w:type="dxa"/>
          <w:left w:w="0" w:type="dxa"/>
          <w:bottom w:w="0" w:type="dxa"/>
          <w:right w:w="0" w:type="dxa"/>
        </w:tblCellMar>
      </w:tblPr>
      <w:tr>
        <w:trPr>
          <w:trHeight w:val="215"/>
        </w:trPr>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06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PSUs</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40" w:type="dxa"/>
            <w:vAlign w:val="bottom"/>
            <w:tcBorders>
              <w:top w:val="single" w:sz="8" w:color="auto"/>
            </w:tcBorders>
            <w:vMerge w:val="restart"/>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center"/>
              <w:ind w:left="9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0" w:type="dxa"/>
            <w:vAlign w:val="bottom"/>
          </w:tcPr>
          <w:p>
            <w:pPr>
              <w:spacing w:after="0"/>
              <w:rPr>
                <w:sz w:val="1"/>
                <w:szCs w:val="1"/>
                <w:color w:val="auto"/>
              </w:rPr>
            </w:pPr>
          </w:p>
        </w:tc>
      </w:tr>
      <w:tr>
        <w:trPr>
          <w:trHeight w:val="214"/>
        </w:trPr>
        <w:tc>
          <w:tcPr>
            <w:tcW w:w="3400" w:type="dxa"/>
            <w:vAlign w:val="bottom"/>
          </w:tcPr>
          <w:p>
            <w:pPr>
              <w:spacing w:after="0"/>
              <w:rPr>
                <w:sz w:val="18"/>
                <w:szCs w:val="18"/>
                <w:color w:val="auto"/>
              </w:rPr>
            </w:pPr>
          </w:p>
        </w:tc>
        <w:tc>
          <w:tcPr>
            <w:tcW w:w="1040" w:type="dxa"/>
            <w:vAlign w:val="bottom"/>
          </w:tcPr>
          <w:p>
            <w:pPr>
              <w:jc w:val="center"/>
              <w:ind w:left="133"/>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60" w:type="dxa"/>
            <w:vAlign w:val="bottom"/>
          </w:tcPr>
          <w:p>
            <w:pPr>
              <w:jc w:val="center"/>
              <w:ind w:left="9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040" w:type="dxa"/>
            <w:vAlign w:val="bottom"/>
            <w:tcBorders>
              <w:top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1,899,790</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$19.93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rPr>
              <w:t>385,122</w:t>
            </w:r>
          </w:p>
        </w:tc>
        <w:tc>
          <w:tcPr>
            <w:tcW w:w="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9"/>
              </w:rPr>
              <w:t>615,056</w:t>
            </w:r>
          </w:p>
        </w:tc>
        <w:tc>
          <w:tcPr>
            <w:tcW w:w="154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8"/>
              </w:rPr>
              <w:t>20.48</w:t>
            </w:r>
          </w:p>
        </w:tc>
        <w:tc>
          <w:tcPr>
            <w:tcW w:w="100" w:type="dxa"/>
            <w:vAlign w:val="bottom"/>
          </w:tcPr>
          <w:p>
            <w:pPr>
              <w:spacing w:after="0"/>
              <w:rPr>
                <w:sz w:val="19"/>
                <w:szCs w:val="19"/>
                <w:color w:val="auto"/>
              </w:rPr>
            </w:pPr>
          </w:p>
        </w:tc>
        <w:tc>
          <w:tcPr>
            <w:tcW w:w="10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319,858</w:t>
            </w:r>
          </w:p>
        </w:tc>
        <w:tc>
          <w:tcPr>
            <w:tcW w:w="1560" w:type="dxa"/>
            <w:vAlign w:val="bottom"/>
            <w:gridSpan w:val="3"/>
          </w:tcPr>
          <w:p>
            <w:pPr>
              <w:jc w:val="center"/>
              <w:ind w:left="232"/>
              <w:spacing w:after="0"/>
              <w:rPr>
                <w:sz w:val="20"/>
                <w:szCs w:val="20"/>
                <w:color w:val="auto"/>
              </w:rPr>
            </w:pPr>
            <w:r>
              <w:rPr>
                <w:rFonts w:ascii="Times New Roman" w:cs="Times New Roman" w:eastAsia="Times New Roman" w:hAnsi="Times New Roman"/>
                <w:sz w:val="18"/>
                <w:szCs w:val="18"/>
                <w:color w:val="auto"/>
                <w:w w:val="98"/>
              </w:rPr>
              <w:t>18.48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(261,132)</w:t>
            </w:r>
          </w:p>
        </w:tc>
        <w:tc>
          <w:tcPr>
            <w:tcW w:w="1540" w:type="dxa"/>
            <w:vAlign w:val="bottom"/>
            <w:gridSpan w:val="3"/>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8"/>
              </w:rPr>
              <w:t>20.52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7"/>
              </w:rPr>
              <w:t>(94,439)</w:t>
            </w:r>
          </w:p>
        </w:tc>
        <w:tc>
          <w:tcPr>
            <w:tcW w:w="1560" w:type="dxa"/>
            <w:vAlign w:val="bottom"/>
            <w:gridSpan w:val="3"/>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16.27</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 and forfeited</w:t>
            </w:r>
          </w:p>
        </w:tc>
        <w:tc>
          <w:tcPr>
            <w:tcW w:w="104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18"/>
                <w:szCs w:val="18"/>
                <w:color w:val="auto"/>
              </w:rPr>
              <w:t>(17,234)</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20.95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2024</w:t>
            </w:r>
          </w:p>
        </w:tc>
        <w:tc>
          <w:tcPr>
            <w:tcW w:w="10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2,236,480</w:t>
            </w:r>
          </w:p>
        </w:tc>
        <w:tc>
          <w:tcPr>
            <w:tcW w:w="1540" w:type="dxa"/>
            <w:vAlign w:val="bottom"/>
            <w:gridSpan w:val="3"/>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8"/>
              </w:rPr>
              <w:t>20.01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rPr>
              <w:t>610,541</w:t>
            </w:r>
          </w:p>
        </w:tc>
        <w:tc>
          <w:tcPr>
            <w:tcW w:w="1560" w:type="dxa"/>
            <w:vAlign w:val="bottom"/>
            <w:gridSpan w:val="3"/>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8"/>
              </w:rPr>
              <w:t>16.47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ESPP shares is estimated using the Black-Scholes option pricing model, which is being amortized over the requisite service period. The Company did not issue any shares under ESPP for the three months ended March 31, 2024 and 2023. As of March 31, 2024 and December 31, 2023, total accumulated ESPP related employee payroll deductions amounted to $1.4 million and $0.4 million, respectively, which were included within accrued compensation and related expenses in the condensed consolidated balance sheets.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detail of stock-based compensation expense amounts included in the condensed consolidated statements of operations:</w:t>
      </w:r>
    </w:p>
    <w:p>
      <w:pPr>
        <w:spacing w:after="0" w:line="266"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214"/>
        </w:trPr>
        <w:tc>
          <w:tcPr>
            <w:tcW w:w="43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4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Pr>
          <w:p>
            <w:pPr>
              <w:spacing w:after="0"/>
              <w:rPr>
                <w:sz w:val="18"/>
                <w:szCs w:val="18"/>
                <w:color w:val="auto"/>
              </w:rPr>
            </w:pPr>
          </w:p>
        </w:tc>
      </w:tr>
      <w:tr>
        <w:trPr>
          <w:trHeight w:val="231"/>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30"/>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4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common stock warrants activity for the three months ended March 31, 2024:</w:t>
      </w:r>
    </w:p>
    <w:p>
      <w:pPr>
        <w:spacing w:after="0" w:line="140"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restart"/>
          </w:tcPr>
          <w:p>
            <w:pPr>
              <w:ind w:left="240"/>
              <w:spacing w:after="0" w:line="162" w:lineRule="exact"/>
              <w:rPr>
                <w:sz w:val="20"/>
                <w:szCs w:val="20"/>
                <w:color w:val="auto"/>
              </w:rPr>
            </w:pPr>
            <w:r>
              <w:rPr>
                <w:rFonts w:ascii="Times New Roman" w:cs="Times New Roman" w:eastAsia="Times New Roman" w:hAnsi="Times New Roman"/>
                <w:sz w:val="16"/>
                <w:szCs w:val="16"/>
                <w:b w:val="1"/>
                <w:bCs w:val="1"/>
                <w:color w:val="auto"/>
              </w:rPr>
              <w:t>Warrants</w:t>
            </w:r>
          </w:p>
        </w:tc>
        <w:tc>
          <w:tcPr>
            <w:tcW w:w="80" w:type="dxa"/>
            <w:vAlign w:val="bottom"/>
          </w:tcPr>
          <w:p>
            <w:pPr>
              <w:spacing w:after="0"/>
              <w:rPr>
                <w:sz w:val="9"/>
                <w:szCs w:val="9"/>
                <w:color w:val="auto"/>
              </w:rPr>
            </w:pPr>
          </w:p>
        </w:tc>
        <w:tc>
          <w:tcPr>
            <w:tcW w:w="1140" w:type="dxa"/>
            <w:vAlign w:val="bottom"/>
            <w:vMerge w:val="restart"/>
          </w:tcPr>
          <w:p>
            <w:pPr>
              <w:ind w:left="280"/>
              <w:spacing w:after="0" w:line="162" w:lineRule="exact"/>
              <w:rPr>
                <w:sz w:val="20"/>
                <w:szCs w:val="20"/>
                <w:color w:val="auto"/>
              </w:rPr>
            </w:pPr>
            <w:r>
              <w:rPr>
                <w:rFonts w:ascii="Times New Roman" w:cs="Times New Roman" w:eastAsia="Times New Roman" w:hAnsi="Times New Roman"/>
                <w:sz w:val="16"/>
                <w:szCs w:val="16"/>
                <w:b w:val="1"/>
                <w:bCs w:val="1"/>
                <w:color w:val="auto"/>
              </w:rPr>
              <w:t>Warrant</w:t>
            </w:r>
          </w:p>
        </w:tc>
        <w:tc>
          <w:tcPr>
            <w:tcW w:w="80" w:type="dxa"/>
            <w:vAlign w:val="bottom"/>
          </w:tcPr>
          <w:p>
            <w:pPr>
              <w:spacing w:after="0"/>
              <w:rPr>
                <w:sz w:val="9"/>
                <w:szCs w:val="9"/>
                <w:color w:val="auto"/>
              </w:rPr>
            </w:pPr>
          </w:p>
        </w:tc>
        <w:tc>
          <w:tcPr>
            <w:tcW w:w="1160" w:type="dxa"/>
            <w:vAlign w:val="bottom"/>
            <w:vMerge w:val="restart"/>
          </w:tcPr>
          <w:p>
            <w:pPr>
              <w:ind w:left="280"/>
              <w:spacing w:after="0" w:line="162" w:lineRule="exact"/>
              <w:rPr>
                <w:sz w:val="20"/>
                <w:szCs w:val="20"/>
                <w:color w:val="auto"/>
              </w:rPr>
            </w:pPr>
            <w:r>
              <w:rPr>
                <w:rFonts w:ascii="Times New Roman" w:cs="Times New Roman" w:eastAsia="Times New Roman" w:hAnsi="Times New Roman"/>
                <w:sz w:val="16"/>
                <w:szCs w:val="16"/>
                <w:b w:val="1"/>
                <w:bCs w:val="1"/>
                <w:color w:val="auto"/>
              </w:rPr>
              <w:t>Warrant</w:t>
            </w:r>
          </w:p>
        </w:tc>
        <w:tc>
          <w:tcPr>
            <w:tcW w:w="80" w:type="dxa"/>
            <w:vAlign w:val="bottom"/>
          </w:tcPr>
          <w:p>
            <w:pPr>
              <w:spacing w:after="0"/>
              <w:rPr>
                <w:sz w:val="9"/>
                <w:szCs w:val="9"/>
                <w:color w:val="auto"/>
              </w:rPr>
            </w:pPr>
          </w:p>
        </w:tc>
        <w:tc>
          <w:tcPr>
            <w:tcW w:w="11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37"/>
        </w:trPr>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180" w:type="dxa"/>
            <w:vAlign w:val="bottom"/>
            <w:gridSpan w:val="2"/>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80" w:type="dxa"/>
            <w:vAlign w:val="bottom"/>
          </w:tcPr>
          <w:p>
            <w:pPr>
              <w:spacing w:after="0"/>
              <w:rPr>
                <w:sz w:val="18"/>
                <w:szCs w:val="18"/>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25"/>
        </w:trPr>
        <w:tc>
          <w:tcPr>
            <w:tcW w:w="940" w:type="dxa"/>
            <w:vAlign w:val="bottom"/>
            <w:tcBorders>
              <w:top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3/1/2017</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100" w:type="dxa"/>
            <w:vAlign w:val="bottom"/>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29"/>
        </w:trPr>
        <w:tc>
          <w:tcPr>
            <w:tcW w:w="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11/26/2014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11/26/2024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Pr>
          <w:p>
            <w:pPr>
              <w:spacing w:after="0"/>
              <w:rPr>
                <w:sz w:val="19"/>
                <w:szCs w:val="19"/>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10/20/2015</w:t>
            </w:r>
          </w:p>
        </w:tc>
        <w:tc>
          <w:tcPr>
            <w:tcW w:w="1260" w:type="dxa"/>
            <w:vAlign w:val="bottom"/>
            <w:gridSpan w:val="3"/>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10/20/2025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0" w:type="dxa"/>
            <w:vAlign w:val="bottom"/>
          </w:tcPr>
          <w:p>
            <w:pPr>
              <w:spacing w:after="0"/>
              <w:rPr>
                <w:sz w:val="1"/>
                <w:szCs w:val="1"/>
                <w:color w:val="auto"/>
              </w:rPr>
            </w:pPr>
          </w:p>
        </w:tc>
      </w:tr>
      <w:tr>
        <w:trPr>
          <w:trHeight w:val="230"/>
        </w:trPr>
        <w:tc>
          <w:tcPr>
            <w:tcW w:w="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11/9/2015</w:t>
            </w:r>
          </w:p>
        </w:tc>
        <w:tc>
          <w:tcPr>
            <w:tcW w:w="126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11/9/2025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Pr>
          <w:p>
            <w:pPr>
              <w:spacing w:after="0"/>
              <w:rPr>
                <w:sz w:val="19"/>
                <w:szCs w:val="19"/>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12/22/2016</w:t>
            </w:r>
          </w:p>
        </w:tc>
        <w:tc>
          <w:tcPr>
            <w:tcW w:w="1260" w:type="dxa"/>
            <w:vAlign w:val="bottom"/>
            <w:gridSpan w:val="3"/>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12/22/2026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 of Common Stock</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table below summarizes the computation of basic and diluted net loss per share:</w:t>
      </w:r>
    </w:p>
    <w:p>
      <w:pPr>
        <w:spacing w:after="0" w:line="268"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7"/>
        </w:trPr>
        <w:tc>
          <w:tcPr>
            <w:tcW w:w="4540" w:type="dxa"/>
            <w:vAlign w:val="bottom"/>
          </w:tcPr>
          <w:p>
            <w:pPr>
              <w:spacing w:after="0"/>
              <w:rPr>
                <w:sz w:val="13"/>
                <w:szCs w:val="13"/>
                <w:color w:val="auto"/>
              </w:rPr>
            </w:pPr>
          </w:p>
        </w:tc>
        <w:tc>
          <w:tcPr>
            <w:tcW w:w="2980" w:type="dxa"/>
            <w:vAlign w:val="bottom"/>
            <w:gridSpan w:val="5"/>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(in thousands, except share and per share</w:t>
            </w: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center"/>
              <w:ind w:left="755"/>
              <w:spacing w:after="0"/>
              <w:rPr>
                <w:sz w:val="20"/>
                <w:szCs w:val="20"/>
                <w:color w:val="auto"/>
              </w:rPr>
            </w:pPr>
            <w:r>
              <w:rPr>
                <w:rFonts w:ascii="Times New Roman" w:cs="Times New Roman" w:eastAsia="Times New Roman" w:hAnsi="Times New Roman"/>
                <w:sz w:val="16"/>
                <w:szCs w:val="16"/>
                <w:b w:val="1"/>
                <w:bCs w:val="1"/>
                <w:color w:val="auto"/>
              </w:rPr>
              <w:t>data)</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421"/>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basic and diluted</w:t>
            </w:r>
          </w:p>
        </w:tc>
        <w:tc>
          <w:tcPr>
            <w:tcW w:w="240" w:type="dxa"/>
            <w:vAlign w:val="bottom"/>
          </w:tcPr>
          <w:p>
            <w:pPr>
              <w:spacing w:after="0"/>
              <w:rPr>
                <w:sz w:val="24"/>
                <w:szCs w:val="24"/>
                <w:color w:val="auto"/>
              </w:rPr>
            </w:pP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40,934,392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34,916,106</w:t>
            </w:r>
          </w:p>
        </w:tc>
        <w:tc>
          <w:tcPr>
            <w:tcW w:w="0" w:type="dxa"/>
            <w:vAlign w:val="bottom"/>
          </w:tcPr>
          <w:p>
            <w:pPr>
              <w:spacing w:after="0"/>
              <w:rPr>
                <w:sz w:val="1"/>
                <w:szCs w:val="1"/>
                <w:color w:val="auto"/>
              </w:rPr>
            </w:pPr>
          </w:p>
        </w:tc>
      </w:tr>
      <w:tr>
        <w:trPr>
          <w:trHeight w:val="207"/>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per share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00" w:type="dxa"/>
            <w:vAlign w:val="bottom"/>
            <w:gridSpan w:val="3"/>
          </w:tcPr>
          <w:p>
            <w:pPr>
              <w:jc w:val="center"/>
              <w:ind w:left="134"/>
              <w:spacing w:after="0"/>
              <w:rPr>
                <w:sz w:val="20"/>
                <w:szCs w:val="20"/>
                <w:color w:val="auto"/>
              </w:rPr>
            </w:pPr>
            <w:r>
              <w:rPr>
                <w:rFonts w:ascii="Times New Roman" w:cs="Times New Roman" w:eastAsia="Times New Roman" w:hAnsi="Times New Roman"/>
                <w:sz w:val="18"/>
                <w:szCs w:val="18"/>
                <w:b w:val="1"/>
                <w:bCs w:val="1"/>
                <w:color w:val="auto"/>
                <w:w w:val="99"/>
              </w:rPr>
              <w:t>SI-BONE, INC.</w:t>
            </w: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2000" w:type="dxa"/>
            <w:vAlign w:val="bottom"/>
          </w:tcPr>
          <w:p>
            <w:pPr>
              <w:spacing w:after="0"/>
              <w:rPr>
                <w:sz w:val="20"/>
                <w:szCs w:val="20"/>
                <w:color w:val="auto"/>
              </w:rPr>
            </w:pPr>
          </w:p>
        </w:tc>
        <w:tc>
          <w:tcPr>
            <w:tcW w:w="7060" w:type="dxa"/>
            <w:vAlign w:val="bottom"/>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r>
      <w:tr>
        <w:trPr>
          <w:trHeight w:val="699"/>
        </w:trPr>
        <w:tc>
          <w:tcPr>
            <w:tcW w:w="2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5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200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80" w:type="dxa"/>
            <w:vAlign w:val="bottom"/>
          </w:tcPr>
          <w:p>
            <w:pPr>
              <w:spacing w:after="0"/>
              <w:rPr>
                <w:sz w:val="18"/>
                <w:szCs w:val="18"/>
                <w:color w:val="auto"/>
              </w:rPr>
            </w:pPr>
          </w:p>
        </w:tc>
      </w:tr>
      <w:tr>
        <w:trPr>
          <w:trHeight w:val="225"/>
        </w:trPr>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2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1,767,791</w:t>
            </w:r>
          </w:p>
        </w:tc>
        <w:tc>
          <w:tcPr>
            <w:tcW w:w="1480" w:type="dxa"/>
            <w:vAlign w:val="bottom"/>
          </w:tcPr>
          <w:p>
            <w:pPr>
              <w:spacing w:after="0"/>
              <w:rPr>
                <w:sz w:val="19"/>
                <w:szCs w:val="19"/>
                <w:color w:val="auto"/>
              </w:rPr>
            </w:pPr>
          </w:p>
        </w:tc>
      </w:tr>
      <w:tr>
        <w:trPr>
          <w:trHeight w:val="230"/>
        </w:trPr>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2,909,899</w:t>
            </w:r>
          </w:p>
        </w:tc>
        <w:tc>
          <w:tcPr>
            <w:tcW w:w="1480" w:type="dxa"/>
            <w:vAlign w:val="bottom"/>
          </w:tcPr>
          <w:p>
            <w:pPr>
              <w:spacing w:after="0"/>
              <w:rPr>
                <w:sz w:val="19"/>
                <w:szCs w:val="19"/>
                <w:color w:val="auto"/>
              </w:rPr>
            </w:pPr>
          </w:p>
        </w:tc>
      </w:tr>
      <w:tr>
        <w:trPr>
          <w:trHeight w:val="229"/>
        </w:trPr>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ESPP purchase rights</w:t>
            </w:r>
          </w:p>
        </w:tc>
        <w:tc>
          <w:tcPr>
            <w:tcW w:w="4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134,226</w:t>
            </w:r>
          </w:p>
        </w:tc>
        <w:tc>
          <w:tcPr>
            <w:tcW w:w="1480" w:type="dxa"/>
            <w:vAlign w:val="bottom"/>
          </w:tcPr>
          <w:p>
            <w:pPr>
              <w:spacing w:after="0"/>
              <w:rPr>
                <w:sz w:val="19"/>
                <w:szCs w:val="19"/>
                <w:color w:val="auto"/>
              </w:rPr>
            </w:pPr>
          </w:p>
        </w:tc>
      </w:tr>
      <w:tr>
        <w:trPr>
          <w:trHeight w:val="229"/>
        </w:trPr>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 warrants</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480" w:type="dxa"/>
            <w:vAlign w:val="bottom"/>
          </w:tcPr>
          <w:p>
            <w:pPr>
              <w:spacing w:after="0"/>
              <w:rPr>
                <w:sz w:val="19"/>
                <w:szCs w:val="19"/>
                <w:color w:val="auto"/>
              </w:rPr>
            </w:pPr>
          </w:p>
        </w:tc>
      </w:tr>
      <w:tr>
        <w:trPr>
          <w:trHeight w:val="248"/>
        </w:trPr>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4,930,038</w:t>
            </w:r>
          </w:p>
        </w:tc>
        <w:tc>
          <w:tcPr>
            <w:tcW w:w="1480" w:type="dxa"/>
            <w:vAlign w:val="bottom"/>
          </w:tcPr>
          <w:p>
            <w:pPr>
              <w:spacing w:after="0"/>
              <w:rPr>
                <w:sz w:val="21"/>
                <w:szCs w:val="2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24, 2020, the Company entered into a joint development agreement (the “Development Agreement”) with SeaSpine Orthopedics Corporation (“SeaSpine”), which recently merged with Orthofix Medical, Inc. ("Orthofix"),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 On October 4, 2023, Keith C. Valentine resigned as a member of the Board of Directors of Orthofix. As such, subsequent to October 4, 2023, SeaSpine is no longer a related party of the Company.</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March 31, 2024 and March 31, 2023, the Company did not incur any reimbursement charges from Seaspine.</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The Company recorded zero and $0.06 million of royalty for the three months ended March 31, 2024 and March 31,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2024 and 2023. The Company continues to maintain a full valuation allowance against its net deferred tax assets due to the uncertainty surrounding realization of such assets.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March 31, 2024 compared to December 31,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37"/>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February 27,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this Quarterly Report on Form 10-Q, our actual results could differ materially from the results described in, or implied, by these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four titanium implant product lines, including iFuse-3D in 2017, iFuse-TORQ in 2021, iFuse Bedrock Granite in 2022 and iFuse INTRA in January 2024. Within the United States, iFuse, iFuse-3D and iFuse-TORQ have clearances for applications across sacroiliac joint dysfunction and fusion, adult spinal deformity and degeneration, and pelvic trauma.</w:t>
      </w:r>
    </w:p>
    <w:p>
      <w:pPr>
        <w:spacing w:after="0" w:line="1"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We market our products primarily with a direct sales force as well as a number of third-party sales agents in the United States, and with a combination of a direct sales force, and sales agents and resellers in other countries. As of March 31, 2024, more than 100,000 procedures have been performed using our products by over 3,700 physicians in the United States and 38 other countries since we introduced iFuse in 2009.</w:t>
      </w:r>
    </w:p>
    <w:p>
      <w:pPr>
        <w:spacing w:after="0" w:line="212"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In May 2023, we received a total of $83.7 million of net proceeds from the offering of 3,775,000 shares of our common stock, and the exercise of the underwriter's option to purchase an additional 566,250 shares of our common stock, at a public offering price of $22.00 per share. Of these shares, 272,753 shares were offered by a selling stockholder and did not result in any proceeds to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Expand Access to Solutions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spacing w:after="0" w:line="1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2024, our U.S. sales force consisted of 85 territory sales managers and 67 clinical support specialists directly employed by us and 183 third-party sales agents, compared to 87 territory sales managers and 67 clinical support specialists directly employed by us and 126 third-party sales agents as of March 31, 2023. As of March 31, 2024, our international sales force consisted of 12 sales representatives directly employed by us and a total of 28 third-party sales agents and resellers, compared to 12 sales representatives directly employed by us and a total of 31 third-party sales agents and resellers as of March 31, 2023.</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2024, over 20 percent of our procedures for sacroiliac joint dysfunction were performed at ambulatory surgery centers, or ASCs.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been making targeted investments in digital marketing initiatives to drive patient awareness, to empower and educate patients as they manage their sacroiliac joint dysfunction and associated pain. These marketing programs are targeted at patients in chronic, severe sacroiliac joint pain who have been in conservative care for an extended period of time. We are focused on connecting patients with physicians in their area who perform minimally invasive sacroiliac joint procedures through our Find-a-Doctor website tool. Through a variety of channels, including search, social and display, we have deployed a number of campaigns and are continually optimizing to maximize patient awareness and to connect patients with physicians. Our data-driven approach enables us to focus our investment on the most cost-effective programs.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Physician Engagement</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utilize a combination of hands-on cadaveric and dry-lab training, as well as the SI-BONE SImulator - a portable, radiation-free, haptics and computer-based simulator - for training purposes, and optimize our programs to improve adoption rate, time to first case and ultimately physician productivity.</w:t>
      </w:r>
    </w:p>
    <w:p>
      <w:pPr>
        <w:spacing w:after="0" w:line="162"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We are currently targeting over 12,000 U.S. physicians, including over 8,000 orthopedic and neurological surgeons and approximately 4,500 interventional spine physicians, to perform our procedures. As of March 31, 2024 and 2023, in the United States more than 2,700 and 2,300 physicians, respectively, have been trained on our products and have treated at least one patient. Outside the United States, as of March 31, 2024 and 2023, more than 1,000 and 900 physicians, respectively, have been trained on our product and have treated at least one patient. Since launching our academic training program in August 2018, we have trained approximately 1,600 surgical residents and fellows in nearly 250 academic programs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Expand Addressable Markets</w:t>
      </w:r>
    </w:p>
    <w:p>
      <w:pPr>
        <w:spacing w:after="0" w:line="21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Expanding our platform of sacropelvic solutions to address sacroiliac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to obtaining stabilization and /or fusion.</w:t>
      </w:r>
    </w:p>
    <w:p>
      <w:pPr>
        <w:spacing w:after="0" w:line="18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2025. In September 2022 we enrolled the first of the targeted 120 patients in our SAFFRON study, a prospective randomized controlled trial of surgery using our iFuse-TORQ device vs. non-surgical management in patients with debilitating sacral fragility or insufficiency fractures. We anticipate results to be available in late 2024. We are working with a select group of physicians on STACI, a prospective study on the use of iFuse-TORQ in patients with sacroiliac joint dysfunction. The purpose of STACI is to provide post-market information on the safety and effectiveness of minimally invasive sacroiliac joint fusion procedures performed with iFuse-TORQ.</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the three months ended March 31, 2024, we spent $4.3 million on R&amp;D, equating to 11% of our revenue. During the three months ended March 31, 2023, we spent $3.3 million on R&amp;D, equating to 10% of our revenue.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Enhance Employee Experience and Engagement</w:t>
      </w:r>
    </w:p>
    <w:p>
      <w:pPr>
        <w:spacing w:after="0" w:line="21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w:t>
      </w:r>
    </w:p>
    <w:p>
      <w:pPr>
        <w:spacing w:after="0" w:line="17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w:t>
      </w:r>
    </w:p>
    <w:p>
      <w:pPr>
        <w:spacing w:after="0" w:line="17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maintain a commitment to employee retention by leveraging insights from exit interviews and engagement surveys to continuously enhance the workplace experience.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operational efficiency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 support our growing portfolio of solutions, we continue to evolve our business processes to identify, measure and improve operational efficiency.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developed will allow us to optimize processes, increase sales force productivity and improve asset utilization.</w:t>
      </w:r>
    </w:p>
    <w:p>
      <w:pPr>
        <w:spacing w:after="0" w:line="20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 sites of service. As of March 31, 2024, our average revenue per territory sales manager was approximately $1.6 million.</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w:t>
      </w:r>
    </w:p>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implants as we scale, and reduce waste and rework. Lastly, we are integrating our demand planning and manufacturing systems, to ensure we leverage actual usage trends as we build surgical capacity to support our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color w:val="auto"/>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w:t>
      </w:r>
    </w:p>
    <w:p>
      <w:pPr>
        <w:spacing w:after="0" w:line="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quarter to quarter due to a variety of factors including reimbursement, sales force changes, physician activities, product launches, and seasonality. In addition, our revenue is impacted by changes in average selling price as we respond to the competitive landscape and price differences at different medical facilities, such as hospitals, ASCs and office-based labs or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stock-based compensation expense, and other costs for finance, accounting, legal, insurance, compliance, and administrative matters.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income is primarily related to our investments of excess cash in money market funds and marketable securities.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is primarily related to borrowings, amortization of debt issuance costs, and accretion of final fees on the First-Citizens Term Loan.</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r>
      <w:tr>
        <w:trPr>
          <w:trHeight w:val="211"/>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r>
      <w:tr>
        <w:trPr>
          <w:trHeight w:val="210"/>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2"/>
        </w:trPr>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gridSpan w:val="5"/>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20" w:type="dxa"/>
            <w:vAlign w:val="bottom"/>
          </w:tcPr>
          <w:p>
            <w:pPr>
              <w:spacing w:after="0"/>
              <w:rPr>
                <w:sz w:val="17"/>
                <w:szCs w:val="17"/>
                <w:color w:val="auto"/>
              </w:rPr>
            </w:pPr>
          </w:p>
        </w:tc>
      </w:tr>
      <w:tr>
        <w:trPr>
          <w:trHeight w:val="238"/>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37,867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32,708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8,002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5,924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29,865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26,784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29,387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27,313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4,345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3,291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8,176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7,473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41,908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38,077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(12,043)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(11,293)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2,113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932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(881)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(838)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74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(10,904)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(11,125)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derive the majority of our revenue from sales to customers in the U.S. Revenue by geography is based on billing address of the customer. The table below summarizes our revenue by geography:</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jc w:val="right"/>
              <w:ind w:right="95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3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09"/>
        </w:trPr>
        <w:tc>
          <w:tcPr>
            <w:tcW w:w="3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0"/>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6"/>
          </w:tcPr>
          <w:p>
            <w:pPr>
              <w:jc w:val="right"/>
              <w:ind w:right="774"/>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r>
      <w:tr>
        <w:trPr>
          <w:trHeight w:val="23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r>
        <w:rPr>
          <w:rFonts w:ascii="Times New Roman" w:cs="Times New Roman" w:eastAsia="Times New Roman" w:hAnsi="Times New Roman"/>
          <w:sz w:val="18"/>
          <w:szCs w:val="18"/>
          <w:color w:val="auto"/>
        </w:rPr>
        <w:t>:</w:t>
      </w:r>
    </w:p>
    <w:p>
      <w:pPr>
        <w:spacing w:after="0" w:line="27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37,867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32,708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8,002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50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29,865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26,784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500" w:type="dxa"/>
            <w:vAlign w:val="bottom"/>
            <w:tcBorders>
              <w:bottom w:val="single" w:sz="8" w:color="CCEEFF"/>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The increase in revenue for the three months ended March 31, 2024 as compared to the three months ended March 31, 2023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$5.0 million increase in our U.S. revenue due to the increase in case volumes.</w:t>
      </w:r>
    </w:p>
    <w:p>
      <w:pPr>
        <w:spacing w:after="0" w:line="19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increased $3.1 million for the three months ended March 31, 2024 as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mainly driven by higher revenue. The gross margin was 79% for the three months ended March 31, 2024 as compared to 82% for the three months ended March 31, 2023. Gross margin decreased in the first quarter 2024 due to procedure and product mix.</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w:t>
      </w:r>
    </w:p>
    <w:p>
      <w:pPr>
        <w:spacing w:after="0" w:line="5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4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60" w:type="dxa"/>
            <w:vAlign w:val="bottom"/>
          </w:tcPr>
          <w:p>
            <w:pPr>
              <w:spacing w:after="0"/>
              <w:rPr>
                <w:sz w:val="18"/>
                <w:szCs w:val="18"/>
                <w:color w:val="auto"/>
              </w:rPr>
            </w:pPr>
          </w:p>
        </w:tc>
      </w:tr>
      <w:tr>
        <w:trPr>
          <w:trHeight w:val="231"/>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increase in sales and marketing expenses for the three months ended March 31, 2024 as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was primarily due to a $0.8 million increase in employee related costs and stock-based compensation, a $0.7 million increase in training, travel and consulting to support the expansion of our sales and marketing activities, and a $0.6 million increase in commissions driven by higher revenues.</w:t>
      </w:r>
    </w:p>
    <w:p>
      <w:pPr>
        <w:spacing w:after="0" w:line="180"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The increase in research and development expenses for the three months ended March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was primarily due to a $0.9 million increase in product development, consulting and travel costs, and a $0.2 million increase in employee related costs and stock-based compensation due to an increase in headcount within research and development.</w:t>
      </w:r>
    </w:p>
    <w:p>
      <w:pPr>
        <w:spacing w:after="0" w:line="17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increase in general and administrative expenses for the three months ended March 31,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was primarily due to a $0.7 million increase in employee related costs and stock-based compensation due to an increase in headcount within general and administrative departments.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45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4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5"/>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660" w:type="dxa"/>
            <w:vAlign w:val="bottom"/>
          </w:tcPr>
          <w:p>
            <w:pPr>
              <w:spacing w:after="0"/>
              <w:rPr>
                <w:sz w:val="18"/>
                <w:szCs w:val="18"/>
                <w:color w:val="auto"/>
              </w:rPr>
            </w:pPr>
          </w:p>
        </w:tc>
      </w:tr>
      <w:tr>
        <w:trPr>
          <w:trHeight w:val="231"/>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23"/>
        </w:trPr>
        <w:tc>
          <w:tcPr>
            <w:tcW w:w="4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interest and other expense, net</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0"/>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increase in interest income for the three months ended March 31, 2024 as compared to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mainly due to higher interest earned on our investments in marketable securities, primarily as a result of higher interest rates earned on higher cash and investment balances.</w:t>
      </w:r>
    </w:p>
    <w:p>
      <w:pPr>
        <w:spacing w:after="0" w:line="174"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The increase in interest expense for the three months ended March 31, 2024 as compared to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interest rates associated with the First-Citizens Term Loan.</w:t>
      </w:r>
    </w:p>
    <w:p>
      <w:pPr>
        <w:spacing w:after="0" w:line="158"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The change in other income (expense), net for the three months ended March 31, 2024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was due to foreign currency fluctuations.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2024, we had cash and marketable securities of $157.8 million compared to $166.0 million as of December 31, 2023. We have financed our operations primarily through the sale of our common stock in our public offerings and debt financing arrangements. As of March 31, 2024 and December 31, 2023, we had $36.1 million in outstanding debt.</w:t>
      </w:r>
    </w:p>
    <w:p>
      <w:pPr>
        <w:spacing w:after="0" w:line="17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2024, we had an accumulated deficit of $411.3 million, compared to $400.4 million as of December 31, 2023. During the three months ended March 31, 2024, we incurred a net loss of $10.9 million. During the years ended December 31, 2023 and 2022, we incurred a net loss of $43.3 million and $61.3 million, respectively, and expect to incur additional losses in the future. We have not achieved positive cash flow from operations to date.</w:t>
      </w:r>
    </w:p>
    <w:p>
      <w:pPr>
        <w:spacing w:after="0" w:line="16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May 2023, we received a total of $83.7 million of net proceeds after deducting the underwriting discounts and commissions from the public offering of our common stock.</w:t>
      </w:r>
    </w:p>
    <w:p>
      <w:pPr>
        <w:spacing w:after="0" w:line="176"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17"/>
          <w:szCs w:val="17"/>
          <w:color w:val="auto"/>
        </w:rPr>
        <w:t>Based upon our current operating plan, we believe that our existing cash and marketable securities will enable us to fund our operating expenses and capital expenditure requirements over the next 12 months from the filing of this Form 10-Q. However, the economic impact of a potential future disruptions in the healthcare operating environment and uncertainties affecting the economic and capital markets environment and the financial services industry pose risks and uncertainties to our future available capital resources. Further, we may face challenges and uncertainties and, as a result, may need to raise additional capital as our available capital resources may be consumed more rapidly than currently expected due to, but not limited to the following: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w:t>
      </w:r>
    </w:p>
    <w:p>
      <w:pPr>
        <w:spacing w:after="0" w:line="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resources. In addition, as we seek to deploy new product offerings, the need for additional capital to fund the purchase of inventories of implants and instrument sets may become more acute and may limit the number of revenue opportunities that we pursue. Each new product family introduced typically requires the purchase of consumable implant inventory as well as investment in a fleet of instrument sets required to support procedures nationwide.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outstanding debt is related to a term loan pursuant to the Loan and Security Agreement dated August 12, 2021 (the “Original Loan Agreement”), entered into by us and Silicon Valley Bank (“SVB” or “Lender”). Pursuant to the Original Loan Agreement, SVB provided a term loan in the aggregate principal amount of $35.0 million to us (the “Original Term Loan”).</w:t>
      </w:r>
    </w:p>
    <w:p>
      <w:pPr>
        <w:spacing w:after="0" w:line="176"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18"/>
          <w:szCs w:val="18"/>
          <w:color w:val="auto"/>
        </w:rPr>
        <w:t>On January 6, 2023, we entered into a First Amendment to Loan and Security Agreement (the “Amendment” and together with the Original Loan Agreement, the “Amended Loan Agreement”) with SVB, which increased our Original Term Loan facility of $35.0 million to $36.0 million. Upon entry into the Amendment, we borrowed $36.0 million pursuant to a new term loan (the “Term Loan”), which was substantially used to repay in full the Original Term Loan, and we also secured a revolving credit facility in an aggregate principal amount of up to $15.0 million (the “Revolving Line”) and an uncommitted accordion term loan in an aggregate principal</w:t>
      </w:r>
    </w:p>
    <w:p>
      <w:pPr>
        <w:sectPr>
          <w:pgSz w:w="11900" w:h="16838" w:orient="portrait"/>
          <w:cols w:equalWidth="0" w:num="1">
            <w:col w:w="11240"/>
          </w:cols>
          <w:pgMar w:left="320" w:top="1035"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31" w:name="page32"/>
    <w:bookmarkEnd w:id="31"/>
    <w:p>
      <w:pPr>
        <w:jc w:val="both"/>
        <w:spacing w:after="0" w:line="242" w:lineRule="auto"/>
        <w:rPr>
          <w:sz w:val="20"/>
          <w:szCs w:val="20"/>
          <w:color w:val="auto"/>
        </w:rPr>
      </w:pPr>
      <w:r>
        <w:rPr>
          <w:rFonts w:ascii="Times New Roman" w:cs="Times New Roman" w:eastAsia="Times New Roman" w:hAnsi="Times New Roman"/>
          <w:sz w:val="18"/>
          <w:szCs w:val="18"/>
          <w:color w:val="auto"/>
        </w:rPr>
        <w:t>amount of up to $15.0 million, which accordion may be approved by the Lender, solely in its discretion, upon our request. The Term Loan matures on December 1, 2027 (the “Term Loan Maturity Date”). Interest on the Term Loan will be payable monthly at a floating annual rate set at the greater of (i) the prime rate as published in the Wall Street Journal plus 0.5% or (ii) 6.75%. Commencing on July 1, 2025, we will be required to make monthly principal Term Loan amortization payments. A final fee payment of 2% of the original principal amount of the Term Loan is due upon the earlier of the Term Loan Maturity Date, termination of the Amended Loan Agreement, acceleration by the Lender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the Lender.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we do not maintain an adjusted quick ratio of at least 1.5 to 1.0, then falling below such threshold will allow the Lender to apply accounts receivable collections to outstanding Revolving Line borrowings. We will pay a total commitment fee of $187,500 on account of the Revolving Line payable in installments, but fully earned at close. We will also be required to pay a fee of $150,000 if we terminate the Amended Loan Agreement or the Revolving Line prior to Revolving Line Maturity Date, or if the Lender terminates the Loan Agreement or the Revolving Line following an event of default. No termination fee would be due if the Revolving Line is replaced with a new facility with the Lender.</w:t>
      </w:r>
    </w:p>
    <w:p>
      <w:pPr>
        <w:spacing w:after="0" w:line="18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 On January 25, 2024, the Company entered into a Second Amendment to Loan and Security Agreement with First-Citizens which amends the Company's Amended Loan Agreement (the “Second Amendment” and together with the Amended Loan Agreement, the “Second Amended Loan Agreement”). The Second Amendment revised certain provisions related to financial covenants and the periods in which the covenants apply.No amounts were outstanding under the Revolving Line as of March 31, 2024.</w:t>
      </w:r>
    </w:p>
    <w:p>
      <w:pPr>
        <w:spacing w:after="0" w:line="160"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color w:val="auto"/>
        </w:rPr>
        <w:t>On March 10, 2023, we violated certain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Second Amended Loan Agreement that would permit First-Citizens to restrict our ability to further access the Revolving Line of Credit for loans and require the immediate repayment of any outstanding loans under the agreement. As of March 31, 2024, we were in compliance with all debt covenants, provided, however, that in order to access future credit advances under the Revolving Line of Credit, we will be required to redirect certain customer payments and transfer certain cash management account balances, in each case, back to First-Citizens. As of March 31, 2024, we had cash management accounts with a financial institution other than First-Citizens and instructed our customers to direct payments to us to these separate operating accounts. Until such customer payments are directed back to certain First-Citizens cash collateral accounts, and certain balances and funds are moved back to the First-Citizens cash collateral accounts and other accounts held at First-Citizens, we will be unable to obtain credit advances under the Revolving Line.</w:t>
      </w:r>
    </w:p>
    <w:p>
      <w:pPr>
        <w:spacing w:after="0" w:line="21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Second Amended Loan Agreement contains customary events of default, including bankruptcy, the failure to make payments when due, the occurrence of a material impairment on First-Citizens'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Second Amended Loan Agreement contains a financial covenant which requires us to maintain, at all times during which we are subject to financial covenants under the Second Amended Loan Agreement is in effect, certain net revenue levels as agreed upon by us and First-Citizens. If we do not comply with the various covenants under the Second Amended Loan Agreement and an event of default occurs under the Second Amended Loan Agreement, the interest</w:t>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rate on outstanding amounts can increase by </w:t>
      </w:r>
      <w:r>
        <w:rPr>
          <w:rFonts w:ascii="Times New Roman" w:cs="Times New Roman" w:eastAsia="Times New Roman" w:hAnsi="Times New Roman"/>
          <w:sz w:val="21"/>
          <w:szCs w:val="21"/>
          <w:color w:val="auto"/>
        </w:rPr>
        <w:t>3%</w:t>
      </w:r>
      <w:r>
        <w:rPr>
          <w:rFonts w:ascii="Times New Roman" w:cs="Times New Roman" w:eastAsia="Times New Roman" w:hAnsi="Times New Roman"/>
          <w:sz w:val="18"/>
          <w:szCs w:val="18"/>
          <w:color w:val="auto"/>
        </w:rPr>
        <w:t xml:space="preserve"> and First-Citizens may, subject to various customary cure rights, decline to provide additional advances under the Revolving Line, require the immediate payment of all loans and other amounts outstanding under the Second Amended Loan Agreement, and foreclose on all collateral.</w:t>
      </w:r>
    </w:p>
    <w:p>
      <w:pPr>
        <w:spacing w:after="0" w:line="199"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February 27, 2024. As of March 31, 2024, expected timing of those payments are as follows: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tbl>
      <w:tblPr>
        <w:tblLayout w:type="fixed"/>
        <w:tblInd w:w="44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Less than 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4-5 years</w:t>
            </w:r>
          </w:p>
        </w:tc>
        <w:tc>
          <w:tcPr>
            <w:tcW w:w="120" w:type="dxa"/>
            <w:vAlign w:val="bottom"/>
          </w:tcPr>
          <w:p>
            <w:pPr>
              <w:spacing w:after="0"/>
              <w:rPr>
                <w:sz w:val="13"/>
                <w:szCs w:val="13"/>
                <w:color w:val="auto"/>
              </w:rPr>
            </w:pPr>
          </w:p>
        </w:tc>
        <w:tc>
          <w:tcPr>
            <w:tcW w:w="10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Principal obligations and final fee on debt </w:t>
            </w: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obligations </w:t>
            </w:r>
            <w:r>
              <w:rPr>
                <w:rFonts w:ascii="Times New Roman" w:cs="Times New Roman" w:eastAsia="Times New Roman" w:hAnsi="Times New Roman"/>
                <w:sz w:val="14"/>
                <w:szCs w:val="14"/>
                <w:color w:val="auto"/>
              </w:rPr>
              <w:t>(2)</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316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7" w:lineRule="exact"/>
        <w:rPr>
          <w:sz w:val="20"/>
          <w:szCs w:val="20"/>
          <w:color w:val="auto"/>
        </w:rPr>
      </w:pPr>
    </w:p>
    <w:p>
      <w:pPr>
        <w:ind w:left="480" w:hanging="310"/>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principal obligations and the final fee at maturities of our First-Citizens Term Loan.</w:t>
      </w:r>
    </w:p>
    <w:p>
      <w:pPr>
        <w:spacing w:after="0" w:line="27"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future interest obligations on our First-Citizens Term Loan estimated using an interest rate of 9.00% as of March 31, 2024.</w:t>
      </w:r>
    </w:p>
    <w:p>
      <w:pPr>
        <w:spacing w:after="0" w:line="2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compared to $49.2 million of contractual obligations as of December 31, 2023.</w:t>
      </w:r>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29"/>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of $7.6 million resulted from cash outflows due to a net loss of $10.9 million, adjusted for $7.1 million of non-cash items, and cash outflows from net changes in operating assets and liabilities of $3.7 million. Net cash used in operating activities for the three months ended March 31, 2023 of $10.8 million resulted from cash outflows due to a net loss of $11.1 million, adjusted for $7.0 million of non-cash items, and cash outflows from changes in operating assets and liabilities of $6.6 million. The decrease in net loss, net of non-cash items for the three months ended March 31, 2024 compared to the three months ended March 31, 2023 was mainly due to increased revenues. Net cash outflows from changes in operating assets and liabilities for the three months ended March 31, 2024 was primarily due to higher account payables and lower accrued liabilities attributable to the normal course timing of expenses. Net cash outflows from changes in operating assets and liabilities for the three months ended March 31, 2023 were primarily due to higher accounts receivable due to timing of collections, higher inventory due to the inventory build-up related to our implants, lower accounts payable, accrued liabilities and prepaid expenses attributable to the normal course timing of expenses.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in the three months ended March 31, 2024 was $6.3 million compared to cash provided by investing activities of $11.7 million in the three months ended March 31, 2023. Net cash provided by investing activities for the three months ended March 31, 2024 consisted of purchases of our marketable securities net of maturities of $8.4 million, and purchases of property and equipment of $2.1 million primarily related to individual components in instrument sets to support revenue growth. Net cash provided by investing activities for the three months ended March 31, 2023 consisted of maturities of our marketable securities net of purchases of $14.3 million, partially offset by purchases of property and equipment of $2.6 million primarily related to individual components in instrument sets to support revenue growth, as well as leasehold improvements made to the building used for research and development and warehouse space in Santa Clara.</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7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in the three months ended March 31, 2024 was $0.1 million resulting from the issuance of common stock under our stock-based incentive compensation plans. This compares to $1.2 million resulting from net proceeds of $0.7 million from the refinancing of our term loan with First-Citizens and proceeds of $0.5 million from the issuance of common stock under our stock-based incentive compensation plans.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74" w:lineRule="exact"/>
        <w:rPr>
          <w:sz w:val="20"/>
          <w:szCs w:val="20"/>
          <w:color w:val="auto"/>
        </w:rPr>
      </w:pPr>
    </w:p>
    <w:p>
      <w:pPr>
        <w:ind w:right="20" w:firstLine="445"/>
        <w:spacing w:after="0" w:line="250"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 - Critical Accounting Policies, Significant Judgments, and Use of Estimates” in our 2023 Annual Report. There had been no material changes to the descriptions of these accounting policies, judgments and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exposed to market risks, including changes to foreign currency exchange rates and interest rates.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w:t>
      </w:r>
    </w:p>
    <w:p>
      <w:pPr>
        <w:spacing w:after="0" w:line="17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months ended March 31, 2024 and 2023 were not material. A hypothetical 10 percent change in foreign exchange rates during any of the periods presented would not have had a material impact on our condensed consolidated financial statements.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w:t>
      </w:r>
    </w:p>
    <w:p>
      <w:pPr>
        <w:spacing w:after="0" w:line="166"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Interest on the Term Loan will be payable monthly at a floating annual rate set at the greater of the prime rate as published in the Wall Street Journal plus 0.5% or 6.75%. Rising interest rates will increase the amount of interest paid on this debt. We believe that our exposure to interest rate risk is not significant due to the low risk profile of our investments and amount of our Term Loan, therefore a hypothetical 10 percent change in market interest rates during any of the periods presented would not have had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43"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jc w:val="both"/>
        <w:ind w:firstLine="405"/>
        <w:spacing w:after="0" w:line="276"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3"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As of March 31, 2024, our management, with the participation of our Chief Executive Officer (“CEO”) and our Chief Financial Officer (“CFO”), have evaluated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Based on that evaluation, our CEO and our CFO have concluded that, as of March 31, 2024, our disclosure controls and procedures were effective at the reasonable assurance level.</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there were no changes in our internal controls over financial reporting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2023 Annual Report. The risk factors described in our 2023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2023 Annual Report. Additional risks and uncertainties not presently known to us or that we currently believe to be immaterial may also adversely affect our business and the trading price of our securities.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60" w:type="dxa"/>
            <w:vAlign w:val="bottom"/>
            <w:gridSpan w:val="15"/>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tcBorders>
              <w:top w:val="single" w:sz="8" w:color="auto"/>
            </w:tcBorders>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880" w:type="dxa"/>
            <w:vAlign w:val="bottom"/>
            <w:tcBorders>
              <w:top w:val="single" w:sz="8" w:color="auto"/>
            </w:tcBorders>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1"/>
                <w:szCs w:val="11"/>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60" w:type="dxa"/>
            <w:vAlign w:val="bottom"/>
            <w:gridSpan w:val="15"/>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740" w:type="dxa"/>
            <w:vAlign w:val="bottom"/>
            <w:tcBorders>
              <w:top w:val="single" w:sz="8" w:color="auto"/>
              <w:bottom w:val="single" w:sz="8" w:color="0000FF"/>
            </w:tcBorders>
            <w:gridSpan w:val="7"/>
          </w:tcPr>
          <w:p>
            <w:pPr>
              <w:spacing w:after="0" w:line="188"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Amended and Restated Certificate of Incorporation.</w:t>
              </w:r>
            </w:hyperlink>
          </w:p>
        </w:tc>
        <w:tc>
          <w:tcPr>
            <w:tcW w:w="1020" w:type="dxa"/>
            <w:vAlign w:val="bottom"/>
            <w:tcBorders>
              <w:top w:val="single" w:sz="8" w:color="auto"/>
            </w:tcBorders>
            <w:gridSpan w:val="8"/>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jc w:val="center"/>
              <w:ind w:left="75"/>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001-38701</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97"/>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10/19/2018</w:t>
            </w: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6"/>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Second Amended and Restated Bylaws.</w:t>
              </w:r>
            </w:hyperlink>
          </w:p>
        </w:tc>
        <w:tc>
          <w:tcPr>
            <w:tcW w:w="8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gridSpan w:val="3"/>
          </w:tcPr>
          <w:p>
            <w:pPr>
              <w:jc w:val="center"/>
              <w:ind w:left="256"/>
              <w:spacing w:after="0"/>
              <w:rPr>
                <w:sz w:val="20"/>
                <w:szCs w:val="20"/>
                <w:color w:val="auto"/>
              </w:rPr>
            </w:pPr>
            <w:r>
              <w:rPr>
                <w:rFonts w:ascii="Times New Roman" w:cs="Times New Roman" w:eastAsia="Times New Roman" w:hAnsi="Times New Roman"/>
                <w:sz w:val="18"/>
                <w:szCs w:val="18"/>
                <w:color w:val="auto"/>
                <w:w w:val="97"/>
              </w:rPr>
              <w:t>001-38701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9/20/2023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Form of Common Stock Certificate of the Company.</w:t>
              </w:r>
            </w:hyperlink>
          </w:p>
        </w:tc>
        <w:tc>
          <w:tcPr>
            <w:tcW w:w="1160" w:type="dxa"/>
            <w:vAlign w:val="bottom"/>
            <w:gridSpan w:val="8"/>
          </w:tcPr>
          <w:p>
            <w:pPr>
              <w:spacing w:after="0"/>
              <w:rPr>
                <w:sz w:val="22"/>
                <w:szCs w:val="22"/>
                <w:color w:val="auto"/>
              </w:rPr>
            </w:pPr>
          </w:p>
        </w:tc>
        <w:tc>
          <w:tcPr>
            <w:tcW w:w="80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rPr>
              <w:t>S-1/A</w:t>
            </w:r>
          </w:p>
        </w:tc>
        <w:tc>
          <w:tcPr>
            <w:tcW w:w="1500" w:type="dxa"/>
            <w:vAlign w:val="bottom"/>
            <w:gridSpan w:val="3"/>
          </w:tcPr>
          <w:p>
            <w:pPr>
              <w:jc w:val="center"/>
              <w:ind w:left="256"/>
              <w:spacing w:after="0"/>
              <w:rPr>
                <w:sz w:val="20"/>
                <w:szCs w:val="20"/>
                <w:color w:val="auto"/>
              </w:rPr>
            </w:pPr>
            <w:r>
              <w:rPr>
                <w:rFonts w:ascii="Times New Roman" w:cs="Times New Roman" w:eastAsia="Times New Roman" w:hAnsi="Times New Roman"/>
                <w:sz w:val="18"/>
                <w:szCs w:val="18"/>
                <w:color w:val="auto"/>
              </w:rPr>
              <w:t>333-227445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10/5/2018</w:t>
            </w: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52">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w:t>
            </w:r>
          </w:p>
        </w:tc>
        <w:tc>
          <w:tcPr>
            <w:tcW w:w="520" w:type="dxa"/>
            <w:vAlign w:val="bottom"/>
            <w:gridSpan w:val="5"/>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78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78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84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Adopted</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360" w:type="dxa"/>
            <w:vAlign w:val="bottom"/>
            <w:tcBorders>
              <w:top w:val="single" w:sz="8" w:color="0000FF"/>
            </w:tcBorders>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300" w:right="5280" w:hanging="1247"/>
        <w:spacing w:after="0" w:line="237"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Santa Clara, California, on May 7,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SI-BONE, Inc.</w:t>
      </w:r>
    </w:p>
    <w:p>
      <w:pPr>
        <w:spacing w:after="0" w:line="279" w:lineRule="exact"/>
        <w:rPr>
          <w:sz w:val="20"/>
          <w:szCs w:val="20"/>
          <w:color w:val="auto"/>
        </w:rPr>
      </w:pPr>
    </w:p>
    <w:p>
      <w:pPr>
        <w:ind w:left="920"/>
        <w:spacing w:after="0"/>
        <w:tabs>
          <w:tab w:leader="none" w:pos="1540" w:val="left"/>
          <w:tab w:leader="none" w:pos="5460" w:val="left"/>
          <w:tab w:leader="none" w:pos="6180" w:val="left"/>
        </w:tabs>
        <w:rPr>
          <w:sz w:val="20"/>
          <w:szCs w:val="20"/>
          <w:color w:val="auto"/>
        </w:rPr>
      </w:pPr>
      <w:r>
        <w:rPr>
          <w:rFonts w:ascii="Times New Roman" w:cs="Times New Roman" w:eastAsia="Times New Roman" w:hAnsi="Times New Roman"/>
          <w:sz w:val="18"/>
          <w:szCs w:val="18"/>
          <w:color w:val="auto"/>
        </w:rPr>
        <w:t>Date:</w:t>
        <w:tab/>
        <w:t>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Laura A. Francis</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(Duly Authorized Officer and Principal Executive</w:t>
      </w:r>
    </w:p>
    <w:p>
      <w:pPr>
        <w:ind w:left="6200"/>
        <w:spacing w:after="0"/>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SI-BONE, Inc.</w:t>
      </w:r>
    </w:p>
    <w:p>
      <w:pPr>
        <w:spacing w:after="0" w:line="279" w:lineRule="exact"/>
        <w:rPr>
          <w:sz w:val="20"/>
          <w:szCs w:val="20"/>
          <w:color w:val="auto"/>
        </w:rPr>
      </w:pPr>
    </w:p>
    <w:p>
      <w:pPr>
        <w:ind w:left="920"/>
        <w:spacing w:after="0"/>
        <w:tabs>
          <w:tab w:leader="none" w:pos="1540" w:val="left"/>
          <w:tab w:leader="none" w:pos="5460" w:val="left"/>
          <w:tab w:leader="none" w:pos="6180" w:val="left"/>
        </w:tabs>
        <w:rPr>
          <w:sz w:val="20"/>
          <w:szCs w:val="20"/>
          <w:color w:val="auto"/>
        </w:rPr>
      </w:pPr>
      <w:r>
        <w:rPr>
          <w:rFonts w:ascii="Times New Roman" w:cs="Times New Roman" w:eastAsia="Times New Roman" w:hAnsi="Times New Roman"/>
          <w:sz w:val="18"/>
          <w:szCs w:val="18"/>
          <w:color w:val="auto"/>
        </w:rPr>
        <w:t>Date:</w:t>
        <w:tab/>
        <w:t>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26485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Anshul Maheshwari</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(Duly Authorized Officer and Principal Financial and</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 A. Francis, certify that:</w:t>
      </w:r>
    </w:p>
    <w:p>
      <w:pPr>
        <w:spacing w:after="0" w:line="25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SI-BONE,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404"/>
        <w:spacing w:after="0" w:line="282" w:lineRule="auto"/>
        <w:tabs>
          <w:tab w:leader="none" w:pos="10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73" w:lineRule="auto"/>
        <w:tabs>
          <w:tab w:leader="none" w:pos="10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2957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400"/>
        <w:spacing w:after="0"/>
        <w:tabs>
          <w:tab w:leader="none" w:pos="920" w:val="left"/>
          <w:tab w:leader="none" w:pos="6640" w:val="left"/>
        </w:tabs>
        <w:rPr>
          <w:sz w:val="20"/>
          <w:szCs w:val="20"/>
          <w:color w:val="auto"/>
        </w:rPr>
      </w:pPr>
      <w:r>
        <w:rPr>
          <w:rFonts w:ascii="Times New Roman" w:cs="Times New Roman" w:eastAsia="Times New Roman" w:hAnsi="Times New Roman"/>
          <w:sz w:val="18"/>
          <w:szCs w:val="18"/>
          <w:color w:val="auto"/>
        </w:rPr>
        <w:t>Date:</w:t>
        <w:tab/>
        <w:t>May 7, 2024</w:t>
      </w:r>
      <w:r>
        <w:rPr>
          <w:sz w:val="20"/>
          <w:szCs w:val="20"/>
          <w:color w:val="auto"/>
        </w:rPr>
        <w:tab/>
      </w:r>
      <w:r>
        <w:rPr>
          <w:rFonts w:ascii="Times New Roman" w:cs="Times New Roman" w:eastAsia="Times New Roman" w:hAnsi="Times New Roman"/>
          <w:sz w:val="18"/>
          <w:szCs w:val="18"/>
          <w:color w:val="auto"/>
        </w:rPr>
        <w:t>Laura A. Francis</w:t>
      </w:r>
    </w:p>
    <w:p>
      <w:pPr>
        <w:spacing w:after="0" w:line="27"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jc w:val="center"/>
        <w:ind w:left="32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Anshul Maheshwari, certify that:</w:t>
      </w:r>
    </w:p>
    <w:p>
      <w:pPr>
        <w:spacing w:after="0" w:line="3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SI-BONE,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404"/>
        <w:spacing w:after="0" w:line="282" w:lineRule="auto"/>
        <w:tabs>
          <w:tab w:leader="none" w:pos="10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3060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680" w:val="left"/>
          <w:tab w:leader="none" w:pos="6620" w:val="left"/>
        </w:tabs>
        <w:rPr>
          <w:sz w:val="20"/>
          <w:szCs w:val="20"/>
          <w:color w:val="auto"/>
        </w:rPr>
      </w:pPr>
      <w:r>
        <w:rPr>
          <w:rFonts w:ascii="Times New Roman" w:cs="Times New Roman" w:eastAsia="Times New Roman" w:hAnsi="Times New Roman"/>
          <w:sz w:val="18"/>
          <w:szCs w:val="18"/>
          <w:color w:val="auto"/>
        </w:rPr>
        <w:t>Date:</w:t>
        <w:tab/>
        <w:t>May 7, 2024</w:t>
      </w:r>
      <w:r>
        <w:rPr>
          <w:sz w:val="20"/>
          <w:szCs w:val="20"/>
          <w:color w:val="auto"/>
        </w:rPr>
        <w:tab/>
      </w:r>
      <w:r>
        <w:rPr>
          <w:rFonts w:ascii="Times New Roman" w:cs="Times New Roman" w:eastAsia="Times New Roman" w:hAnsi="Times New Roman"/>
          <w:sz w:val="17"/>
          <w:szCs w:val="17"/>
          <w:color w:val="auto"/>
        </w:rPr>
        <w:t>Anshul Maheshwari</w:t>
      </w:r>
    </w:p>
    <w:p>
      <w:pPr>
        <w:spacing w:after="0" w:line="27"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w:t>
      </w:r>
    </w:p>
    <w:p>
      <w:pPr>
        <w:spacing w:after="0" w:line="176" w:lineRule="exact"/>
        <w:rPr>
          <w:sz w:val="20"/>
          <w:szCs w:val="20"/>
          <w:color w:val="auto"/>
        </w:rPr>
      </w:pPr>
    </w:p>
    <w:p>
      <w:pPr>
        <w:ind w:firstLine="8"/>
        <w:spacing w:after="0" w:line="282" w:lineRule="auto"/>
        <w:tabs>
          <w:tab w:leader="none" w:pos="2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3261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600" w:val="left"/>
          <w:tab w:leader="none" w:pos="7180" w:val="left"/>
        </w:tabs>
        <w:rPr>
          <w:sz w:val="20"/>
          <w:szCs w:val="20"/>
          <w:color w:val="auto"/>
        </w:rPr>
      </w:pPr>
      <w:r>
        <w:rPr>
          <w:rFonts w:ascii="Times New Roman" w:cs="Times New Roman" w:eastAsia="Times New Roman" w:hAnsi="Times New Roman"/>
          <w:sz w:val="18"/>
          <w:szCs w:val="18"/>
          <w:color w:val="auto"/>
        </w:rPr>
        <w:t>Date:</w:t>
        <w:tab/>
        <w:t>May 7, 2024</w:t>
      </w:r>
      <w:r>
        <w:rPr>
          <w:sz w:val="20"/>
          <w:szCs w:val="20"/>
          <w:color w:val="auto"/>
        </w:rPr>
        <w:tab/>
      </w:r>
      <w:r>
        <w:rPr>
          <w:rFonts w:ascii="Times New Roman" w:cs="Times New Roman" w:eastAsia="Times New Roman" w:hAnsi="Times New Roman"/>
          <w:sz w:val="18"/>
          <w:szCs w:val="18"/>
          <w:color w:val="auto"/>
        </w:rPr>
        <w:t>Laura A. Francis</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3261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600" w:val="left"/>
          <w:tab w:leader="none" w:pos="7060" w:val="left"/>
        </w:tabs>
        <w:rPr>
          <w:sz w:val="20"/>
          <w:szCs w:val="20"/>
          <w:color w:val="auto"/>
        </w:rPr>
      </w:pPr>
      <w:r>
        <w:rPr>
          <w:rFonts w:ascii="Times New Roman" w:cs="Times New Roman" w:eastAsia="Times New Roman" w:hAnsi="Times New Roman"/>
          <w:sz w:val="18"/>
          <w:szCs w:val="18"/>
          <w:color w:val="auto"/>
        </w:rPr>
        <w:t>Date:</w:t>
        <w:tab/>
        <w:t>May 7, 2024</w:t>
      </w:r>
      <w:r>
        <w:rPr>
          <w:sz w:val="20"/>
          <w:szCs w:val="20"/>
          <w:color w:val="auto"/>
        </w:rPr>
        <w:tab/>
      </w:r>
      <w:r>
        <w:rPr>
          <w:rFonts w:ascii="Times New Roman" w:cs="Times New Roman" w:eastAsia="Times New Roman" w:hAnsi="Times New Roman"/>
          <w:sz w:val="18"/>
          <w:szCs w:val="18"/>
          <w:color w:val="auto"/>
        </w:rPr>
        <w:t>Anshul Maheshwari</w:t>
      </w:r>
    </w:p>
    <w:p>
      <w:pPr>
        <w:spacing w:after="0" w:line="27"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
      <w:numFmt w:val="bullet"/>
      <w:start w:val="1"/>
    </w:lvl>
    <w:lvl w:ilvl="1">
      <w:lvlJc w:val="left"/>
      <w:lvlText w:val="%2"/>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52" Type="http://schemas.openxmlformats.org/officeDocument/2006/relationships/hyperlink" Target="http://www.sec.gov/Archives/edgar/data/1459839/000119312518303020/d641574dex31.htm" TargetMode="External"/><Relationship Id="rId53" Type="http://schemas.openxmlformats.org/officeDocument/2006/relationships/hyperlink" Target="https://www.sec.gov/Archives/edgar/data/1459839/000145983923000095/secondamendedandrestatedby.htm" TargetMode="External"/><Relationship Id="rId54" Type="http://schemas.openxmlformats.org/officeDocument/2006/relationships/hyperlink" Target="http://www.sec.gov/Archives/edgar/data/1459839/000119312518293978/d452987dex41.htm" TargetMode="External"/><Relationship Id="rId55" Type="http://schemas.openxmlformats.org/officeDocument/2006/relationships/hyperlink" Target="http://www.sec.gov/Archives/edgar/data/1459839/000119312518293978/d452987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2024-05-07T15:31:18Z</dcterms:created>
  <dcterms:modified xsi:type="dcterms:W3CDTF">2024-05-07T15:31:18Z</dcterms:modified>
</cp:coreProperties>
</file>